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66EC9">
      <w:pPr>
        <w:numPr>
          <w:ilvl w:val="0"/>
          <w:numId w:val="0"/>
        </w:numPr>
        <w:ind w:firstLine="640" w:firstLineChars="200"/>
        <w:jc w:val="both"/>
        <w:rPr>
          <w:rFonts w:hint="eastAsia" w:ascii="黑体" w:hAnsi="黑体" w:eastAsia="黑体" w:cs="黑体"/>
          <w:sz w:val="32"/>
          <w:szCs w:val="32"/>
          <w:u w:val="none"/>
          <w:lang w:val="en-US" w:eastAsia="zh-CN"/>
        </w:rPr>
      </w:pPr>
    </w:p>
    <w:p w14:paraId="02E72EF4">
      <w:pPr>
        <w:keepNext w:val="0"/>
        <w:keepLines w:val="0"/>
        <w:pageBreakBefore w:val="0"/>
        <w:widowControl w:val="0"/>
        <w:kinsoku/>
        <w:wordWrap/>
        <w:overflowPunct/>
        <w:topLinePunct w:val="0"/>
        <w:bidi w:val="0"/>
        <w:spacing w:line="360" w:lineRule="auto"/>
        <w:jc w:val="center"/>
        <w:textAlignment w:val="auto"/>
        <w:outlineLvl w:val="9"/>
        <w:rPr>
          <w:rFonts w:hint="eastAsia" w:ascii="方正小标宋简体" w:hAnsi="方正小标宋简体" w:eastAsia="方正小标宋简体" w:cs="方正小标宋简体"/>
          <w:sz w:val="36"/>
          <w:szCs w:val="36"/>
          <w:lang w:val="en-US" w:eastAsia="zh-CN"/>
        </w:rPr>
      </w:pPr>
      <w:bookmarkStart w:id="0" w:name="_GoBack"/>
      <w:r>
        <w:rPr>
          <w:rFonts w:hint="eastAsia" w:ascii="方正小标宋简体" w:hAnsi="方正小标宋简体" w:eastAsia="方正小标宋简体" w:cs="方正小标宋简体"/>
          <w:sz w:val="36"/>
          <w:szCs w:val="36"/>
          <w:lang w:val="en-US" w:eastAsia="zh-CN"/>
        </w:rPr>
        <w:t>葛店开发区财金局2023年度部门决算</w:t>
      </w:r>
      <w:bookmarkEnd w:id="0"/>
    </w:p>
    <w:p w14:paraId="41DF2197">
      <w:pPr>
        <w:keepNext w:val="0"/>
        <w:keepLines w:val="0"/>
        <w:pageBreakBefore w:val="0"/>
        <w:widowControl w:val="0"/>
        <w:shd w:val="clear" w:color="auto" w:fill="FFFFFF"/>
        <w:kinsoku/>
        <w:wordWrap/>
        <w:overflowPunct/>
        <w:topLinePunct w:val="0"/>
        <w:bidi w:val="0"/>
        <w:spacing w:before="240" w:after="240" w:line="360" w:lineRule="auto"/>
        <w:ind w:firstLine="64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目    录</w:t>
      </w:r>
    </w:p>
    <w:p w14:paraId="40135A27">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Fonts w:hint="eastAsia" w:ascii="黑体" w:hAnsi="黑体" w:eastAsia="黑体" w:cs="黑体"/>
        </w:rPr>
      </w:pPr>
      <w:r>
        <w:rPr>
          <w:rStyle w:val="5"/>
          <w:rFonts w:hint="eastAsia" w:ascii="黑体" w:hAnsi="黑体" w:eastAsia="黑体" w:cs="黑体"/>
          <w:sz w:val="32"/>
          <w:szCs w:val="32"/>
          <w:rtl w:val="0"/>
        </w:rPr>
        <w:t>第一部分</w:t>
      </w:r>
      <w:r>
        <w:rPr>
          <w:rStyle w:val="5"/>
          <w:rFonts w:hint="eastAsia" w:ascii="黑体" w:hAnsi="黑体" w:eastAsia="黑体" w:cs="黑体"/>
          <w:sz w:val="32"/>
          <w:szCs w:val="32"/>
          <w:rtl w:val="0"/>
          <w:lang w:val="en-US" w:eastAsia="en-US"/>
        </w:rPr>
        <w:t xml:space="preserve">  </w:t>
      </w:r>
      <w:r>
        <w:rPr>
          <w:rStyle w:val="5"/>
          <w:rFonts w:hint="eastAsia" w:ascii="黑体" w:hAnsi="黑体" w:eastAsia="黑体" w:cs="黑体"/>
          <w:sz w:val="32"/>
          <w:szCs w:val="32"/>
          <w:rtl w:val="0"/>
          <w:lang w:val="en-US" w:eastAsia="zh-CN"/>
        </w:rPr>
        <w:t>葛店开发区财金局</w:t>
      </w:r>
      <w:r>
        <w:rPr>
          <w:rStyle w:val="5"/>
          <w:rFonts w:hint="eastAsia" w:ascii="黑体" w:hAnsi="黑体" w:eastAsia="黑体" w:cs="黑体"/>
          <w:sz w:val="32"/>
          <w:szCs w:val="32"/>
          <w:rtl w:val="0"/>
        </w:rPr>
        <w:t>概况</w:t>
      </w:r>
    </w:p>
    <w:p w14:paraId="54C01A2F">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right="-781" w:rightChars="-244" w:firstLine="640" w:firstLineChars="200"/>
        <w:jc w:val="both"/>
        <w:textAlignment w:val="auto"/>
        <w:outlineLvl w:val="9"/>
        <w:rPr>
          <w:rFonts w:hint="eastAsia" w:ascii="仿宋_GB2312" w:hAnsi="宋体" w:cs="Times New Roman"/>
          <w:bCs/>
          <w:sz w:val="32"/>
          <w:szCs w:val="32"/>
          <w:highlight w:val="none"/>
          <w:rtl w:val="0"/>
          <w:lang w:eastAsia="zh-CN"/>
        </w:rPr>
      </w:pPr>
      <w:r>
        <w:rPr>
          <w:rFonts w:hint="eastAsia" w:ascii="仿宋_GB2312" w:hAnsi="宋体" w:eastAsia="仿宋_GB2312" w:cs="Times New Roman"/>
          <w:bCs/>
          <w:sz w:val="32"/>
          <w:szCs w:val="32"/>
          <w:highlight w:val="none"/>
          <w:rtl w:val="0"/>
        </w:rPr>
        <w:t>部门主要</w:t>
      </w:r>
      <w:r>
        <w:rPr>
          <w:rFonts w:hint="eastAsia" w:ascii="仿宋_GB2312" w:hAnsi="宋体" w:cs="Times New Roman"/>
          <w:bCs/>
          <w:sz w:val="32"/>
          <w:szCs w:val="32"/>
          <w:highlight w:val="none"/>
          <w:rtl w:val="0"/>
          <w:lang w:eastAsia="zh-CN"/>
        </w:rPr>
        <w:t>职责</w:t>
      </w:r>
    </w:p>
    <w:p w14:paraId="37570F7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781" w:rightChars="-244"/>
        <w:jc w:val="both"/>
        <w:textAlignment w:val="auto"/>
        <w:outlineLvl w:val="9"/>
        <w:rPr>
          <w:rFonts w:hint="eastAsia" w:ascii="仿宋_GB2312" w:hAnsi="宋体" w:eastAsia="仿宋_GB2312" w:cs="Times New Roman"/>
          <w:bCs/>
          <w:sz w:val="32"/>
          <w:szCs w:val="32"/>
          <w:highlight w:val="none"/>
          <w:lang w:eastAsia="zh-CN"/>
        </w:rPr>
      </w:pPr>
      <w:r>
        <w:rPr>
          <w:rFonts w:hint="eastAsia" w:ascii="仿宋_GB2312" w:hAnsi="宋体" w:cs="Times New Roman"/>
          <w:bCs/>
          <w:sz w:val="32"/>
          <w:szCs w:val="32"/>
          <w:highlight w:val="none"/>
          <w:rtl w:val="0"/>
          <w:lang w:val="en-US" w:eastAsia="zh-CN"/>
        </w:rPr>
        <w:t xml:space="preserve">    </w:t>
      </w:r>
      <w:r>
        <w:rPr>
          <w:rFonts w:hint="eastAsia" w:ascii="仿宋_GB2312" w:hAnsi="宋体" w:eastAsia="仿宋_GB2312" w:cs="Times New Roman"/>
          <w:bCs/>
          <w:sz w:val="32"/>
          <w:szCs w:val="32"/>
          <w:highlight w:val="none"/>
          <w:rtl w:val="0"/>
        </w:rPr>
        <w:t>二、</w:t>
      </w:r>
      <w:r>
        <w:rPr>
          <w:rFonts w:hint="eastAsia" w:ascii="仿宋_GB2312" w:hAnsi="宋体" w:cs="Times New Roman"/>
          <w:bCs/>
          <w:sz w:val="32"/>
          <w:szCs w:val="32"/>
          <w:highlight w:val="none"/>
          <w:rtl w:val="0"/>
          <w:lang w:eastAsia="zh-CN"/>
        </w:rPr>
        <w:t>机构设置情况</w:t>
      </w:r>
    </w:p>
    <w:p w14:paraId="76A96747">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pPr>
      <w:r>
        <w:rPr>
          <w:rStyle w:val="5"/>
          <w:rFonts w:ascii="黑体" w:hAnsi="黑体" w:eastAsia="黑体" w:cs="黑体"/>
          <w:sz w:val="32"/>
          <w:szCs w:val="32"/>
          <w:rtl w:val="0"/>
        </w:rPr>
        <w:t>第二部分</w:t>
      </w:r>
      <w:r>
        <w:rPr>
          <w:rStyle w:val="5"/>
          <w:rFonts w:ascii="黑体" w:hAnsi="黑体" w:eastAsia="黑体" w:cs="黑体"/>
          <w:sz w:val="32"/>
          <w:szCs w:val="32"/>
          <w:rtl w:val="0"/>
          <w:lang w:val="en-US" w:eastAsia="en-US"/>
        </w:rPr>
        <w:t xml:space="preserve">  </w:t>
      </w:r>
      <w:r>
        <w:rPr>
          <w:rStyle w:val="5"/>
          <w:rFonts w:hint="eastAsia" w:ascii="黑体" w:hAnsi="黑体" w:eastAsia="黑体" w:cs="黑体"/>
          <w:sz w:val="32"/>
          <w:szCs w:val="32"/>
          <w:rtl w:val="0"/>
          <w:lang w:val="en-US" w:eastAsia="zh-CN"/>
        </w:rPr>
        <w:t>葛店开发区财金局</w:t>
      </w:r>
      <w:r>
        <w:rPr>
          <w:rStyle w:val="5"/>
          <w:rFonts w:ascii="黑体" w:hAnsi="黑体" w:eastAsia="黑体" w:cs="黑体"/>
          <w:sz w:val="32"/>
          <w:szCs w:val="32"/>
          <w:rtl w:val="0"/>
          <w:lang w:val="en-US" w:eastAsia="en-US"/>
        </w:rPr>
        <w:t>20</w:t>
      </w:r>
      <w:r>
        <w:rPr>
          <w:rStyle w:val="5"/>
          <w:rFonts w:hint="eastAsia" w:ascii="黑体" w:hAnsi="黑体" w:eastAsia="黑体" w:cs="黑体"/>
          <w:sz w:val="32"/>
          <w:szCs w:val="32"/>
          <w:rtl w:val="0"/>
          <w:lang w:val="en-US" w:eastAsia="zh-CN"/>
        </w:rPr>
        <w:t>23</w:t>
      </w:r>
      <w:r>
        <w:rPr>
          <w:rStyle w:val="5"/>
          <w:rFonts w:ascii="黑体" w:hAnsi="黑体" w:eastAsia="黑体" w:cs="黑体"/>
          <w:sz w:val="32"/>
          <w:szCs w:val="32"/>
          <w:rtl w:val="0"/>
        </w:rPr>
        <w:t>年度部门决算表</w:t>
      </w:r>
    </w:p>
    <w:p w14:paraId="7E337CC3">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default" w:ascii="Times New Roman" w:hAnsi="Times New Roman" w:cs="Times New Roman"/>
          <w:lang w:val="en-US" w:eastAsia="zh-CN"/>
        </w:rPr>
      </w:pPr>
      <w:r>
        <w:rPr>
          <w:rFonts w:hint="eastAsia" w:ascii="Times New Roman" w:hAnsi="Times New Roman" w:cs="Times New Roman"/>
          <w:lang w:val="en-US" w:eastAsia="zh-CN"/>
        </w:rPr>
        <w:t>一、收入支出决算总表</w:t>
      </w:r>
    </w:p>
    <w:p w14:paraId="3FFA9777">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二、收入决算表</w:t>
      </w:r>
    </w:p>
    <w:p w14:paraId="5B0EF6CF">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三、支出决算表</w:t>
      </w:r>
    </w:p>
    <w:p w14:paraId="648171D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四、财政拨款收入支出决算总表</w:t>
      </w:r>
    </w:p>
    <w:p w14:paraId="4784FC90">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五、一般公共预算财政拨款支出决算表</w:t>
      </w:r>
    </w:p>
    <w:p w14:paraId="5688F8F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六、一般公共预算财政拨款基本支出决算明细表</w:t>
      </w:r>
    </w:p>
    <w:p w14:paraId="7543971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cs="Times New Roman"/>
          <w:lang w:val="en-US" w:eastAsia="zh-CN"/>
        </w:rPr>
        <w:t>七</w:t>
      </w:r>
      <w:r>
        <w:rPr>
          <w:rFonts w:hint="eastAsia" w:ascii="Times New Roman" w:hAnsi="Times New Roman" w:cs="Times New Roman"/>
          <w:lang w:val="en-US" w:eastAsia="zh-CN"/>
        </w:rPr>
        <w:t>、政府性基金预算财政拨款收入支出决算表</w:t>
      </w:r>
    </w:p>
    <w:p w14:paraId="26120510">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cs="Times New Roman"/>
          <w:lang w:val="en-US" w:eastAsia="zh-CN"/>
        </w:rPr>
        <w:t>八</w:t>
      </w:r>
      <w:r>
        <w:rPr>
          <w:rFonts w:hint="eastAsia" w:ascii="Times New Roman" w:hAnsi="Times New Roman" w:cs="Times New Roman"/>
          <w:lang w:val="en-US" w:eastAsia="zh-CN"/>
        </w:rPr>
        <w:t>、国有资本经营预算财政拨款支出决算表</w:t>
      </w:r>
    </w:p>
    <w:p w14:paraId="20A8B87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cs="Times New Roman"/>
          <w:lang w:val="en-US" w:eastAsia="zh-CN"/>
        </w:rPr>
        <w:t>九</w:t>
      </w:r>
      <w:r>
        <w:rPr>
          <w:rFonts w:hint="eastAsia" w:ascii="Times New Roman" w:hAnsi="Times New Roman" w:cs="Times New Roman"/>
          <w:lang w:val="en-US" w:eastAsia="zh-CN"/>
        </w:rPr>
        <w:t>、财政拨款“三公”经费支出决算表</w:t>
      </w:r>
    </w:p>
    <w:p w14:paraId="42954D14">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pPr>
      <w:r>
        <w:rPr>
          <w:rStyle w:val="5"/>
          <w:rFonts w:ascii="黑体" w:hAnsi="黑体" w:eastAsia="黑体" w:cs="黑体"/>
          <w:sz w:val="32"/>
          <w:szCs w:val="32"/>
          <w:rtl w:val="0"/>
        </w:rPr>
        <w:t>第三部分</w:t>
      </w:r>
      <w:r>
        <w:rPr>
          <w:rStyle w:val="5"/>
          <w:rFonts w:ascii="黑体" w:hAnsi="黑体" w:eastAsia="黑体" w:cs="黑体"/>
          <w:sz w:val="32"/>
          <w:szCs w:val="32"/>
          <w:rtl w:val="0"/>
          <w:lang w:val="en-US" w:eastAsia="en-US"/>
        </w:rPr>
        <w:t xml:space="preserve">  </w:t>
      </w:r>
      <w:r>
        <w:rPr>
          <w:rStyle w:val="5"/>
          <w:rFonts w:hint="eastAsia" w:ascii="黑体" w:hAnsi="黑体" w:eastAsia="黑体" w:cs="黑体"/>
          <w:sz w:val="32"/>
          <w:szCs w:val="32"/>
          <w:rtl w:val="0"/>
          <w:lang w:val="en-US" w:eastAsia="zh-CN"/>
        </w:rPr>
        <w:t>葛店开发区财金局</w:t>
      </w:r>
      <w:r>
        <w:rPr>
          <w:rStyle w:val="5"/>
          <w:rFonts w:ascii="黑体" w:hAnsi="黑体" w:eastAsia="黑体" w:cs="黑体"/>
          <w:sz w:val="32"/>
          <w:szCs w:val="32"/>
          <w:rtl w:val="0"/>
          <w:lang w:val="en-US" w:eastAsia="en-US"/>
        </w:rPr>
        <w:t>20</w:t>
      </w:r>
      <w:r>
        <w:rPr>
          <w:rStyle w:val="5"/>
          <w:rFonts w:hint="eastAsia" w:ascii="黑体" w:hAnsi="黑体" w:eastAsia="黑体" w:cs="黑体"/>
          <w:sz w:val="32"/>
          <w:szCs w:val="32"/>
          <w:rtl w:val="0"/>
          <w:lang w:val="en-US" w:eastAsia="zh-CN"/>
        </w:rPr>
        <w:t>23</w:t>
      </w:r>
      <w:r>
        <w:rPr>
          <w:rStyle w:val="5"/>
          <w:rFonts w:ascii="黑体" w:hAnsi="黑体" w:eastAsia="黑体" w:cs="黑体"/>
          <w:sz w:val="32"/>
          <w:szCs w:val="32"/>
          <w:rtl w:val="0"/>
        </w:rPr>
        <w:t>年度部门决算情况说明</w:t>
      </w:r>
    </w:p>
    <w:p w14:paraId="629D0C07">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一、收入支出决算总体情况说明</w:t>
      </w:r>
    </w:p>
    <w:p w14:paraId="1CDDD841">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二、收入决算情况说明</w:t>
      </w:r>
    </w:p>
    <w:p w14:paraId="74FAA34A">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三、支出决算情况说明</w:t>
      </w:r>
    </w:p>
    <w:p w14:paraId="009D710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Times New Roman" w:hAnsi="Times New Roman" w:cs="Times New Roman"/>
          <w:lang w:val="en-US" w:eastAsia="zh-CN"/>
        </w:rPr>
      </w:pPr>
      <w:r>
        <w:rPr>
          <w:rFonts w:hint="eastAsia" w:ascii="Times New Roman" w:hAnsi="Times New Roman" w:cs="Times New Roman"/>
          <w:lang w:val="en-US" w:eastAsia="zh-CN"/>
        </w:rPr>
        <w:t>四、财政拨款收入支出决算总体情况说明</w:t>
      </w:r>
    </w:p>
    <w:p w14:paraId="583C1622">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五、一般公共预算财政拨款支出决算情况说明</w:t>
      </w:r>
    </w:p>
    <w:p w14:paraId="3FE10DE9">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六、一般公共预算财政拨款基本支出决算情况说明</w:t>
      </w:r>
    </w:p>
    <w:p w14:paraId="731BFCC6">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lang w:val="en-US" w:eastAsia="zh-CN"/>
        </w:rPr>
        <w:t xml:space="preserve">七、政府性基金预算财政拨款收入支出决算情况说明 </w:t>
      </w:r>
    </w:p>
    <w:p w14:paraId="6CE60C41">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八、国有资本经营预算财政拨款支出决算情况说明</w:t>
      </w:r>
    </w:p>
    <w:p w14:paraId="412542EA">
      <w:pPr>
        <w:keepNext w:val="0"/>
        <w:keepLines w:val="0"/>
        <w:pageBreakBefore w:val="0"/>
        <w:widowControl w:val="0"/>
        <w:numPr>
          <w:ilvl w:val="0"/>
          <w:numId w:val="0"/>
        </w:numPr>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 xml:space="preserve">九、财政拨款“三公”经费支出决算情况说明 </w:t>
      </w:r>
    </w:p>
    <w:p w14:paraId="476E5BCC">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十、机关运行经费支出说明</w:t>
      </w:r>
    </w:p>
    <w:p w14:paraId="407CF0B1">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十一、政府采购支出说明</w:t>
      </w:r>
    </w:p>
    <w:p w14:paraId="56BC96D3">
      <w:pPr>
        <w:keepNext w:val="0"/>
        <w:keepLines w:val="0"/>
        <w:pageBreakBefore w:val="0"/>
        <w:widowControl w:val="0"/>
        <w:numPr>
          <w:ilvl w:val="0"/>
          <w:numId w:val="0"/>
        </w:numPr>
        <w:kinsoku/>
        <w:wordWrap/>
        <w:overflowPunct/>
        <w:topLinePunct w:val="0"/>
        <w:autoSpaceDE/>
        <w:autoSpaceDN/>
        <w:bidi w:val="0"/>
        <w:spacing w:line="360" w:lineRule="auto"/>
        <w:ind w:leftChars="200"/>
        <w:jc w:val="both"/>
        <w:textAlignment w:val="auto"/>
        <w:outlineLvl w:val="9"/>
        <w:rPr>
          <w:rFonts w:hint="eastAsia"/>
          <w:lang w:val="en-US" w:eastAsia="zh-CN"/>
        </w:rPr>
      </w:pPr>
      <w:r>
        <w:rPr>
          <w:rFonts w:hint="eastAsia"/>
          <w:lang w:val="en-US" w:eastAsia="zh-CN"/>
        </w:rPr>
        <w:t>十二、国有资产占用情况说明</w:t>
      </w:r>
    </w:p>
    <w:p w14:paraId="72D47D36">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十三、预算绩效情况说明</w:t>
      </w:r>
    </w:p>
    <w:p w14:paraId="32BA92DC">
      <w:pPr>
        <w:keepNext w:val="0"/>
        <w:keepLines w:val="0"/>
        <w:pageBreakBefore w:val="0"/>
        <w:widowControl w:val="0"/>
        <w:kinsoku/>
        <w:wordWrap/>
        <w:overflowPunct/>
        <w:topLinePunct w:val="0"/>
        <w:autoSpaceDE/>
        <w:autoSpaceDN/>
        <w:bidi w:val="0"/>
        <w:spacing w:line="360" w:lineRule="auto"/>
        <w:ind w:firstLine="640" w:firstLineChars="200"/>
        <w:jc w:val="both"/>
        <w:textAlignment w:val="auto"/>
        <w:outlineLvl w:val="9"/>
        <w:rPr>
          <w:rFonts w:hint="eastAsia"/>
          <w:lang w:val="en-US" w:eastAsia="zh-CN"/>
        </w:rPr>
      </w:pPr>
      <w:r>
        <w:rPr>
          <w:rFonts w:hint="eastAsia"/>
          <w:lang w:val="en-US" w:eastAsia="zh-CN"/>
        </w:rPr>
        <w:t>十四、专项支出、转移支付支出情况说明</w:t>
      </w:r>
    </w:p>
    <w:p w14:paraId="00DE3687">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pPr>
      <w:r>
        <w:rPr>
          <w:rStyle w:val="5"/>
          <w:rFonts w:ascii="黑体" w:hAnsi="黑体" w:eastAsia="黑体" w:cs="黑体"/>
          <w:sz w:val="32"/>
          <w:szCs w:val="32"/>
          <w:rtl w:val="0"/>
        </w:rPr>
        <w:t>第四部分</w:t>
      </w:r>
      <w:r>
        <w:rPr>
          <w:rStyle w:val="5"/>
          <w:rFonts w:ascii="黑体" w:hAnsi="黑体" w:eastAsia="黑体" w:cs="黑体"/>
          <w:sz w:val="32"/>
          <w:szCs w:val="32"/>
          <w:rtl w:val="0"/>
          <w:lang w:val="en-US" w:eastAsia="en-US"/>
        </w:rPr>
        <w:t xml:space="preserve">  </w:t>
      </w:r>
      <w:r>
        <w:rPr>
          <w:rFonts w:hint="eastAsia" w:ascii="黑体" w:hAnsi="黑体" w:eastAsia="黑体" w:cs="黑体"/>
          <w:sz w:val="32"/>
          <w:szCs w:val="32"/>
          <w:lang w:val="en-US" w:eastAsia="zh-CN"/>
        </w:rPr>
        <w:t>其他需要说明的情况</w:t>
      </w:r>
    </w:p>
    <w:p w14:paraId="7EB83BC9">
      <w:pPr>
        <w:keepNext w:val="0"/>
        <w:keepLines w:val="0"/>
        <w:pageBreakBefore w:val="0"/>
        <w:widowControl w:val="0"/>
        <w:shd w:val="clear" w:color="auto" w:fill="FFFFFF"/>
        <w:kinsoku/>
        <w:wordWrap/>
        <w:overflowPunct/>
        <w:topLinePunct w:val="0"/>
        <w:autoSpaceDE/>
        <w:autoSpaceDN/>
        <w:bidi w:val="0"/>
        <w:spacing w:before="240" w:after="240" w:line="360" w:lineRule="auto"/>
        <w:ind w:firstLine="640"/>
        <w:jc w:val="both"/>
        <w:textAlignment w:val="auto"/>
        <w:outlineLvl w:val="9"/>
        <w:rPr>
          <w:rStyle w:val="5"/>
          <w:rFonts w:ascii="黑体" w:hAnsi="黑体" w:eastAsia="黑体" w:cs="黑体"/>
          <w:sz w:val="32"/>
          <w:szCs w:val="32"/>
          <w:rtl w:val="0"/>
        </w:rPr>
      </w:pPr>
      <w:r>
        <w:rPr>
          <w:rStyle w:val="5"/>
          <w:rFonts w:ascii="黑体" w:hAnsi="黑体" w:eastAsia="黑体" w:cs="黑体"/>
          <w:sz w:val="32"/>
          <w:szCs w:val="32"/>
          <w:rtl w:val="0"/>
        </w:rPr>
        <w:t>第五部分</w:t>
      </w:r>
      <w:r>
        <w:rPr>
          <w:rStyle w:val="5"/>
          <w:rFonts w:ascii="黑体" w:hAnsi="黑体" w:eastAsia="黑体" w:cs="黑体"/>
          <w:sz w:val="32"/>
          <w:szCs w:val="32"/>
          <w:rtl w:val="0"/>
          <w:lang w:val="en-US" w:eastAsia="en-US"/>
        </w:rPr>
        <w:t xml:space="preserve">  </w:t>
      </w:r>
      <w:r>
        <w:rPr>
          <w:rStyle w:val="5"/>
          <w:rFonts w:ascii="黑体" w:hAnsi="黑体" w:eastAsia="黑体" w:cs="黑体"/>
          <w:sz w:val="32"/>
          <w:szCs w:val="32"/>
          <w:rtl w:val="0"/>
        </w:rPr>
        <w:t>名词解释</w:t>
      </w:r>
    </w:p>
    <w:p w14:paraId="28F9211F">
      <w:pPr>
        <w:keepNext w:val="0"/>
        <w:keepLines w:val="0"/>
        <w:pageBreakBefore w:val="0"/>
        <w:widowControl w:val="0"/>
        <w:numPr>
          <w:ilvl w:val="0"/>
          <w:numId w:val="0"/>
        </w:numPr>
        <w:kinsoku/>
        <w:wordWrap/>
        <w:overflowPunct/>
        <w:topLinePunct w:val="0"/>
        <w:bidi w:val="0"/>
        <w:spacing w:line="360" w:lineRule="auto"/>
        <w:ind w:firstLine="640" w:firstLineChars="200"/>
        <w:jc w:val="both"/>
        <w:textAlignment w:val="auto"/>
        <w:outlineLvl w:val="9"/>
        <w:rPr>
          <w:rStyle w:val="5"/>
          <w:rFonts w:hint="eastAsia" w:ascii="黑体" w:hAnsi="黑体" w:eastAsia="黑体" w:cs="黑体"/>
          <w:sz w:val="32"/>
          <w:szCs w:val="32"/>
          <w:rtl w:val="0"/>
          <w:lang w:val="en-US" w:eastAsia="zh-CN"/>
        </w:rPr>
      </w:pPr>
      <w:r>
        <w:rPr>
          <w:rStyle w:val="5"/>
          <w:rFonts w:hint="eastAsia" w:ascii="黑体" w:hAnsi="黑体" w:eastAsia="黑体" w:cs="黑体"/>
          <w:sz w:val="32"/>
          <w:szCs w:val="32"/>
          <w:rtl w:val="0"/>
          <w:lang w:val="en-US" w:eastAsia="zh-CN"/>
        </w:rPr>
        <w:t>第六部分  附件</w:t>
      </w:r>
    </w:p>
    <w:p w14:paraId="4887342E">
      <w:pPr>
        <w:numPr>
          <w:ilvl w:val="0"/>
          <w:numId w:val="0"/>
        </w:numPr>
        <w:ind w:firstLine="640" w:firstLineChars="200"/>
        <w:jc w:val="both"/>
        <w:rPr>
          <w:rFonts w:hint="eastAsia" w:ascii="黑体" w:hAnsi="黑体" w:eastAsia="黑体" w:cs="黑体"/>
          <w:sz w:val="32"/>
          <w:szCs w:val="32"/>
          <w:u w:val="none"/>
          <w:lang w:val="en-US" w:eastAsia="zh-CN"/>
        </w:rPr>
      </w:pPr>
    </w:p>
    <w:p w14:paraId="4C766BFB">
      <w:pPr>
        <w:numPr>
          <w:ilvl w:val="0"/>
          <w:numId w:val="0"/>
        </w:num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u w:val="none"/>
          <w:lang w:val="en-US" w:eastAsia="zh-CN"/>
        </w:rPr>
        <w:t xml:space="preserve">第一部分  </w:t>
      </w:r>
      <w:r>
        <w:rPr>
          <w:rStyle w:val="5"/>
          <w:rFonts w:hint="eastAsia" w:ascii="黑体" w:hAnsi="黑体" w:eastAsia="黑体" w:cs="黑体"/>
          <w:sz w:val="32"/>
          <w:szCs w:val="32"/>
          <w:rtl w:val="0"/>
          <w:lang w:val="en-US" w:eastAsia="zh-CN"/>
        </w:rPr>
        <w:t>葛店开发区财金局</w:t>
      </w:r>
      <w:r>
        <w:rPr>
          <w:rFonts w:hint="eastAsia" w:ascii="黑体" w:hAnsi="黑体" w:eastAsia="黑体" w:cs="黑体"/>
          <w:sz w:val="32"/>
          <w:szCs w:val="32"/>
          <w:lang w:val="en-US" w:eastAsia="zh-CN"/>
        </w:rPr>
        <w:t>概况</w:t>
      </w:r>
    </w:p>
    <w:p w14:paraId="51719783">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一、部门主要职责</w:t>
      </w:r>
    </w:p>
    <w:p w14:paraId="7BAA41E8">
      <w:pPr>
        <w:ind w:firstLine="640" w:firstLineChars="200"/>
      </w:pPr>
      <w:r>
        <w:rPr>
          <w:rFonts w:hint="eastAsia" w:ascii="Noto Serif Armenian" w:hAnsi="Noto Serif Armenian" w:eastAsia="仿宋" w:cs="Noto Serif Armenian"/>
          <w:color w:val="000000"/>
          <w:sz w:val="32"/>
          <w:szCs w:val="32"/>
          <w:lang w:eastAsia="zh-CN"/>
        </w:rPr>
        <w:t>负责编制经开区财政收支计划，经批准后组织实施；负责指导相关单位财政管理工作；负责国库管理工作；负责财政收入管理，管理政府性基金、行政事业性收费、彩票资金以及其他政府非税收入，综合运用多种方式筹措经开区建设发展资金；负责财政支出管理，指导和监督财政资金使用、政府采购监管工作；负责政府债务监管工作；负责财政绩效管理，实施事前绩效评估、绩效目标管理、绩效监控和绩效评价；</w:t>
      </w:r>
      <w:r>
        <w:rPr>
          <w:rFonts w:hint="default" w:ascii="Noto Serif Armenian" w:hAnsi="Noto Serif Armenian" w:eastAsia="仿宋" w:cs="Noto Serif Armenian"/>
          <w:color w:val="000000"/>
          <w:sz w:val="32"/>
          <w:szCs w:val="32"/>
          <w:lang w:eastAsia="zh-CN"/>
        </w:rPr>
        <w:t>负责</w:t>
      </w:r>
      <w:r>
        <w:rPr>
          <w:rFonts w:hint="eastAsia" w:ascii="Noto Serif Armenian" w:hAnsi="Noto Serif Armenian" w:eastAsia="仿宋" w:cs="Noto Serif Armenian"/>
          <w:color w:val="000000"/>
          <w:sz w:val="32"/>
          <w:szCs w:val="32"/>
          <w:lang w:eastAsia="zh-CN"/>
        </w:rPr>
        <w:t>拟订和实施审计工作规划和计划；负责对区级财政收支和法律法规规定的属于审计监督范围的财务收支进行审计监督；负责组织对公共资金、国有资产、国有资源、重大项目以及其他与区级财政财务收支相关的特定事项进行审计监督；负责组织对中央、省、市和党工委、管委会有关重大政策措施贯彻落实情况进行跟踪审计；</w:t>
      </w:r>
      <w:r>
        <w:rPr>
          <w:rFonts w:hint="eastAsia" w:ascii="Noto Serif Armenian" w:hAnsi="Noto Serif Armenian" w:eastAsia="仿宋" w:cs="Noto Serif Armenian"/>
          <w:color w:val="000000"/>
          <w:sz w:val="32"/>
          <w:szCs w:val="32"/>
          <w:lang w:val="en-US" w:eastAsia="zh-CN"/>
        </w:rPr>
        <w:t>负责对经开区政府投资工程项目进行结、决算审计；</w:t>
      </w:r>
      <w:r>
        <w:rPr>
          <w:rFonts w:hint="default" w:ascii="Noto Serif Armenian" w:hAnsi="Noto Serif Armenian" w:eastAsia="仿宋" w:cs="Noto Serif Armenian"/>
          <w:color w:val="000000"/>
          <w:sz w:val="32"/>
          <w:szCs w:val="32"/>
          <w:lang w:eastAsia="zh-CN"/>
        </w:rPr>
        <w:t>负责对纳入政府采购范围的政府采购行为和预算部门的财务收支情况的管理和监督；</w:t>
      </w:r>
      <w:r>
        <w:rPr>
          <w:rFonts w:hint="default" w:ascii="Noto Serif Armenian" w:hAnsi="Noto Serif Armenian" w:eastAsia="仿宋" w:cs="Noto Serif Armenian"/>
          <w:color w:val="000000"/>
          <w:sz w:val="32"/>
          <w:szCs w:val="32"/>
        </w:rPr>
        <w:t>负责国有资产</w:t>
      </w:r>
      <w:r>
        <w:rPr>
          <w:rFonts w:hint="eastAsia" w:ascii="Noto Serif Armenian" w:hAnsi="Noto Serif Armenian" w:eastAsia="仿宋" w:cs="Noto Serif Armenian"/>
          <w:color w:val="000000"/>
          <w:sz w:val="32"/>
          <w:szCs w:val="32"/>
          <w:lang w:eastAsia="zh-CN"/>
        </w:rPr>
        <w:t>和国有企业</w:t>
      </w:r>
      <w:r>
        <w:rPr>
          <w:rFonts w:hint="default" w:ascii="Noto Serif Armenian" w:hAnsi="Noto Serif Armenian" w:eastAsia="仿宋" w:cs="Noto Serif Armenian"/>
          <w:color w:val="000000"/>
          <w:sz w:val="32"/>
          <w:szCs w:val="32"/>
        </w:rPr>
        <w:t>的管理</w:t>
      </w:r>
      <w:r>
        <w:rPr>
          <w:rFonts w:hint="eastAsia" w:ascii="Noto Serif Armenian" w:hAnsi="Noto Serif Armenian" w:eastAsia="仿宋" w:cs="Noto Serif Armenian"/>
          <w:color w:val="000000"/>
          <w:sz w:val="32"/>
          <w:szCs w:val="32"/>
          <w:lang w:eastAsia="zh-CN"/>
        </w:rPr>
        <w:t>和监督</w:t>
      </w:r>
      <w:r>
        <w:rPr>
          <w:rFonts w:hint="default" w:ascii="Noto Serif Armenian" w:hAnsi="Noto Serif Armenian" w:eastAsia="仿宋" w:cs="Noto Serif Armenian"/>
          <w:color w:val="000000"/>
          <w:sz w:val="32"/>
          <w:szCs w:val="32"/>
        </w:rPr>
        <w:t>工作；负责协调税收征管</w:t>
      </w:r>
      <w:r>
        <w:rPr>
          <w:rFonts w:hint="eastAsia" w:ascii="Noto Serif Armenian" w:hAnsi="Noto Serif Armenian" w:eastAsia="仿宋" w:cs="Noto Serif Armenian"/>
          <w:color w:val="000000"/>
          <w:sz w:val="32"/>
          <w:szCs w:val="32"/>
          <w:lang w:eastAsia="zh-CN"/>
        </w:rPr>
        <w:t>、住房公积金、会计工作；负责协调</w:t>
      </w:r>
      <w:r>
        <w:rPr>
          <w:rFonts w:hint="default" w:ascii="Noto Serif Armenian" w:hAnsi="Noto Serif Armenian" w:eastAsia="仿宋" w:cs="Noto Serif Armenian"/>
          <w:color w:val="000000"/>
          <w:sz w:val="32"/>
          <w:szCs w:val="32"/>
          <w:lang w:eastAsia="zh-CN"/>
        </w:rPr>
        <w:t>各专业银行和金融机构做好融资工作</w:t>
      </w:r>
      <w:r>
        <w:rPr>
          <w:rFonts w:hint="default" w:ascii="Noto Serif Armenian" w:hAnsi="Noto Serif Armenian" w:eastAsia="仿宋" w:cs="Noto Serif Armenian"/>
          <w:color w:val="000000"/>
          <w:sz w:val="32"/>
          <w:szCs w:val="32"/>
        </w:rPr>
        <w:t>。</w:t>
      </w:r>
    </w:p>
    <w:p w14:paraId="4B3105D3">
      <w:pPr>
        <w:adjustRightInd w:val="0"/>
        <w:snapToGrid w:val="0"/>
        <w:spacing w:line="580" w:lineRule="atLeast"/>
        <w:ind w:firstLine="640" w:firstLineChars="200"/>
        <w:rPr>
          <w:rFonts w:hint="eastAsia" w:ascii="仿宋_GB2312" w:hAnsi="宋体" w:eastAsia="仿宋_GB2312"/>
          <w:bCs/>
          <w:sz w:val="32"/>
          <w:szCs w:val="32"/>
          <w:highlight w:val="none"/>
          <w:lang w:val="en-US" w:eastAsia="zh-CN"/>
        </w:rPr>
      </w:pPr>
      <w:r>
        <w:rPr>
          <w:rFonts w:hint="eastAsia" w:ascii="黑体" w:hAnsi="黑体" w:eastAsia="黑体" w:cs="黑体"/>
          <w:bCs/>
          <w:sz w:val="32"/>
          <w:szCs w:val="32"/>
          <w:highlight w:val="none"/>
          <w:lang w:val="en-US" w:eastAsia="zh-CN"/>
        </w:rPr>
        <w:t>二、机构设置情况</w:t>
      </w:r>
    </w:p>
    <w:p w14:paraId="0F9823F2">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从单位构成看，财金局部门决算由实行独立核算的财金局本级决算组成。</w:t>
      </w:r>
    </w:p>
    <w:p w14:paraId="4D9E7DE2">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部门构成情况：</w:t>
      </w:r>
      <w:r>
        <w:rPr>
          <w:rFonts w:hint="eastAsia" w:ascii="仿宋" w:hAnsi="仿宋" w:eastAsia="仿宋" w:cs="仿宋"/>
          <w:sz w:val="32"/>
          <w:szCs w:val="32"/>
        </w:rPr>
        <w:t>综合科、预算科、国库科</w:t>
      </w:r>
    </w:p>
    <w:p w14:paraId="66486926">
      <w:p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单位人员情况：实有人员14人，其中：在职人员8人，年末其他人员3人，退休3人。</w:t>
      </w:r>
    </w:p>
    <w:p w14:paraId="13F90FD7">
      <w:pPr>
        <w:ind w:firstLine="640"/>
        <w:jc w:val="both"/>
        <w:rPr>
          <w:rFonts w:hint="eastAsia" w:ascii="仿宋_GB2312" w:hAnsi="仿宋_GB2312" w:eastAsia="仿宋_GB2312" w:cs="仿宋_GB2312"/>
          <w:sz w:val="32"/>
          <w:szCs w:val="32"/>
          <w:lang w:val="en-US" w:eastAsia="zh-CN"/>
        </w:rPr>
      </w:pPr>
    </w:p>
    <w:p w14:paraId="506926A7">
      <w:pPr>
        <w:ind w:firstLine="640"/>
        <w:jc w:val="center"/>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第二部分  2023年度</w:t>
      </w:r>
      <w:r>
        <w:rPr>
          <w:rFonts w:hint="eastAsia" w:ascii="黑体" w:hAnsi="黑体" w:eastAsia="黑体" w:cs="黑体"/>
          <w:sz w:val="32"/>
          <w:szCs w:val="32"/>
        </w:rPr>
        <w:t>部门决算</w:t>
      </w:r>
      <w:r>
        <w:rPr>
          <w:rFonts w:hint="eastAsia" w:ascii="黑体" w:hAnsi="黑体" w:eastAsia="黑体" w:cs="黑体"/>
          <w:sz w:val="32"/>
          <w:szCs w:val="32"/>
          <w:lang w:eastAsia="zh-CN"/>
        </w:rPr>
        <w:t>表</w:t>
      </w:r>
    </w:p>
    <w:p w14:paraId="0130E7C9">
      <w:pPr>
        <w:adjustRightInd w:val="0"/>
        <w:snapToGrid w:val="0"/>
        <w:spacing w:line="580" w:lineRule="atLeast"/>
        <w:ind w:right="-781" w:rightChars="-244"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一、收入支出决算总表</w:t>
      </w:r>
    </w:p>
    <w:p w14:paraId="58475013">
      <w:pPr>
        <w:keepNext w:val="0"/>
        <w:keepLines w:val="0"/>
        <w:widowControl/>
        <w:suppressLineNumbers w:val="0"/>
        <w:jc w:val="left"/>
        <w:rPr>
          <w:rFonts w:hint="eastAsia" w:ascii="黑体" w:hAnsi="黑体" w:eastAsia="黑体" w:cs="黑体"/>
          <w:bCs/>
          <w:sz w:val="32"/>
          <w:szCs w:val="32"/>
          <w:highlight w:val="none"/>
        </w:rPr>
      </w:pPr>
      <w:r>
        <w:rPr>
          <w:rFonts w:ascii="宋体" w:hAnsi="宋体" w:eastAsia="宋体" w:cs="宋体"/>
          <w:sz w:val="24"/>
          <w:szCs w:val="24"/>
        </w:rPr>
        <w:drawing>
          <wp:inline distT="0" distB="0" distL="114300" distR="114300">
            <wp:extent cx="5470525" cy="3347085"/>
            <wp:effectExtent l="0" t="0" r="15875" b="5715"/>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5"/>
                    <a:stretch>
                      <a:fillRect/>
                    </a:stretch>
                  </pic:blipFill>
                  <pic:spPr>
                    <a:xfrm>
                      <a:off x="0" y="0"/>
                      <a:ext cx="5470525" cy="3347085"/>
                    </a:xfrm>
                    <a:prstGeom prst="rect">
                      <a:avLst/>
                    </a:prstGeom>
                    <a:noFill/>
                    <a:ln w="9525">
                      <a:noFill/>
                    </a:ln>
                  </pic:spPr>
                </pic:pic>
              </a:graphicData>
            </a:graphic>
          </wp:inline>
        </w:drawing>
      </w:r>
    </w:p>
    <w:p w14:paraId="3A777565">
      <w:pPr>
        <w:numPr>
          <w:ilvl w:val="0"/>
          <w:numId w:val="1"/>
        </w:numPr>
        <w:adjustRightInd w:val="0"/>
        <w:snapToGrid w:val="0"/>
        <w:spacing w:line="580" w:lineRule="atLeast"/>
        <w:ind w:left="0" w:leftChars="0"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收入决算表</w:t>
      </w:r>
    </w:p>
    <w:p w14:paraId="72A40F4B">
      <w:pPr>
        <w:keepNext w:val="0"/>
        <w:keepLines w:val="0"/>
        <w:widowControl/>
        <w:suppressLineNumbers w:val="0"/>
        <w:jc w:val="left"/>
      </w:pPr>
      <w:r>
        <w:rPr>
          <w:rFonts w:ascii="宋体" w:hAnsi="宋体" w:eastAsia="宋体" w:cs="宋体"/>
          <w:sz w:val="24"/>
          <w:szCs w:val="24"/>
        </w:rPr>
        <w:drawing>
          <wp:inline distT="0" distB="0" distL="114300" distR="114300">
            <wp:extent cx="6092825" cy="2913380"/>
            <wp:effectExtent l="0" t="0" r="3175" b="1270"/>
            <wp:docPr id="11"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56"/>
                    <pic:cNvPicPr>
                      <a:picLocks noChangeAspect="1"/>
                    </pic:cNvPicPr>
                  </pic:nvPicPr>
                  <pic:blipFill>
                    <a:blip r:embed="rId6"/>
                    <a:stretch>
                      <a:fillRect/>
                    </a:stretch>
                  </pic:blipFill>
                  <pic:spPr>
                    <a:xfrm>
                      <a:off x="0" y="0"/>
                      <a:ext cx="6092825" cy="2913380"/>
                    </a:xfrm>
                    <a:prstGeom prst="rect">
                      <a:avLst/>
                    </a:prstGeom>
                    <a:noFill/>
                    <a:ln w="9525">
                      <a:noFill/>
                    </a:ln>
                  </pic:spPr>
                </pic:pic>
              </a:graphicData>
            </a:graphic>
          </wp:inline>
        </w:drawing>
      </w:r>
    </w:p>
    <w:p w14:paraId="59F894CF">
      <w:pPr>
        <w:numPr>
          <w:ilvl w:val="0"/>
          <w:numId w:val="0"/>
        </w:numPr>
        <w:adjustRightInd w:val="0"/>
        <w:snapToGrid w:val="0"/>
        <w:spacing w:line="580" w:lineRule="atLeast"/>
        <w:ind w:leftChars="200"/>
        <w:rPr>
          <w:rFonts w:hint="eastAsia" w:ascii="黑体" w:hAnsi="黑体" w:eastAsia="黑体" w:cs="黑体"/>
          <w:bCs/>
          <w:sz w:val="32"/>
          <w:szCs w:val="32"/>
          <w:highlight w:val="none"/>
        </w:rPr>
      </w:pPr>
    </w:p>
    <w:p w14:paraId="33709CFD">
      <w:pPr>
        <w:numPr>
          <w:ilvl w:val="0"/>
          <w:numId w:val="1"/>
        </w:numPr>
        <w:adjustRightInd w:val="0"/>
        <w:snapToGrid w:val="0"/>
        <w:spacing w:line="580" w:lineRule="atLeast"/>
        <w:ind w:left="0" w:leftChars="0"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支出决算表</w:t>
      </w:r>
    </w:p>
    <w:p w14:paraId="5C607AC3">
      <w:pPr>
        <w:numPr>
          <w:ilvl w:val="0"/>
          <w:numId w:val="0"/>
        </w:numPr>
        <w:adjustRightInd w:val="0"/>
        <w:snapToGrid w:val="0"/>
        <w:spacing w:line="580" w:lineRule="atLeast"/>
        <w:rPr>
          <w:rFonts w:hint="eastAsia" w:ascii="黑体" w:hAnsi="黑体" w:eastAsia="黑体" w:cs="黑体"/>
          <w:bCs/>
          <w:sz w:val="32"/>
          <w:szCs w:val="32"/>
          <w:highlight w:val="none"/>
        </w:rPr>
      </w:pPr>
      <w:r>
        <w:rPr>
          <w:rFonts w:ascii="宋体" w:hAnsi="宋体" w:eastAsia="宋体" w:cs="宋体"/>
          <w:sz w:val="24"/>
          <w:szCs w:val="24"/>
        </w:rPr>
        <w:drawing>
          <wp:inline distT="0" distB="0" distL="114300" distR="114300">
            <wp:extent cx="6057900" cy="3248025"/>
            <wp:effectExtent l="0" t="0" r="0" b="9525"/>
            <wp:docPr id="12"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IMG_256"/>
                    <pic:cNvPicPr>
                      <a:picLocks noChangeAspect="1"/>
                    </pic:cNvPicPr>
                  </pic:nvPicPr>
                  <pic:blipFill>
                    <a:blip r:embed="rId7"/>
                    <a:stretch>
                      <a:fillRect/>
                    </a:stretch>
                  </pic:blipFill>
                  <pic:spPr>
                    <a:xfrm>
                      <a:off x="0" y="0"/>
                      <a:ext cx="6057900" cy="3248025"/>
                    </a:xfrm>
                    <a:prstGeom prst="rect">
                      <a:avLst/>
                    </a:prstGeom>
                    <a:noFill/>
                    <a:ln w="9525">
                      <a:noFill/>
                    </a:ln>
                  </pic:spPr>
                </pic:pic>
              </a:graphicData>
            </a:graphic>
          </wp:inline>
        </w:drawing>
      </w:r>
    </w:p>
    <w:p w14:paraId="59A8D367">
      <w:pPr>
        <w:adjustRightInd w:val="0"/>
        <w:snapToGrid w:val="0"/>
        <w:spacing w:line="580" w:lineRule="atLeast"/>
        <w:ind w:firstLine="640" w:firstLineChars="200"/>
        <w:rPr>
          <w:rFonts w:hint="eastAsia" w:ascii="黑体" w:hAnsi="黑体" w:eastAsia="黑体" w:cs="黑体"/>
          <w:bCs/>
          <w:sz w:val="32"/>
          <w:szCs w:val="32"/>
          <w:highlight w:val="none"/>
        </w:rPr>
      </w:pPr>
    </w:p>
    <w:p w14:paraId="08E9F436">
      <w:pPr>
        <w:adjustRightInd w:val="0"/>
        <w:snapToGrid w:val="0"/>
        <w:spacing w:line="580" w:lineRule="atLeast"/>
        <w:ind w:firstLine="640" w:firstLineChars="200"/>
        <w:rPr>
          <w:rFonts w:hint="eastAsia" w:ascii="黑体" w:hAnsi="黑体" w:eastAsia="黑体" w:cs="黑体"/>
          <w:bCs/>
          <w:sz w:val="32"/>
          <w:szCs w:val="32"/>
          <w:highlight w:val="none"/>
        </w:rPr>
      </w:pPr>
    </w:p>
    <w:p w14:paraId="386082ED">
      <w:pPr>
        <w:numPr>
          <w:ilvl w:val="0"/>
          <w:numId w:val="1"/>
        </w:numPr>
        <w:adjustRightInd w:val="0"/>
        <w:snapToGrid w:val="0"/>
        <w:spacing w:line="580" w:lineRule="atLeast"/>
        <w:ind w:left="0" w:leftChars="0"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财政拨款收入支出决算总表</w:t>
      </w:r>
    </w:p>
    <w:p w14:paraId="48D0D614">
      <w:pPr>
        <w:keepNext w:val="0"/>
        <w:keepLines w:val="0"/>
        <w:widowControl/>
        <w:suppressLineNumbers w:val="0"/>
        <w:jc w:val="left"/>
        <w:rPr>
          <w:rFonts w:hint="eastAsia" w:ascii="黑体" w:hAnsi="黑体" w:eastAsia="黑体" w:cs="黑体"/>
          <w:bCs/>
          <w:sz w:val="32"/>
          <w:szCs w:val="32"/>
          <w:highlight w:val="none"/>
        </w:rPr>
      </w:pPr>
      <w:r>
        <w:rPr>
          <w:rFonts w:ascii="宋体" w:hAnsi="宋体" w:eastAsia="宋体" w:cs="宋体"/>
          <w:sz w:val="24"/>
          <w:szCs w:val="24"/>
        </w:rPr>
        <w:drawing>
          <wp:inline distT="0" distB="0" distL="114300" distR="114300">
            <wp:extent cx="5501640" cy="4069080"/>
            <wp:effectExtent l="0" t="0" r="3810" b="7620"/>
            <wp:docPr id="13"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56"/>
                    <pic:cNvPicPr>
                      <a:picLocks noChangeAspect="1"/>
                    </pic:cNvPicPr>
                  </pic:nvPicPr>
                  <pic:blipFill>
                    <a:blip r:embed="rId8"/>
                    <a:stretch>
                      <a:fillRect/>
                    </a:stretch>
                  </pic:blipFill>
                  <pic:spPr>
                    <a:xfrm>
                      <a:off x="0" y="0"/>
                      <a:ext cx="5501640" cy="4069080"/>
                    </a:xfrm>
                    <a:prstGeom prst="rect">
                      <a:avLst/>
                    </a:prstGeom>
                    <a:noFill/>
                    <a:ln w="9525">
                      <a:noFill/>
                    </a:ln>
                  </pic:spPr>
                </pic:pic>
              </a:graphicData>
            </a:graphic>
          </wp:inline>
        </w:drawing>
      </w:r>
    </w:p>
    <w:p w14:paraId="1AB179FB">
      <w:pPr>
        <w:numPr>
          <w:ilvl w:val="0"/>
          <w:numId w:val="1"/>
        </w:numPr>
        <w:adjustRightInd w:val="0"/>
        <w:snapToGrid w:val="0"/>
        <w:spacing w:line="580" w:lineRule="atLeast"/>
        <w:ind w:left="0" w:leftChars="0"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一般公共预算财政拨款支出决算表</w:t>
      </w:r>
    </w:p>
    <w:p w14:paraId="4FF98030">
      <w:pPr>
        <w:keepNext w:val="0"/>
        <w:keepLines w:val="0"/>
        <w:widowControl/>
        <w:suppressLineNumbers w:val="0"/>
        <w:jc w:val="left"/>
        <w:rPr>
          <w:rFonts w:hint="eastAsia" w:ascii="黑体" w:hAnsi="黑体" w:eastAsia="黑体" w:cs="黑体"/>
          <w:bCs/>
          <w:sz w:val="32"/>
          <w:szCs w:val="32"/>
          <w:highlight w:val="none"/>
        </w:rPr>
      </w:pPr>
      <w:r>
        <w:rPr>
          <w:rFonts w:ascii="宋体" w:hAnsi="宋体" w:eastAsia="宋体" w:cs="宋体"/>
          <w:sz w:val="24"/>
          <w:szCs w:val="24"/>
        </w:rPr>
        <w:drawing>
          <wp:inline distT="0" distB="0" distL="114300" distR="114300">
            <wp:extent cx="5248275" cy="3771900"/>
            <wp:effectExtent l="0" t="0" r="9525" b="0"/>
            <wp:docPr id="14"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IMG_256"/>
                    <pic:cNvPicPr>
                      <a:picLocks noChangeAspect="1"/>
                    </pic:cNvPicPr>
                  </pic:nvPicPr>
                  <pic:blipFill>
                    <a:blip r:embed="rId9"/>
                    <a:stretch>
                      <a:fillRect/>
                    </a:stretch>
                  </pic:blipFill>
                  <pic:spPr>
                    <a:xfrm>
                      <a:off x="0" y="0"/>
                      <a:ext cx="5248275" cy="3771900"/>
                    </a:xfrm>
                    <a:prstGeom prst="rect">
                      <a:avLst/>
                    </a:prstGeom>
                    <a:noFill/>
                    <a:ln w="9525">
                      <a:noFill/>
                    </a:ln>
                  </pic:spPr>
                </pic:pic>
              </a:graphicData>
            </a:graphic>
          </wp:inline>
        </w:drawing>
      </w:r>
    </w:p>
    <w:p w14:paraId="4876A1CF">
      <w:pPr>
        <w:numPr>
          <w:ilvl w:val="0"/>
          <w:numId w:val="1"/>
        </w:numPr>
        <w:adjustRightInd w:val="0"/>
        <w:snapToGrid w:val="0"/>
        <w:spacing w:line="580" w:lineRule="atLeast"/>
        <w:ind w:left="0" w:leftChars="0"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一般公共预算财政拨款基本支出决算</w:t>
      </w:r>
      <w:r>
        <w:rPr>
          <w:rFonts w:hint="eastAsia" w:ascii="黑体" w:hAnsi="黑体" w:eastAsia="黑体" w:cs="黑体"/>
          <w:bCs/>
          <w:sz w:val="32"/>
          <w:szCs w:val="32"/>
          <w:highlight w:val="none"/>
          <w:lang w:eastAsia="zh-CN"/>
        </w:rPr>
        <w:t>明细</w:t>
      </w:r>
      <w:r>
        <w:rPr>
          <w:rFonts w:hint="eastAsia" w:ascii="黑体" w:hAnsi="黑体" w:eastAsia="黑体" w:cs="黑体"/>
          <w:bCs/>
          <w:sz w:val="32"/>
          <w:szCs w:val="32"/>
          <w:highlight w:val="none"/>
        </w:rPr>
        <w:t>表</w:t>
      </w:r>
    </w:p>
    <w:p w14:paraId="1FCB1010">
      <w:pPr>
        <w:keepNext w:val="0"/>
        <w:keepLines w:val="0"/>
        <w:widowControl/>
        <w:suppressLineNumbers w:val="0"/>
        <w:jc w:val="left"/>
        <w:rPr>
          <w:rFonts w:ascii="宋体" w:hAnsi="宋体" w:eastAsia="宋体" w:cs="宋体"/>
          <w:kern w:val="0"/>
          <w:sz w:val="24"/>
          <w:szCs w:val="24"/>
          <w:lang w:val="en-US" w:eastAsia="zh-CN" w:bidi="ar"/>
        </w:rPr>
      </w:pPr>
    </w:p>
    <w:p w14:paraId="5F50A2BB">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sz w:val="24"/>
          <w:szCs w:val="24"/>
        </w:rPr>
        <w:drawing>
          <wp:inline distT="0" distB="0" distL="114300" distR="114300">
            <wp:extent cx="5834380" cy="3448050"/>
            <wp:effectExtent l="0" t="0" r="13970" b="0"/>
            <wp:docPr id="15"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IMG_256"/>
                    <pic:cNvPicPr>
                      <a:picLocks noChangeAspect="1"/>
                    </pic:cNvPicPr>
                  </pic:nvPicPr>
                  <pic:blipFill>
                    <a:blip r:embed="rId10"/>
                    <a:stretch>
                      <a:fillRect/>
                    </a:stretch>
                  </pic:blipFill>
                  <pic:spPr>
                    <a:xfrm>
                      <a:off x="0" y="0"/>
                      <a:ext cx="5834380" cy="3448050"/>
                    </a:xfrm>
                    <a:prstGeom prst="rect">
                      <a:avLst/>
                    </a:prstGeom>
                    <a:noFill/>
                    <a:ln w="9525">
                      <a:noFill/>
                    </a:ln>
                  </pic:spPr>
                </pic:pic>
              </a:graphicData>
            </a:graphic>
          </wp:inline>
        </w:drawing>
      </w:r>
    </w:p>
    <w:p w14:paraId="2A3B25EC">
      <w:pPr>
        <w:keepNext w:val="0"/>
        <w:keepLines w:val="0"/>
        <w:widowControl/>
        <w:suppressLineNumbers w:val="0"/>
        <w:jc w:val="left"/>
        <w:rPr>
          <w:rFonts w:hint="eastAsia" w:ascii="宋体" w:hAnsi="宋体" w:eastAsia="宋体" w:cs="宋体"/>
          <w:kern w:val="0"/>
          <w:sz w:val="24"/>
          <w:szCs w:val="24"/>
          <w:lang w:val="en-US" w:eastAsia="zh-CN" w:bidi="ar"/>
        </w:rPr>
      </w:pPr>
    </w:p>
    <w:p w14:paraId="3FD13837">
      <w:pPr>
        <w:numPr>
          <w:ilvl w:val="0"/>
          <w:numId w:val="1"/>
        </w:numPr>
        <w:adjustRightInd w:val="0"/>
        <w:snapToGrid w:val="0"/>
        <w:spacing w:line="580" w:lineRule="atLeast"/>
        <w:ind w:left="0" w:leftChars="0"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政府性基金预算财政拨款收入支出决算表</w:t>
      </w:r>
    </w:p>
    <w:p w14:paraId="3A7DEF46">
      <w:pPr>
        <w:keepNext w:val="0"/>
        <w:keepLines w:val="0"/>
        <w:widowControl/>
        <w:suppressLineNumbers w:val="0"/>
        <w:jc w:val="left"/>
      </w:pPr>
      <w:r>
        <w:rPr>
          <w:rFonts w:ascii="宋体" w:hAnsi="宋体" w:eastAsia="宋体" w:cs="宋体"/>
          <w:sz w:val="24"/>
          <w:szCs w:val="24"/>
        </w:rPr>
        <w:drawing>
          <wp:inline distT="0" distB="0" distL="114300" distR="114300">
            <wp:extent cx="6071235" cy="1953895"/>
            <wp:effectExtent l="0" t="0" r="5715" b="8255"/>
            <wp:docPr id="8"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56"/>
                    <pic:cNvPicPr>
                      <a:picLocks noChangeAspect="1"/>
                    </pic:cNvPicPr>
                  </pic:nvPicPr>
                  <pic:blipFill>
                    <a:blip r:embed="rId11"/>
                    <a:stretch>
                      <a:fillRect/>
                    </a:stretch>
                  </pic:blipFill>
                  <pic:spPr>
                    <a:xfrm>
                      <a:off x="0" y="0"/>
                      <a:ext cx="6071235" cy="1953895"/>
                    </a:xfrm>
                    <a:prstGeom prst="rect">
                      <a:avLst/>
                    </a:prstGeom>
                    <a:noFill/>
                    <a:ln w="9525">
                      <a:noFill/>
                    </a:ln>
                  </pic:spPr>
                </pic:pic>
              </a:graphicData>
            </a:graphic>
          </wp:inline>
        </w:drawing>
      </w:r>
    </w:p>
    <w:p w14:paraId="31B0A67A">
      <w:pPr>
        <w:numPr>
          <w:ilvl w:val="0"/>
          <w:numId w:val="0"/>
        </w:numPr>
        <w:adjustRightInd w:val="0"/>
        <w:snapToGrid w:val="0"/>
        <w:spacing w:line="580" w:lineRule="atLeast"/>
        <w:ind w:leftChars="200"/>
        <w:rPr>
          <w:rFonts w:hint="eastAsia" w:ascii="黑体" w:hAnsi="黑体" w:eastAsia="黑体" w:cs="黑体"/>
          <w:bCs/>
          <w:sz w:val="32"/>
          <w:szCs w:val="32"/>
          <w:highlight w:val="none"/>
        </w:rPr>
      </w:pPr>
      <w:r>
        <w:rPr>
          <w:rFonts w:hint="eastAsia" w:ascii="宋体" w:hAnsi="宋体" w:eastAsia="宋体" w:cs="宋体"/>
          <w:i w:val="0"/>
          <w:iCs w:val="0"/>
          <w:caps w:val="0"/>
          <w:color w:val="333333"/>
          <w:spacing w:val="0"/>
          <w:sz w:val="28"/>
          <w:szCs w:val="28"/>
          <w:shd w:val="clear" w:fill="FFFFFF"/>
        </w:rPr>
        <w:t>说明：本单位202</w:t>
      </w:r>
      <w:r>
        <w:rPr>
          <w:rFonts w:hint="eastAsia" w:ascii="宋体" w:hAnsi="宋体" w:eastAsia="宋体" w:cs="宋体"/>
          <w:i w:val="0"/>
          <w:iCs w:val="0"/>
          <w:caps w:val="0"/>
          <w:color w:val="333333"/>
          <w:spacing w:val="0"/>
          <w:sz w:val="28"/>
          <w:szCs w:val="28"/>
          <w:shd w:val="clear" w:fill="FFFFFF"/>
          <w:lang w:val="en-US" w:eastAsia="zh-CN"/>
        </w:rPr>
        <w:t>3</w:t>
      </w:r>
      <w:r>
        <w:rPr>
          <w:rFonts w:hint="eastAsia" w:ascii="宋体" w:hAnsi="宋体" w:eastAsia="宋体" w:cs="宋体"/>
          <w:i w:val="0"/>
          <w:iCs w:val="0"/>
          <w:caps w:val="0"/>
          <w:color w:val="333333"/>
          <w:spacing w:val="0"/>
          <w:sz w:val="28"/>
          <w:szCs w:val="28"/>
          <w:shd w:val="clear" w:fill="FFFFFF"/>
        </w:rPr>
        <w:t>年无政府性基金预算财政拨款收入支出。</w:t>
      </w:r>
    </w:p>
    <w:p w14:paraId="1DEBB6DB">
      <w:pPr>
        <w:adjustRightInd w:val="0"/>
        <w:snapToGrid w:val="0"/>
        <w:spacing w:line="580" w:lineRule="atLeast"/>
        <w:ind w:firstLine="640" w:firstLineChars="200"/>
        <w:rPr>
          <w:rFonts w:hint="eastAsia" w:ascii="黑体" w:hAnsi="黑体" w:eastAsia="黑体" w:cs="黑体"/>
          <w:bCs/>
          <w:sz w:val="32"/>
          <w:szCs w:val="32"/>
          <w:highlight w:val="none"/>
        </w:rPr>
      </w:pPr>
    </w:p>
    <w:p w14:paraId="507F1320">
      <w:pPr>
        <w:adjustRightInd w:val="0"/>
        <w:snapToGrid w:val="0"/>
        <w:spacing w:line="580" w:lineRule="atLeast"/>
        <w:ind w:firstLine="640" w:firstLineChars="200"/>
        <w:rPr>
          <w:rFonts w:hint="eastAsia" w:ascii="黑体" w:hAnsi="黑体" w:eastAsia="黑体" w:cs="黑体"/>
          <w:bCs/>
          <w:sz w:val="32"/>
          <w:szCs w:val="32"/>
          <w:highlight w:val="none"/>
        </w:rPr>
      </w:pPr>
    </w:p>
    <w:p w14:paraId="71D9C7FD">
      <w:pPr>
        <w:adjustRightInd w:val="0"/>
        <w:snapToGrid w:val="0"/>
        <w:spacing w:line="580" w:lineRule="atLeast"/>
        <w:rPr>
          <w:rFonts w:hint="eastAsia" w:ascii="黑体" w:hAnsi="黑体" w:eastAsia="黑体" w:cs="黑体"/>
          <w:bCs/>
          <w:sz w:val="32"/>
          <w:szCs w:val="32"/>
          <w:highlight w:val="none"/>
        </w:rPr>
      </w:pPr>
    </w:p>
    <w:p w14:paraId="50461261">
      <w:pPr>
        <w:numPr>
          <w:ilvl w:val="0"/>
          <w:numId w:val="1"/>
        </w:numPr>
        <w:adjustRightInd w:val="0"/>
        <w:snapToGrid w:val="0"/>
        <w:spacing w:line="580" w:lineRule="atLeast"/>
        <w:ind w:left="0" w:leftChars="0"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国有资本经营预算财政拨款支出决算表</w:t>
      </w:r>
    </w:p>
    <w:p w14:paraId="692525FE">
      <w:pPr>
        <w:keepNext w:val="0"/>
        <w:keepLines w:val="0"/>
        <w:widowControl/>
        <w:suppressLineNumbers w:val="0"/>
        <w:jc w:val="left"/>
      </w:pPr>
      <w:r>
        <w:rPr>
          <w:rFonts w:ascii="宋体" w:hAnsi="宋体" w:eastAsia="宋体" w:cs="宋体"/>
          <w:sz w:val="24"/>
          <w:szCs w:val="24"/>
        </w:rPr>
        <w:drawing>
          <wp:inline distT="0" distB="0" distL="114300" distR="114300">
            <wp:extent cx="5410200" cy="2705100"/>
            <wp:effectExtent l="0" t="0" r="0" b="0"/>
            <wp:docPr id="9"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IMG_256"/>
                    <pic:cNvPicPr>
                      <a:picLocks noChangeAspect="1"/>
                    </pic:cNvPicPr>
                  </pic:nvPicPr>
                  <pic:blipFill>
                    <a:blip r:embed="rId12"/>
                    <a:stretch>
                      <a:fillRect/>
                    </a:stretch>
                  </pic:blipFill>
                  <pic:spPr>
                    <a:xfrm>
                      <a:off x="0" y="0"/>
                      <a:ext cx="5410200" cy="2705100"/>
                    </a:xfrm>
                    <a:prstGeom prst="rect">
                      <a:avLst/>
                    </a:prstGeom>
                    <a:noFill/>
                    <a:ln w="9525">
                      <a:noFill/>
                    </a:ln>
                  </pic:spPr>
                </pic:pic>
              </a:graphicData>
            </a:graphic>
          </wp:inline>
        </w:drawing>
      </w:r>
    </w:p>
    <w:p w14:paraId="0D6A8BEB">
      <w:pPr>
        <w:numPr>
          <w:ilvl w:val="0"/>
          <w:numId w:val="0"/>
        </w:numPr>
        <w:adjustRightInd w:val="0"/>
        <w:snapToGrid w:val="0"/>
        <w:spacing w:line="580" w:lineRule="atLeast"/>
        <w:ind w:leftChars="200"/>
        <w:rPr>
          <w:rFonts w:hint="eastAsia" w:ascii="黑体" w:hAnsi="黑体" w:eastAsia="黑体" w:cs="黑体"/>
          <w:bCs/>
          <w:sz w:val="32"/>
          <w:szCs w:val="32"/>
          <w:highlight w:val="none"/>
        </w:rPr>
      </w:pPr>
      <w:r>
        <w:rPr>
          <w:rFonts w:hint="eastAsia" w:ascii="宋体" w:hAnsi="宋体" w:eastAsia="宋体" w:cs="宋体"/>
          <w:i w:val="0"/>
          <w:iCs w:val="0"/>
          <w:caps w:val="0"/>
          <w:color w:val="333333"/>
          <w:spacing w:val="0"/>
          <w:sz w:val="28"/>
          <w:szCs w:val="28"/>
          <w:shd w:val="clear" w:fill="FFFFFF"/>
        </w:rPr>
        <w:t>说明：本单位202</w:t>
      </w:r>
      <w:r>
        <w:rPr>
          <w:rFonts w:hint="eastAsia" w:ascii="宋体" w:hAnsi="宋体" w:eastAsia="宋体" w:cs="宋体"/>
          <w:i w:val="0"/>
          <w:iCs w:val="0"/>
          <w:caps w:val="0"/>
          <w:color w:val="333333"/>
          <w:spacing w:val="0"/>
          <w:sz w:val="28"/>
          <w:szCs w:val="28"/>
          <w:shd w:val="clear" w:fill="FFFFFF"/>
          <w:lang w:val="en-US" w:eastAsia="zh-CN"/>
        </w:rPr>
        <w:t>3</w:t>
      </w:r>
      <w:r>
        <w:rPr>
          <w:rFonts w:hint="eastAsia" w:ascii="宋体" w:hAnsi="宋体" w:eastAsia="宋体" w:cs="宋体"/>
          <w:i w:val="0"/>
          <w:iCs w:val="0"/>
          <w:caps w:val="0"/>
          <w:color w:val="333333"/>
          <w:spacing w:val="0"/>
          <w:sz w:val="28"/>
          <w:szCs w:val="28"/>
          <w:shd w:val="clear" w:fill="FFFFFF"/>
        </w:rPr>
        <w:t>年无国有资本经营预算财政拨款支出。</w:t>
      </w:r>
    </w:p>
    <w:p w14:paraId="30C8EF28">
      <w:pPr>
        <w:adjustRightInd w:val="0"/>
        <w:snapToGrid w:val="0"/>
        <w:spacing w:line="580" w:lineRule="atLeast"/>
        <w:ind w:firstLine="640" w:firstLineChars="200"/>
        <w:rPr>
          <w:rFonts w:hint="eastAsia" w:ascii="黑体" w:hAnsi="黑体" w:eastAsia="黑体" w:cs="黑体"/>
          <w:bCs/>
          <w:sz w:val="32"/>
          <w:szCs w:val="32"/>
          <w:highlight w:val="none"/>
          <w:lang w:eastAsia="zh-CN"/>
        </w:rPr>
      </w:pPr>
    </w:p>
    <w:p w14:paraId="2B3167E7">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eastAsia="zh-CN"/>
        </w:rPr>
        <w:t>九、</w:t>
      </w:r>
      <w:r>
        <w:rPr>
          <w:rFonts w:hint="eastAsia" w:ascii="黑体" w:hAnsi="黑体" w:eastAsia="黑体" w:cs="黑体"/>
          <w:bCs/>
          <w:sz w:val="32"/>
          <w:szCs w:val="32"/>
          <w:highlight w:val="none"/>
        </w:rPr>
        <w:t>财政拨款“三公”经费支出决算表</w:t>
      </w:r>
    </w:p>
    <w:p w14:paraId="5E9CACB4">
      <w:pPr>
        <w:jc w:val="both"/>
        <w:rPr>
          <w:rFonts w:hint="eastAsia" w:ascii="黑体" w:hAnsi="黑体" w:eastAsia="黑体" w:cs="黑体"/>
          <w:sz w:val="32"/>
          <w:szCs w:val="32"/>
          <w:lang w:val="en-US" w:eastAsia="zh-CN"/>
        </w:rPr>
      </w:pPr>
      <w:r>
        <w:rPr>
          <w:rFonts w:ascii="宋体" w:hAnsi="宋体" w:eastAsia="宋体" w:cs="宋体"/>
          <w:sz w:val="24"/>
          <w:szCs w:val="24"/>
        </w:rPr>
        <w:drawing>
          <wp:inline distT="0" distB="0" distL="114300" distR="114300">
            <wp:extent cx="6311900" cy="1314450"/>
            <wp:effectExtent l="0" t="0" r="12700" b="0"/>
            <wp:docPr id="10"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IMG_256"/>
                    <pic:cNvPicPr>
                      <a:picLocks noChangeAspect="1"/>
                    </pic:cNvPicPr>
                  </pic:nvPicPr>
                  <pic:blipFill>
                    <a:blip r:embed="rId13"/>
                    <a:stretch>
                      <a:fillRect/>
                    </a:stretch>
                  </pic:blipFill>
                  <pic:spPr>
                    <a:xfrm>
                      <a:off x="0" y="0"/>
                      <a:ext cx="6311900" cy="1314450"/>
                    </a:xfrm>
                    <a:prstGeom prst="rect">
                      <a:avLst/>
                    </a:prstGeom>
                    <a:noFill/>
                    <a:ln w="9525">
                      <a:noFill/>
                    </a:ln>
                  </pic:spPr>
                </pic:pic>
              </a:graphicData>
            </a:graphic>
          </wp:inline>
        </w:drawing>
      </w:r>
    </w:p>
    <w:p w14:paraId="65591FA2">
      <w:pPr>
        <w:keepNext w:val="0"/>
        <w:keepLines w:val="0"/>
        <w:widowControl/>
        <w:suppressLineNumbers w:val="0"/>
        <w:jc w:val="left"/>
        <w:rPr>
          <w:rFonts w:hint="eastAsia" w:ascii="黑体" w:hAnsi="黑体" w:eastAsia="黑体" w:cs="黑体"/>
          <w:sz w:val="32"/>
          <w:szCs w:val="32"/>
          <w:lang w:val="en-US" w:eastAsia="zh-CN"/>
        </w:rPr>
      </w:pPr>
    </w:p>
    <w:p w14:paraId="0403479C">
      <w:pPr>
        <w:numPr>
          <w:ilvl w:val="0"/>
          <w:numId w:val="0"/>
        </w:numPr>
        <w:adjustRightInd w:val="0"/>
        <w:snapToGrid w:val="0"/>
        <w:spacing w:line="580" w:lineRule="atLeast"/>
        <w:ind w:leftChars="200"/>
        <w:rPr>
          <w:rFonts w:hint="eastAsia" w:ascii="黑体" w:hAnsi="黑体" w:eastAsia="黑体" w:cs="黑体"/>
          <w:bCs/>
          <w:sz w:val="32"/>
          <w:szCs w:val="32"/>
          <w:highlight w:val="none"/>
        </w:rPr>
      </w:pPr>
      <w:r>
        <w:rPr>
          <w:rFonts w:hint="eastAsia" w:ascii="宋体" w:hAnsi="宋体" w:eastAsia="宋体" w:cs="宋体"/>
          <w:i w:val="0"/>
          <w:iCs w:val="0"/>
          <w:caps w:val="0"/>
          <w:color w:val="333333"/>
          <w:spacing w:val="0"/>
          <w:sz w:val="28"/>
          <w:szCs w:val="28"/>
          <w:shd w:val="clear" w:fill="FFFFFF"/>
        </w:rPr>
        <w:t>说明：本单位202</w:t>
      </w:r>
      <w:r>
        <w:rPr>
          <w:rFonts w:hint="eastAsia" w:ascii="宋体" w:hAnsi="宋体" w:eastAsia="宋体" w:cs="宋体"/>
          <w:i w:val="0"/>
          <w:iCs w:val="0"/>
          <w:caps w:val="0"/>
          <w:color w:val="333333"/>
          <w:spacing w:val="0"/>
          <w:sz w:val="28"/>
          <w:szCs w:val="28"/>
          <w:shd w:val="clear" w:fill="FFFFFF"/>
          <w:lang w:val="en-US" w:eastAsia="zh-CN"/>
        </w:rPr>
        <w:t>3</w:t>
      </w:r>
      <w:r>
        <w:rPr>
          <w:rFonts w:hint="eastAsia" w:ascii="宋体" w:hAnsi="宋体" w:eastAsia="宋体" w:cs="宋体"/>
          <w:i w:val="0"/>
          <w:iCs w:val="0"/>
          <w:caps w:val="0"/>
          <w:color w:val="333333"/>
          <w:spacing w:val="0"/>
          <w:sz w:val="28"/>
          <w:szCs w:val="28"/>
          <w:shd w:val="clear" w:fill="FFFFFF"/>
        </w:rPr>
        <w:t>年无</w:t>
      </w:r>
      <w:r>
        <w:rPr>
          <w:rFonts w:hint="eastAsia" w:ascii="宋体" w:hAnsi="宋体" w:eastAsia="宋体" w:cs="宋体"/>
          <w:i w:val="0"/>
          <w:iCs w:val="0"/>
          <w:caps w:val="0"/>
          <w:color w:val="333333"/>
          <w:spacing w:val="0"/>
          <w:sz w:val="28"/>
          <w:szCs w:val="28"/>
          <w:shd w:val="clear" w:fill="FFFFFF"/>
          <w:lang w:eastAsia="zh-CN"/>
        </w:rPr>
        <w:t>“三公”经费</w:t>
      </w:r>
      <w:r>
        <w:rPr>
          <w:rFonts w:hint="eastAsia" w:ascii="宋体" w:hAnsi="宋体" w:eastAsia="宋体" w:cs="宋体"/>
          <w:i w:val="0"/>
          <w:iCs w:val="0"/>
          <w:caps w:val="0"/>
          <w:color w:val="333333"/>
          <w:spacing w:val="0"/>
          <w:sz w:val="28"/>
          <w:szCs w:val="28"/>
          <w:shd w:val="clear" w:fill="FFFFFF"/>
        </w:rPr>
        <w:t>支出。</w:t>
      </w:r>
    </w:p>
    <w:p w14:paraId="139AFFD8">
      <w:pPr>
        <w:ind w:firstLine="640"/>
        <w:jc w:val="both"/>
        <w:rPr>
          <w:rFonts w:hint="eastAsia" w:ascii="黑体" w:hAnsi="黑体" w:eastAsia="黑体" w:cs="黑体"/>
          <w:sz w:val="32"/>
          <w:szCs w:val="32"/>
          <w:lang w:val="en-US" w:eastAsia="zh-CN"/>
        </w:rPr>
      </w:pPr>
    </w:p>
    <w:p w14:paraId="3884A1EC">
      <w:pPr>
        <w:ind w:firstLine="64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2023年度部门决算情况说明</w:t>
      </w:r>
    </w:p>
    <w:p w14:paraId="648A0DFA">
      <w:p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一、收入支出决算总体情况说明</w:t>
      </w:r>
    </w:p>
    <w:p w14:paraId="6BFE39EB">
      <w:pPr>
        <w:adjustRightInd w:val="0"/>
        <w:snapToGrid w:val="0"/>
        <w:spacing w:line="580" w:lineRule="atLeast"/>
        <w:ind w:firstLine="640" w:firstLineChars="200"/>
        <w:rPr>
          <w:rFonts w:hint="eastAsia" w:ascii="仿宋_GB2312" w:hAnsi="宋体" w:eastAsia="仿宋_GB2312"/>
          <w:bCs/>
          <w:sz w:val="32"/>
          <w:szCs w:val="32"/>
          <w:highlight w:val="none"/>
          <w:lang w:val="en-US" w:eastAsia="zh-CN"/>
        </w:rPr>
      </w:pPr>
      <w:r>
        <w:rPr>
          <w:rFonts w:hint="eastAsia" w:ascii="仿宋_GB2312" w:hAnsi="宋体"/>
          <w:bCs/>
          <w:sz w:val="32"/>
          <w:szCs w:val="32"/>
          <w:highlight w:val="none"/>
          <w:lang w:val="en-US" w:eastAsia="zh-CN"/>
        </w:rPr>
        <w:t>2023年</w:t>
      </w:r>
      <w:r>
        <w:rPr>
          <w:rFonts w:hint="eastAsia" w:ascii="仿宋_GB2312" w:hAnsi="宋体" w:eastAsia="仿宋_GB2312"/>
          <w:bCs/>
          <w:sz w:val="32"/>
          <w:szCs w:val="32"/>
          <w:highlight w:val="none"/>
          <w:lang w:val="en-US" w:eastAsia="zh-CN"/>
        </w:rPr>
        <w:t>度收、支总计</w:t>
      </w:r>
      <w:r>
        <w:rPr>
          <w:rFonts w:hint="eastAsia" w:ascii="仿宋_GB2312" w:hAnsi="宋体"/>
          <w:bCs/>
          <w:sz w:val="32"/>
          <w:szCs w:val="32"/>
          <w:highlight w:val="none"/>
          <w:lang w:val="en-US" w:eastAsia="zh-CN"/>
        </w:rPr>
        <w:t>均为</w:t>
      </w:r>
      <w:r>
        <w:rPr>
          <w:rFonts w:hint="eastAsia" w:ascii="仿宋_GB2312" w:hAnsi="宋体"/>
          <w:bCs/>
          <w:sz w:val="32"/>
          <w:szCs w:val="32"/>
          <w:highlight w:val="none"/>
          <w:u w:val="single"/>
          <w:lang w:val="en-US" w:eastAsia="zh-CN"/>
        </w:rPr>
        <w:t>477.04</w:t>
      </w:r>
      <w:r>
        <w:rPr>
          <w:rFonts w:hint="eastAsia" w:ascii="仿宋_GB2312" w:hAnsi="宋体" w:eastAsia="仿宋_GB2312"/>
          <w:bCs/>
          <w:sz w:val="32"/>
          <w:szCs w:val="32"/>
          <w:highlight w:val="none"/>
          <w:lang w:val="en-US" w:eastAsia="zh-CN"/>
        </w:rPr>
        <w:t>万元。与</w:t>
      </w:r>
      <w:r>
        <w:rPr>
          <w:rFonts w:hint="eastAsia" w:ascii="仿宋_GB2312" w:hAnsi="宋体"/>
          <w:bCs/>
          <w:sz w:val="32"/>
          <w:szCs w:val="32"/>
          <w:highlight w:val="none"/>
          <w:lang w:val="en-US" w:eastAsia="zh-CN"/>
        </w:rPr>
        <w:t>2023年</w:t>
      </w:r>
      <w:r>
        <w:rPr>
          <w:rFonts w:hint="eastAsia" w:ascii="仿宋_GB2312" w:hAnsi="宋体" w:eastAsia="仿宋_GB2312"/>
          <w:bCs/>
          <w:sz w:val="32"/>
          <w:szCs w:val="32"/>
          <w:highlight w:val="none"/>
          <w:lang w:val="en-US" w:eastAsia="zh-CN"/>
        </w:rPr>
        <w:t>度相比，收、支总计各</w:t>
      </w:r>
      <w:r>
        <w:rPr>
          <w:rFonts w:hint="eastAsia" w:ascii="仿宋_GB2312" w:hAnsi="宋体"/>
          <w:bCs/>
          <w:sz w:val="32"/>
          <w:szCs w:val="32"/>
          <w:highlight w:val="none"/>
          <w:lang w:val="en-US" w:eastAsia="zh-CN"/>
        </w:rPr>
        <w:t>减少</w:t>
      </w:r>
      <w:r>
        <w:rPr>
          <w:rFonts w:hint="eastAsia" w:ascii="仿宋_GB2312" w:hAnsi="宋体"/>
          <w:bCs/>
          <w:sz w:val="32"/>
          <w:szCs w:val="32"/>
          <w:highlight w:val="none"/>
          <w:u w:val="single"/>
          <w:lang w:val="en-US" w:eastAsia="zh-CN"/>
        </w:rPr>
        <w:t>37.22</w:t>
      </w:r>
      <w:r>
        <w:rPr>
          <w:rFonts w:hint="eastAsia" w:ascii="仿宋_GB2312" w:hAnsi="宋体" w:eastAsia="仿宋_GB2312"/>
          <w:bCs/>
          <w:sz w:val="32"/>
          <w:szCs w:val="32"/>
          <w:highlight w:val="none"/>
          <w:lang w:val="en-US" w:eastAsia="zh-CN"/>
        </w:rPr>
        <w:t>万元，</w:t>
      </w:r>
      <w:r>
        <w:rPr>
          <w:rFonts w:hint="eastAsia" w:ascii="仿宋_GB2312" w:hAnsi="宋体"/>
          <w:bCs/>
          <w:sz w:val="32"/>
          <w:szCs w:val="32"/>
          <w:highlight w:val="none"/>
          <w:lang w:val="en-US" w:eastAsia="zh-CN"/>
        </w:rPr>
        <w:t>减少</w:t>
      </w:r>
      <w:r>
        <w:rPr>
          <w:rFonts w:hint="eastAsia" w:ascii="仿宋_GB2312" w:hAnsi="宋体"/>
          <w:bCs/>
          <w:sz w:val="32"/>
          <w:szCs w:val="32"/>
          <w:highlight w:val="none"/>
          <w:u w:val="single"/>
          <w:lang w:val="en-US" w:eastAsia="zh-CN"/>
        </w:rPr>
        <w:t>7.24</w:t>
      </w:r>
      <w:r>
        <w:rPr>
          <w:rFonts w:hint="eastAsia" w:ascii="仿宋_GB2312" w:hAnsi="宋体" w:eastAsia="仿宋_GB2312"/>
          <w:bCs/>
          <w:sz w:val="32"/>
          <w:szCs w:val="32"/>
          <w:highlight w:val="none"/>
          <w:lang w:val="en-US" w:eastAsia="zh-CN"/>
        </w:rPr>
        <w:t>%，主要原因是</w:t>
      </w:r>
      <w:r>
        <w:rPr>
          <w:rFonts w:hint="eastAsia" w:ascii="仿宋_GB2312" w:hAnsi="宋体"/>
          <w:bCs/>
          <w:sz w:val="32"/>
          <w:szCs w:val="32"/>
          <w:highlight w:val="none"/>
          <w:lang w:val="en-US" w:eastAsia="zh-CN"/>
        </w:rPr>
        <w:t>项目减少，预算一体化系统、财政委托业务等支出减少。</w:t>
      </w:r>
    </w:p>
    <w:p w14:paraId="19568B55">
      <w:pPr>
        <w:adjustRightInd w:val="0"/>
        <w:snapToGrid w:val="0"/>
        <w:spacing w:line="580" w:lineRule="atLeast"/>
        <w:ind w:firstLine="600" w:firstLineChars="200"/>
        <w:jc w:val="center"/>
        <w:rPr>
          <w:rFonts w:hint="eastAsia" w:ascii="仿宋_GB2312" w:hAnsi="宋体" w:eastAsia="仿宋_GB2312"/>
          <w:bCs/>
          <w:sz w:val="30"/>
          <w:szCs w:val="30"/>
          <w:highlight w:val="none"/>
          <w:lang w:val="en-US" w:eastAsia="zh-CN"/>
        </w:rPr>
      </w:pPr>
      <w:r>
        <w:rPr>
          <w:rFonts w:hint="eastAsia" w:ascii="仿宋_GB2312" w:hAnsi="宋体" w:eastAsia="仿宋_GB2312"/>
          <w:bCs/>
          <w:sz w:val="30"/>
          <w:szCs w:val="30"/>
          <w:highlight w:val="none"/>
          <w:lang w:val="en-US" w:eastAsia="zh-CN"/>
        </w:rPr>
        <w:t>图1：收、支决算总计变动情况</w:t>
      </w:r>
    </w:p>
    <w:p w14:paraId="3EF9CED9">
      <w:pPr>
        <w:adjustRightInd w:val="0"/>
        <w:snapToGrid w:val="0"/>
        <w:spacing w:line="580" w:lineRule="atLeast"/>
        <w:jc w:val="center"/>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val="en-US" w:eastAsia="zh-CN"/>
        </w:rPr>
        <w:object>
          <v:shape id="_x0000_i1025" o:spt="75" type="#_x0000_t75" style="height:222.75pt;width:366.75pt;" o:ole="t" filled="f" o:preferrelative="t" stroked="f" coordsize="21600,21600">
            <v:path/>
            <v:fill on="f" focussize="0,0"/>
            <v:stroke on="f"/>
            <v:imagedata r:id="rId15" o:title=""/>
            <o:lock v:ext="edit" aspectratio="t"/>
            <w10:wrap type="none"/>
            <w10:anchorlock/>
          </v:shape>
          <o:OLEObject Type="Embed" ProgID="Excel.Chart.8" ShapeID="_x0000_i1025" DrawAspect="Content" ObjectID="_1468075725" r:id="rId14">
            <o:LockedField>false</o:LockedField>
          </o:OLEObject>
        </w:object>
      </w:r>
    </w:p>
    <w:p w14:paraId="5AF243E8">
      <w:pPr>
        <w:numPr>
          <w:ilvl w:val="0"/>
          <w:numId w:val="0"/>
        </w:numPr>
        <w:adjustRightInd w:val="0"/>
        <w:snapToGrid w:val="0"/>
        <w:spacing w:line="580" w:lineRule="atLeas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二、收入决算情况说明</w:t>
      </w:r>
    </w:p>
    <w:p w14:paraId="7BD60E7E">
      <w:pPr>
        <w:bidi w:val="0"/>
        <w:ind w:firstLine="640"/>
        <w:rPr>
          <w:rFonts w:hint="eastAsia" w:ascii="仿宋_GB2312" w:hAnsi="仿宋_GB2312" w:eastAsia="仿宋_GB2312" w:cs="仿宋_GB2312"/>
          <w:sz w:val="30"/>
          <w:szCs w:val="30"/>
          <w:lang w:val="en-US" w:eastAsia="zh-CN"/>
        </w:rPr>
      </w:pPr>
      <w:r>
        <w:rPr>
          <w:rFonts w:hint="eastAsia" w:ascii="仿宋_GB2312" w:hAnsi="宋体"/>
          <w:bCs/>
          <w:szCs w:val="32"/>
          <w:highlight w:val="none"/>
          <w:lang w:val="en-US" w:eastAsia="zh-CN"/>
        </w:rPr>
        <w:t>2023年度收入合计</w:t>
      </w:r>
      <w:r>
        <w:rPr>
          <w:rFonts w:hint="eastAsia" w:ascii="仿宋_GB2312" w:hAnsi="宋体"/>
          <w:bCs/>
          <w:szCs w:val="32"/>
          <w:highlight w:val="none"/>
          <w:u w:val="single"/>
          <w:lang w:val="en-US" w:eastAsia="zh-CN"/>
        </w:rPr>
        <w:t>477.04</w:t>
      </w:r>
      <w:r>
        <w:rPr>
          <w:rFonts w:hint="eastAsia" w:ascii="仿宋_GB2312" w:hAnsi="宋体"/>
          <w:bCs/>
          <w:szCs w:val="32"/>
          <w:highlight w:val="none"/>
          <w:lang w:val="en-US" w:eastAsia="zh-CN"/>
        </w:rPr>
        <w:t>万元，与2022年度相比，收入合计减少</w:t>
      </w:r>
      <w:r>
        <w:rPr>
          <w:rFonts w:hint="eastAsia" w:ascii="仿宋_GB2312" w:hAnsi="宋体"/>
          <w:bCs/>
          <w:szCs w:val="32"/>
          <w:highlight w:val="none"/>
          <w:u w:val="single"/>
          <w:lang w:val="en-US" w:eastAsia="zh-CN"/>
        </w:rPr>
        <w:t>37.22</w:t>
      </w:r>
      <w:r>
        <w:rPr>
          <w:rFonts w:hint="eastAsia" w:ascii="仿宋_GB2312" w:hAnsi="宋体"/>
          <w:bCs/>
          <w:szCs w:val="32"/>
          <w:highlight w:val="none"/>
          <w:lang w:val="en-US" w:eastAsia="zh-CN"/>
        </w:rPr>
        <w:t>万元，</w:t>
      </w:r>
      <w:r>
        <w:rPr>
          <w:rFonts w:hint="eastAsia" w:ascii="仿宋_GB2312" w:hAnsi="宋体"/>
          <w:bCs/>
          <w:sz w:val="32"/>
          <w:szCs w:val="32"/>
          <w:highlight w:val="none"/>
          <w:lang w:val="en-US" w:eastAsia="zh-CN"/>
        </w:rPr>
        <w:t>减少</w:t>
      </w:r>
      <w:r>
        <w:rPr>
          <w:rFonts w:hint="eastAsia" w:ascii="仿宋_GB2312" w:hAnsi="宋体"/>
          <w:bCs/>
          <w:sz w:val="32"/>
          <w:szCs w:val="32"/>
          <w:highlight w:val="none"/>
          <w:u w:val="single"/>
          <w:lang w:val="en-US" w:eastAsia="zh-CN"/>
        </w:rPr>
        <w:t>7.24</w:t>
      </w:r>
      <w:r>
        <w:rPr>
          <w:rFonts w:hint="eastAsia" w:ascii="仿宋_GB2312" w:hAnsi="宋体" w:eastAsia="仿宋_GB2312"/>
          <w:bCs/>
          <w:sz w:val="32"/>
          <w:szCs w:val="32"/>
          <w:highlight w:val="none"/>
          <w:lang w:val="en-US" w:eastAsia="zh-CN"/>
        </w:rPr>
        <w:t>%</w:t>
      </w:r>
      <w:r>
        <w:rPr>
          <w:rFonts w:hint="eastAsia" w:ascii="仿宋_GB2312" w:hAnsi="宋体"/>
          <w:bCs/>
          <w:szCs w:val="32"/>
          <w:highlight w:val="none"/>
          <w:lang w:val="en-US" w:eastAsia="zh-CN"/>
        </w:rPr>
        <w:t>。其中：财政拨款收入</w:t>
      </w:r>
      <w:r>
        <w:rPr>
          <w:rFonts w:hint="eastAsia" w:ascii="仿宋_GB2312" w:hAnsi="宋体"/>
          <w:bCs/>
          <w:szCs w:val="32"/>
          <w:highlight w:val="none"/>
          <w:u w:val="single"/>
          <w:lang w:val="en-US" w:eastAsia="zh-CN"/>
        </w:rPr>
        <w:t>477.04</w:t>
      </w:r>
      <w:r>
        <w:rPr>
          <w:rFonts w:hint="eastAsia" w:ascii="仿宋_GB2312" w:hAnsi="宋体"/>
          <w:bCs/>
          <w:szCs w:val="32"/>
          <w:highlight w:val="none"/>
          <w:lang w:val="en-US" w:eastAsia="zh-CN"/>
        </w:rPr>
        <w:t>万元，占本年收入</w:t>
      </w:r>
      <w:r>
        <w:rPr>
          <w:rFonts w:hint="eastAsia" w:ascii="仿宋_GB2312" w:hAnsi="宋体"/>
          <w:bCs/>
          <w:szCs w:val="32"/>
          <w:highlight w:val="none"/>
          <w:u w:val="single"/>
          <w:lang w:val="en-US" w:eastAsia="zh-CN"/>
        </w:rPr>
        <w:t>100</w:t>
      </w:r>
      <w:r>
        <w:rPr>
          <w:rFonts w:hint="eastAsia" w:ascii="仿宋_GB2312" w:hAnsi="宋体"/>
          <w:bCs/>
          <w:szCs w:val="32"/>
          <w:highlight w:val="none"/>
          <w:lang w:val="en-US" w:eastAsia="zh-CN"/>
        </w:rPr>
        <w:t>%；上级补助收入</w:t>
      </w:r>
      <w:r>
        <w:rPr>
          <w:rFonts w:hint="eastAsia" w:ascii="仿宋_GB2312" w:hAnsi="宋体"/>
          <w:bCs/>
          <w:szCs w:val="32"/>
          <w:highlight w:val="none"/>
          <w:u w:val="single"/>
          <w:lang w:val="en-US" w:eastAsia="zh-CN"/>
        </w:rPr>
        <w:t>0</w:t>
      </w:r>
      <w:r>
        <w:rPr>
          <w:rFonts w:hint="eastAsia" w:ascii="仿宋_GB2312" w:hAnsi="宋体"/>
          <w:bCs/>
          <w:szCs w:val="32"/>
          <w:highlight w:val="none"/>
          <w:lang w:val="en-US" w:eastAsia="zh-CN"/>
        </w:rPr>
        <w:t>万元，占本年收入</w:t>
      </w:r>
      <w:r>
        <w:rPr>
          <w:rFonts w:hint="eastAsia" w:ascii="仿宋_GB2312" w:hAnsi="宋体"/>
          <w:bCs/>
          <w:szCs w:val="32"/>
          <w:highlight w:val="none"/>
          <w:u w:val="single"/>
          <w:lang w:val="en-US" w:eastAsia="zh-CN"/>
        </w:rPr>
        <w:t>0</w:t>
      </w:r>
      <w:r>
        <w:rPr>
          <w:rFonts w:hint="eastAsia" w:ascii="仿宋_GB2312" w:hAnsi="宋体"/>
          <w:bCs/>
          <w:szCs w:val="32"/>
          <w:highlight w:val="none"/>
          <w:lang w:val="en-US" w:eastAsia="zh-CN"/>
        </w:rPr>
        <w:t>%；事业收入</w:t>
      </w:r>
      <w:r>
        <w:rPr>
          <w:rFonts w:hint="eastAsia" w:ascii="仿宋_GB2312" w:hAnsi="宋体"/>
          <w:bCs/>
          <w:szCs w:val="32"/>
          <w:highlight w:val="none"/>
          <w:u w:val="single"/>
          <w:lang w:val="en-US" w:eastAsia="zh-CN"/>
        </w:rPr>
        <w:t>0</w:t>
      </w:r>
      <w:r>
        <w:rPr>
          <w:rFonts w:hint="eastAsia" w:ascii="仿宋_GB2312" w:hAnsi="宋体"/>
          <w:bCs/>
          <w:szCs w:val="32"/>
          <w:highlight w:val="none"/>
          <w:lang w:val="en-US" w:eastAsia="zh-CN"/>
        </w:rPr>
        <w:t>万元，占本年收入</w:t>
      </w:r>
      <w:r>
        <w:rPr>
          <w:rFonts w:hint="eastAsia" w:ascii="仿宋_GB2312" w:hAnsi="宋体"/>
          <w:bCs/>
          <w:szCs w:val="32"/>
          <w:highlight w:val="none"/>
          <w:u w:val="single"/>
          <w:lang w:val="en-US" w:eastAsia="zh-CN"/>
        </w:rPr>
        <w:t>0</w:t>
      </w:r>
      <w:r>
        <w:rPr>
          <w:rFonts w:hint="eastAsia" w:ascii="仿宋_GB2312" w:hAnsi="宋体"/>
          <w:bCs/>
          <w:szCs w:val="32"/>
          <w:highlight w:val="none"/>
          <w:lang w:val="en-US" w:eastAsia="zh-CN"/>
        </w:rPr>
        <w:t>%；经营收入</w:t>
      </w:r>
      <w:r>
        <w:rPr>
          <w:rFonts w:hint="eastAsia" w:ascii="仿宋_GB2312" w:hAnsi="宋体"/>
          <w:bCs/>
          <w:szCs w:val="32"/>
          <w:highlight w:val="none"/>
          <w:u w:val="single"/>
          <w:lang w:val="en-US" w:eastAsia="zh-CN"/>
        </w:rPr>
        <w:t>0</w:t>
      </w:r>
      <w:r>
        <w:rPr>
          <w:rFonts w:hint="eastAsia" w:ascii="仿宋_GB2312" w:hAnsi="宋体"/>
          <w:bCs/>
          <w:szCs w:val="32"/>
          <w:highlight w:val="none"/>
          <w:lang w:val="en-US" w:eastAsia="zh-CN"/>
        </w:rPr>
        <w:t>万元，占</w:t>
      </w:r>
      <w:r>
        <w:rPr>
          <w:rFonts w:hint="eastAsia"/>
          <w:lang w:val="en-US" w:eastAsia="zh-CN"/>
        </w:rPr>
        <w:t>本年收入</w:t>
      </w:r>
      <w:r>
        <w:rPr>
          <w:rFonts w:hint="eastAsia"/>
          <w:u w:val="single"/>
          <w:lang w:val="en-US" w:eastAsia="zh-CN"/>
        </w:rPr>
        <w:t>0</w:t>
      </w:r>
      <w:r>
        <w:rPr>
          <w:rFonts w:hint="eastAsia"/>
          <w:lang w:val="en-US" w:eastAsia="zh-CN"/>
        </w:rPr>
        <w:t>%；附属单位上缴收入</w:t>
      </w:r>
      <w:r>
        <w:rPr>
          <w:rFonts w:hint="eastAsia"/>
          <w:u w:val="single"/>
          <w:lang w:val="en-US" w:eastAsia="zh-CN"/>
        </w:rPr>
        <w:t>0</w:t>
      </w:r>
      <w:r>
        <w:rPr>
          <w:rFonts w:hint="eastAsia"/>
          <w:u w:val="none"/>
          <w:lang w:val="en-US" w:eastAsia="zh-CN"/>
        </w:rPr>
        <w:t>万元，</w:t>
      </w:r>
      <w:r>
        <w:rPr>
          <w:rFonts w:hint="eastAsia" w:ascii="仿宋_GB2312" w:hAnsi="宋体"/>
          <w:bCs/>
          <w:szCs w:val="32"/>
          <w:highlight w:val="none"/>
          <w:lang w:val="en-US" w:eastAsia="zh-CN"/>
        </w:rPr>
        <w:t>占</w:t>
      </w:r>
      <w:r>
        <w:rPr>
          <w:rFonts w:hint="eastAsia"/>
          <w:lang w:val="en-US" w:eastAsia="zh-CN"/>
        </w:rPr>
        <w:t>本年收入</w:t>
      </w:r>
      <w:r>
        <w:rPr>
          <w:rFonts w:hint="eastAsia"/>
          <w:u w:val="single"/>
          <w:lang w:val="en-US" w:eastAsia="zh-CN"/>
        </w:rPr>
        <w:t>0</w:t>
      </w:r>
      <w:r>
        <w:rPr>
          <w:rFonts w:hint="eastAsia"/>
          <w:lang w:val="en-US" w:eastAsia="zh-CN"/>
        </w:rPr>
        <w:t>%；其他收入</w:t>
      </w:r>
      <w:r>
        <w:rPr>
          <w:rFonts w:hint="eastAsia"/>
          <w:u w:val="single"/>
          <w:lang w:val="en-US" w:eastAsia="zh-CN"/>
        </w:rPr>
        <w:t>0</w:t>
      </w:r>
      <w:r>
        <w:rPr>
          <w:rFonts w:hint="eastAsia"/>
          <w:lang w:val="en-US" w:eastAsia="zh-CN"/>
        </w:rPr>
        <w:t>万元，占本年收入</w:t>
      </w:r>
      <w:r>
        <w:rPr>
          <w:rFonts w:hint="eastAsia"/>
          <w:u w:val="single"/>
          <w:lang w:val="en-US" w:eastAsia="zh-CN"/>
        </w:rPr>
        <w:t>0</w:t>
      </w:r>
      <w:r>
        <w:rPr>
          <w:rFonts w:hint="eastAsia"/>
          <w:lang w:val="en-US" w:eastAsia="zh-CN"/>
        </w:rPr>
        <w:t>%。</w:t>
      </w:r>
    </w:p>
    <w:p w14:paraId="4F53D555">
      <w:pPr>
        <w:bidi w:val="0"/>
        <w:jc w:val="center"/>
        <w:rPr>
          <w:rFonts w:hint="eastAsia" w:ascii="仿宋_GB2312" w:hAnsi="仿宋_GB2312" w:eastAsia="仿宋_GB2312" w:cs="仿宋_GB2312"/>
          <w:sz w:val="30"/>
          <w:szCs w:val="30"/>
          <w:lang w:val="en-US" w:eastAsia="zh-CN"/>
        </w:rPr>
      </w:pPr>
    </w:p>
    <w:p w14:paraId="5D32357A">
      <w:pPr>
        <w:bidi w:val="0"/>
        <w:jc w:val="center"/>
        <w:rPr>
          <w:rFonts w:hint="eastAsia" w:ascii="仿宋_GB2312" w:hAnsi="仿宋_GB2312" w:eastAsia="仿宋_GB2312" w:cs="仿宋_GB2312"/>
          <w:sz w:val="30"/>
          <w:szCs w:val="30"/>
          <w:lang w:val="en-US" w:eastAsia="zh-CN"/>
        </w:rPr>
      </w:pPr>
    </w:p>
    <w:p w14:paraId="624A990C">
      <w:pPr>
        <w:bidi w:val="0"/>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图2：收入决算结构</w:t>
      </w:r>
    </w:p>
    <w:p w14:paraId="275F5618">
      <w:pPr>
        <w:bidi w:val="0"/>
        <w:jc w:val="center"/>
        <w:rPr>
          <w:rFonts w:hint="default"/>
          <w:lang w:val="en-US" w:eastAsia="zh-CN"/>
        </w:rPr>
      </w:pPr>
      <w:r>
        <w:rPr>
          <w:rFonts w:hint="default"/>
          <w:lang w:val="en-US" w:eastAsia="zh-CN"/>
        </w:rPr>
        <w:object>
          <v:shape id="_x0000_i1026" o:spt="75" type="#_x0000_t75" style="height:199.05pt;width:370.45pt;" o:ole="t" filled="f" o:preferrelative="t" stroked="f" coordsize="21600,21600">
            <v:path/>
            <v:fill on="f" focussize="0,0"/>
            <v:stroke on="f"/>
            <v:imagedata r:id="rId17" o:title=""/>
            <o:lock v:ext="edit" aspectratio="t"/>
            <w10:wrap type="none"/>
            <w10:anchorlock/>
          </v:shape>
          <o:OLEObject Type="Embed" ProgID="Excel.Chart.8" ShapeID="_x0000_i1026" DrawAspect="Content" ObjectID="_1468075726" r:id="rId16">
            <o:LockedField>false</o:LockedField>
          </o:OLEObject>
        </w:object>
      </w:r>
    </w:p>
    <w:p w14:paraId="61D5AD84">
      <w:pPr>
        <w:bidi w:val="0"/>
        <w:ind w:firstLine="640" w:firstLineChars="200"/>
        <w:rPr>
          <w:rFonts w:hint="eastAsia" w:ascii="黑体" w:hAnsi="黑体" w:eastAsia="黑体" w:cs="黑体"/>
        </w:rPr>
      </w:pPr>
      <w:r>
        <w:rPr>
          <w:rFonts w:hint="eastAsia" w:ascii="黑体" w:hAnsi="黑体" w:eastAsia="黑体" w:cs="黑体"/>
          <w:lang w:val="en-US" w:eastAsia="zh-CN"/>
        </w:rPr>
        <w:t>三、支出决算情况说明</w:t>
      </w:r>
    </w:p>
    <w:p w14:paraId="3E0E4529">
      <w:pPr>
        <w:bidi w:val="0"/>
        <w:ind w:firstLine="640" w:firstLineChars="200"/>
        <w:rPr>
          <w:rFonts w:hint="eastAsia" w:ascii="仿宋_GB2312" w:hAnsi="仿宋_GB2312" w:eastAsia="仿宋_GB2312" w:cs="仿宋_GB2312"/>
          <w:sz w:val="30"/>
          <w:szCs w:val="30"/>
        </w:rPr>
      </w:pPr>
      <w:r>
        <w:rPr>
          <w:rFonts w:hint="eastAsia"/>
          <w:lang w:eastAsia="zh-CN"/>
        </w:rPr>
        <w:t>202</w:t>
      </w:r>
      <w:r>
        <w:rPr>
          <w:rFonts w:hint="eastAsia"/>
          <w:lang w:val="en-US" w:eastAsia="zh-CN"/>
        </w:rPr>
        <w:t>3</w:t>
      </w:r>
      <w:r>
        <w:rPr>
          <w:rFonts w:hint="eastAsia"/>
          <w:lang w:eastAsia="zh-CN"/>
        </w:rPr>
        <w:t>年</w:t>
      </w:r>
      <w:r>
        <w:rPr>
          <w:rFonts w:hint="eastAsia"/>
        </w:rPr>
        <w:t>度支出合计</w:t>
      </w:r>
      <w:r>
        <w:rPr>
          <w:rFonts w:hint="eastAsia"/>
          <w:u w:val="single"/>
          <w:lang w:val="en-US" w:eastAsia="zh-CN"/>
        </w:rPr>
        <w:t>477.04</w:t>
      </w:r>
      <w:r>
        <w:rPr>
          <w:rFonts w:hint="eastAsia"/>
        </w:rPr>
        <w:t>万元</w:t>
      </w:r>
      <w:r>
        <w:rPr>
          <w:rFonts w:hint="eastAsia"/>
          <w:lang w:eastAsia="zh-CN"/>
        </w:rPr>
        <w:t>，</w:t>
      </w:r>
      <w:r>
        <w:rPr>
          <w:rFonts w:hint="eastAsia"/>
          <w:lang w:val="en-US" w:eastAsia="zh-CN"/>
        </w:rPr>
        <w:t>与2022年度相比，支出合计</w:t>
      </w:r>
      <w:r>
        <w:rPr>
          <w:rFonts w:hint="eastAsia" w:ascii="仿宋_GB2312" w:hAnsi="宋体"/>
          <w:bCs/>
          <w:szCs w:val="32"/>
          <w:highlight w:val="none"/>
          <w:lang w:val="en-US" w:eastAsia="zh-CN"/>
        </w:rPr>
        <w:t>减少</w:t>
      </w:r>
      <w:r>
        <w:rPr>
          <w:rFonts w:hint="eastAsia" w:ascii="仿宋_GB2312" w:hAnsi="宋体"/>
          <w:bCs/>
          <w:szCs w:val="32"/>
          <w:highlight w:val="none"/>
          <w:u w:val="single"/>
          <w:lang w:val="en-US" w:eastAsia="zh-CN"/>
        </w:rPr>
        <w:t>37.22</w:t>
      </w:r>
      <w:r>
        <w:rPr>
          <w:rFonts w:hint="eastAsia"/>
          <w:lang w:val="en-US" w:eastAsia="zh-CN"/>
        </w:rPr>
        <w:t>万元，</w:t>
      </w:r>
      <w:r>
        <w:rPr>
          <w:rFonts w:hint="eastAsia" w:ascii="仿宋_GB2312" w:hAnsi="宋体"/>
          <w:bCs/>
          <w:sz w:val="32"/>
          <w:szCs w:val="32"/>
          <w:highlight w:val="none"/>
          <w:lang w:val="en-US" w:eastAsia="zh-CN"/>
        </w:rPr>
        <w:t>减少</w:t>
      </w:r>
      <w:r>
        <w:rPr>
          <w:rFonts w:hint="eastAsia" w:ascii="仿宋_GB2312" w:hAnsi="宋体"/>
          <w:bCs/>
          <w:sz w:val="32"/>
          <w:szCs w:val="32"/>
          <w:highlight w:val="none"/>
          <w:u w:val="single"/>
          <w:lang w:val="en-US" w:eastAsia="zh-CN"/>
        </w:rPr>
        <w:t>7.24</w:t>
      </w:r>
      <w:r>
        <w:rPr>
          <w:rFonts w:hint="eastAsia" w:ascii="仿宋_GB2312" w:hAnsi="宋体" w:eastAsia="仿宋_GB2312"/>
          <w:bCs/>
          <w:sz w:val="32"/>
          <w:szCs w:val="32"/>
          <w:highlight w:val="none"/>
          <w:lang w:val="en-US" w:eastAsia="zh-CN"/>
        </w:rPr>
        <w:t>%</w:t>
      </w:r>
      <w:r>
        <w:rPr>
          <w:rFonts w:hint="eastAsia"/>
          <w:lang w:val="en-US" w:eastAsia="zh-CN"/>
        </w:rPr>
        <w:t>。</w:t>
      </w:r>
      <w:r>
        <w:rPr>
          <w:rFonts w:hint="eastAsia" w:ascii="仿宋_GB2312" w:eastAsia="仿宋_GB2312"/>
          <w:bCs/>
          <w:kern w:val="44"/>
          <w:szCs w:val="32"/>
          <w:highlight w:val="none"/>
        </w:rPr>
        <w:t>其中：基本支出</w:t>
      </w:r>
      <w:r>
        <w:rPr>
          <w:rFonts w:hint="eastAsia" w:ascii="仿宋_GB2312"/>
          <w:bCs/>
          <w:kern w:val="44"/>
          <w:szCs w:val="32"/>
          <w:highlight w:val="none"/>
          <w:u w:val="single"/>
          <w:lang w:val="en-US" w:eastAsia="zh-CN"/>
        </w:rPr>
        <w:t>272.49</w:t>
      </w:r>
      <w:r>
        <w:rPr>
          <w:rFonts w:hint="eastAsia" w:ascii="仿宋_GB2312" w:eastAsia="仿宋_GB2312"/>
          <w:bCs/>
          <w:kern w:val="44"/>
          <w:szCs w:val="32"/>
          <w:highlight w:val="none"/>
        </w:rPr>
        <w:t>万元，占本年支出</w:t>
      </w:r>
      <w:r>
        <w:rPr>
          <w:rFonts w:hint="eastAsia" w:ascii="仿宋_GB2312"/>
          <w:bCs/>
          <w:kern w:val="44"/>
          <w:szCs w:val="32"/>
          <w:highlight w:val="none"/>
          <w:u w:val="single"/>
          <w:lang w:val="en-US" w:eastAsia="zh-CN"/>
        </w:rPr>
        <w:t xml:space="preserve">57.12 </w:t>
      </w:r>
      <w:r>
        <w:rPr>
          <w:rFonts w:hint="eastAsia" w:ascii="仿宋_GB2312" w:eastAsia="仿宋_GB2312"/>
          <w:bCs/>
          <w:kern w:val="44"/>
          <w:szCs w:val="32"/>
          <w:highlight w:val="none"/>
        </w:rPr>
        <w:t>%；项目支出</w:t>
      </w:r>
      <w:r>
        <w:rPr>
          <w:rFonts w:hint="eastAsia" w:ascii="仿宋_GB2312"/>
          <w:bCs/>
          <w:kern w:val="44"/>
          <w:szCs w:val="32"/>
          <w:highlight w:val="none"/>
          <w:u w:val="single"/>
          <w:lang w:val="en-US" w:eastAsia="zh-CN"/>
        </w:rPr>
        <w:t>204.55</w:t>
      </w:r>
      <w:r>
        <w:rPr>
          <w:rFonts w:hint="eastAsia" w:ascii="仿宋_GB2312" w:eastAsia="仿宋_GB2312"/>
          <w:bCs/>
          <w:kern w:val="44"/>
          <w:szCs w:val="32"/>
          <w:highlight w:val="none"/>
        </w:rPr>
        <w:t>万元，占本年支出</w:t>
      </w:r>
      <w:r>
        <w:rPr>
          <w:rFonts w:hint="eastAsia" w:ascii="仿宋_GB2312"/>
          <w:bCs/>
          <w:kern w:val="44"/>
          <w:szCs w:val="32"/>
          <w:highlight w:val="none"/>
          <w:u w:val="single"/>
          <w:lang w:val="en-US" w:eastAsia="zh-CN"/>
        </w:rPr>
        <w:t>42.88</w:t>
      </w:r>
      <w:r>
        <w:rPr>
          <w:rFonts w:hint="eastAsia" w:ascii="仿宋_GB2312" w:eastAsia="仿宋_GB2312"/>
          <w:bCs/>
          <w:kern w:val="44"/>
          <w:szCs w:val="32"/>
          <w:highlight w:val="none"/>
          <w:u w:val="single"/>
        </w:rPr>
        <w:t xml:space="preserve"> </w:t>
      </w:r>
      <w:r>
        <w:rPr>
          <w:rFonts w:hint="eastAsia" w:ascii="仿宋_GB2312" w:eastAsia="仿宋_GB2312"/>
          <w:bCs/>
          <w:kern w:val="44"/>
          <w:szCs w:val="32"/>
          <w:highlight w:val="none"/>
        </w:rPr>
        <w:t>%；上缴上级支出</w:t>
      </w:r>
      <w:r>
        <w:rPr>
          <w:rFonts w:hint="eastAsia" w:ascii="仿宋_GB2312"/>
          <w:bCs/>
          <w:kern w:val="44"/>
          <w:szCs w:val="32"/>
          <w:highlight w:val="none"/>
          <w:u w:val="single"/>
          <w:lang w:val="en-US" w:eastAsia="zh-CN"/>
        </w:rPr>
        <w:t>0</w:t>
      </w:r>
      <w:r>
        <w:rPr>
          <w:rFonts w:hint="eastAsia" w:ascii="仿宋_GB2312" w:eastAsia="仿宋_GB2312"/>
          <w:bCs/>
          <w:kern w:val="44"/>
          <w:szCs w:val="32"/>
          <w:highlight w:val="none"/>
        </w:rPr>
        <w:t>万元，占本年支出</w:t>
      </w:r>
      <w:r>
        <w:rPr>
          <w:rFonts w:hint="eastAsia" w:ascii="仿宋_GB2312"/>
          <w:bCs/>
          <w:kern w:val="44"/>
          <w:szCs w:val="32"/>
          <w:highlight w:val="none"/>
          <w:u w:val="single"/>
          <w:lang w:val="en-US" w:eastAsia="zh-CN"/>
        </w:rPr>
        <w:t>0</w:t>
      </w:r>
      <w:r>
        <w:rPr>
          <w:rFonts w:hint="eastAsia" w:ascii="仿宋_GB2312" w:eastAsia="仿宋_GB2312"/>
          <w:bCs/>
          <w:kern w:val="44"/>
          <w:szCs w:val="32"/>
          <w:highlight w:val="none"/>
        </w:rPr>
        <w:t>%；经营支出</w:t>
      </w:r>
      <w:r>
        <w:rPr>
          <w:rFonts w:hint="eastAsia" w:ascii="仿宋_GB2312"/>
          <w:bCs/>
          <w:kern w:val="44"/>
          <w:szCs w:val="32"/>
          <w:highlight w:val="none"/>
          <w:lang w:val="en-US" w:eastAsia="zh-CN"/>
        </w:rPr>
        <w:t>0</w:t>
      </w:r>
      <w:r>
        <w:rPr>
          <w:rFonts w:hint="eastAsia" w:ascii="仿宋_GB2312" w:eastAsia="仿宋_GB2312"/>
          <w:bCs/>
          <w:kern w:val="44"/>
          <w:szCs w:val="32"/>
          <w:highlight w:val="none"/>
        </w:rPr>
        <w:t>万元，占本年支出</w:t>
      </w:r>
      <w:r>
        <w:rPr>
          <w:rFonts w:hint="eastAsia" w:ascii="仿宋_GB2312"/>
          <w:bCs/>
          <w:kern w:val="44"/>
          <w:szCs w:val="32"/>
          <w:highlight w:val="none"/>
          <w:u w:val="single"/>
          <w:lang w:val="en-US" w:eastAsia="zh-CN"/>
        </w:rPr>
        <w:t>0</w:t>
      </w:r>
      <w:r>
        <w:rPr>
          <w:rFonts w:hint="eastAsia" w:ascii="仿宋_GB2312" w:eastAsia="仿宋_GB2312"/>
          <w:bCs/>
          <w:kern w:val="44"/>
          <w:szCs w:val="32"/>
          <w:highlight w:val="none"/>
        </w:rPr>
        <w:t>%</w:t>
      </w:r>
      <w:r>
        <w:rPr>
          <w:rFonts w:hint="eastAsia" w:ascii="仿宋_GB2312"/>
          <w:bCs/>
          <w:kern w:val="44"/>
          <w:szCs w:val="32"/>
          <w:highlight w:val="none"/>
          <w:lang w:eastAsia="zh-CN"/>
        </w:rPr>
        <w:t>；对附属单位补助支出</w:t>
      </w:r>
      <w:r>
        <w:rPr>
          <w:rFonts w:hint="eastAsia" w:ascii="仿宋_GB2312"/>
          <w:bCs/>
          <w:kern w:val="44"/>
          <w:szCs w:val="32"/>
          <w:highlight w:val="none"/>
          <w:lang w:val="en-US" w:eastAsia="zh-CN"/>
        </w:rPr>
        <w:t>0</w:t>
      </w:r>
      <w:r>
        <w:rPr>
          <w:rFonts w:hint="eastAsia" w:ascii="仿宋_GB2312"/>
          <w:bCs/>
          <w:kern w:val="44"/>
          <w:szCs w:val="32"/>
          <w:highlight w:val="none"/>
          <w:u w:val="none"/>
          <w:lang w:val="en-US" w:eastAsia="zh-CN"/>
        </w:rPr>
        <w:t>万元，</w:t>
      </w:r>
      <w:r>
        <w:rPr>
          <w:rFonts w:hint="eastAsia" w:ascii="仿宋_GB2312" w:eastAsia="仿宋_GB2312"/>
          <w:bCs/>
          <w:kern w:val="44"/>
          <w:szCs w:val="32"/>
          <w:highlight w:val="none"/>
        </w:rPr>
        <w:t>占本年支出</w:t>
      </w:r>
      <w:r>
        <w:rPr>
          <w:rFonts w:hint="eastAsia" w:ascii="仿宋_GB2312"/>
          <w:bCs/>
          <w:kern w:val="44"/>
          <w:szCs w:val="32"/>
          <w:highlight w:val="none"/>
          <w:u w:val="single"/>
          <w:lang w:val="en-US" w:eastAsia="zh-CN"/>
        </w:rPr>
        <w:t>0</w:t>
      </w:r>
      <w:r>
        <w:rPr>
          <w:rFonts w:hint="eastAsia" w:ascii="仿宋_GB2312" w:eastAsia="仿宋_GB2312"/>
          <w:bCs/>
          <w:kern w:val="44"/>
          <w:szCs w:val="32"/>
          <w:highlight w:val="none"/>
        </w:rPr>
        <w:t>%。</w:t>
      </w:r>
    </w:p>
    <w:p w14:paraId="572FB5D4">
      <w:pPr>
        <w:bidi w:val="0"/>
        <w:jc w:val="center"/>
        <w:rPr>
          <w:rFonts w:hint="eastAsia" w:ascii="仿宋_GB2312" w:hAnsi="仿宋_GB2312" w:eastAsia="仿宋_GB2312" w:cs="仿宋_GB2312"/>
          <w:sz w:val="30"/>
          <w:szCs w:val="30"/>
        </w:rPr>
      </w:pPr>
    </w:p>
    <w:p w14:paraId="34E97CC0">
      <w:pPr>
        <w:bidi w:val="0"/>
        <w:jc w:val="center"/>
        <w:rPr>
          <w:rFonts w:hint="eastAsia" w:ascii="仿宋_GB2312" w:hAnsi="仿宋_GB2312" w:eastAsia="仿宋_GB2312" w:cs="仿宋_GB2312"/>
          <w:sz w:val="30"/>
          <w:szCs w:val="30"/>
        </w:rPr>
      </w:pPr>
    </w:p>
    <w:p w14:paraId="4FB9E651">
      <w:pPr>
        <w:bidi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图3：支出决算结构</w:t>
      </w:r>
    </w:p>
    <w:p w14:paraId="371E6953">
      <w:pPr>
        <w:bidi w:val="0"/>
        <w:jc w:val="center"/>
        <w:rPr>
          <w:rFonts w:hint="eastAsia"/>
          <w:lang w:val="en-US" w:eastAsia="zh-CN"/>
        </w:rPr>
      </w:pPr>
      <w:r>
        <w:rPr>
          <w:rFonts w:hint="eastAsia" w:eastAsia="仿宋_GB2312"/>
          <w:lang w:val="en-US" w:eastAsia="zh-CN"/>
        </w:rPr>
        <w:object>
          <v:shape id="_x0000_i1027" o:spt="75" type="#_x0000_t75" style="height:256.65pt;width:447.45pt;" o:ole="t" filled="f" o:preferrelative="t" stroked="f" coordsize="21600,21600">
            <v:path/>
            <v:fill on="f" focussize="0,0"/>
            <v:stroke on="f"/>
            <v:imagedata r:id="rId19" o:title=""/>
            <o:lock v:ext="edit" aspectratio="t"/>
            <w10:wrap type="none"/>
            <w10:anchorlock/>
          </v:shape>
          <o:OLEObject Type="Embed" ProgID="Excel.Chart.8" ShapeID="_x0000_i1027" DrawAspect="Content" ObjectID="_1468075727" r:id="rId18">
            <o:LockedField>false</o:LockedField>
          </o:OLEObject>
        </w:object>
      </w:r>
    </w:p>
    <w:p w14:paraId="2B5CD702">
      <w:p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四、财政拨款收入支出决算总体情况说明</w:t>
      </w:r>
    </w:p>
    <w:p w14:paraId="56F0BC61">
      <w:pPr>
        <w:bidi w:val="0"/>
        <w:ind w:firstLine="640" w:firstLineChars="200"/>
        <w:rPr>
          <w:rFonts w:hint="eastAsia"/>
          <w:highlight w:val="none"/>
        </w:rPr>
      </w:pPr>
      <w:r>
        <w:rPr>
          <w:rFonts w:hint="eastAsia"/>
          <w:lang w:eastAsia="zh-CN"/>
        </w:rPr>
        <w:t>202</w:t>
      </w:r>
      <w:r>
        <w:rPr>
          <w:rFonts w:hint="eastAsia"/>
          <w:lang w:val="en-US" w:eastAsia="zh-CN"/>
        </w:rPr>
        <w:t>3</w:t>
      </w:r>
      <w:r>
        <w:rPr>
          <w:rFonts w:hint="eastAsia"/>
          <w:lang w:eastAsia="zh-CN"/>
        </w:rPr>
        <w:t>年</w:t>
      </w:r>
      <w:r>
        <w:rPr>
          <w:rFonts w:hint="eastAsia"/>
        </w:rPr>
        <w:t>度财政拨款收、支总计</w:t>
      </w:r>
      <w:r>
        <w:rPr>
          <w:rFonts w:hint="eastAsia"/>
          <w:lang w:val="en-US" w:eastAsia="zh-CN"/>
        </w:rPr>
        <w:t>均为</w:t>
      </w:r>
      <w:r>
        <w:rPr>
          <w:rFonts w:hint="eastAsia"/>
          <w:u w:val="single"/>
          <w:lang w:val="en-US" w:eastAsia="zh-CN"/>
        </w:rPr>
        <w:t xml:space="preserve">477.04 </w:t>
      </w:r>
      <w:r>
        <w:rPr>
          <w:rFonts w:hint="eastAsia"/>
        </w:rPr>
        <w:t>万元。与</w:t>
      </w:r>
      <w:r>
        <w:rPr>
          <w:rFonts w:hint="eastAsia"/>
          <w:lang w:eastAsia="zh-CN"/>
        </w:rPr>
        <w:t>202</w:t>
      </w:r>
      <w:r>
        <w:rPr>
          <w:rFonts w:hint="eastAsia"/>
          <w:lang w:val="en-US" w:eastAsia="zh-CN"/>
        </w:rPr>
        <w:t>2</w:t>
      </w:r>
      <w:r>
        <w:rPr>
          <w:rFonts w:hint="eastAsia"/>
          <w:lang w:eastAsia="zh-CN"/>
        </w:rPr>
        <w:t>年度</w:t>
      </w:r>
      <w:r>
        <w:rPr>
          <w:rFonts w:hint="eastAsia"/>
        </w:rPr>
        <w:t>相比，财政拨款收、支总计各</w:t>
      </w:r>
      <w:r>
        <w:rPr>
          <w:rFonts w:hint="eastAsia" w:ascii="仿宋_GB2312" w:hAnsi="宋体"/>
          <w:bCs/>
          <w:szCs w:val="32"/>
          <w:highlight w:val="none"/>
          <w:lang w:val="en-US" w:eastAsia="zh-CN"/>
        </w:rPr>
        <w:t>减少</w:t>
      </w:r>
      <w:r>
        <w:rPr>
          <w:rFonts w:hint="eastAsia" w:ascii="仿宋_GB2312" w:hAnsi="宋体"/>
          <w:bCs/>
          <w:szCs w:val="32"/>
          <w:highlight w:val="none"/>
          <w:u w:val="single"/>
          <w:lang w:val="en-US" w:eastAsia="zh-CN"/>
        </w:rPr>
        <w:t>37.22</w:t>
      </w:r>
      <w:r>
        <w:rPr>
          <w:rFonts w:hint="eastAsia"/>
        </w:rPr>
        <w:t>万元，</w:t>
      </w:r>
      <w:r>
        <w:rPr>
          <w:rFonts w:hint="eastAsia" w:ascii="仿宋_GB2312" w:hAnsi="宋体"/>
          <w:bCs/>
          <w:sz w:val="32"/>
          <w:szCs w:val="32"/>
          <w:highlight w:val="none"/>
          <w:lang w:val="en-US" w:eastAsia="zh-CN"/>
        </w:rPr>
        <w:t>减少</w:t>
      </w:r>
      <w:r>
        <w:rPr>
          <w:rFonts w:hint="eastAsia" w:ascii="仿宋_GB2312" w:hAnsi="宋体"/>
          <w:bCs/>
          <w:sz w:val="32"/>
          <w:szCs w:val="32"/>
          <w:highlight w:val="none"/>
          <w:u w:val="single"/>
          <w:lang w:val="en-US" w:eastAsia="zh-CN"/>
        </w:rPr>
        <w:t>7.24</w:t>
      </w:r>
      <w:r>
        <w:rPr>
          <w:rFonts w:hint="eastAsia" w:ascii="仿宋_GB2312" w:hAnsi="宋体" w:eastAsia="仿宋_GB2312"/>
          <w:bCs/>
          <w:sz w:val="32"/>
          <w:szCs w:val="32"/>
          <w:highlight w:val="none"/>
          <w:lang w:val="en-US" w:eastAsia="zh-CN"/>
        </w:rPr>
        <w:t>%</w:t>
      </w:r>
      <w:r>
        <w:rPr>
          <w:rFonts w:hint="eastAsia"/>
        </w:rPr>
        <w:t>。主要原因是</w:t>
      </w:r>
      <w:r>
        <w:rPr>
          <w:rFonts w:hint="eastAsia" w:ascii="仿宋_GB2312" w:hAnsi="宋体"/>
          <w:bCs/>
          <w:sz w:val="32"/>
          <w:szCs w:val="32"/>
          <w:highlight w:val="none"/>
          <w:lang w:val="en-US" w:eastAsia="zh-CN"/>
        </w:rPr>
        <w:t>项目减少，预算一体化系统、财政委托业务等支出减少</w:t>
      </w:r>
      <w:r>
        <w:rPr>
          <w:rFonts w:hint="eastAsia"/>
          <w:highlight w:val="none"/>
        </w:rPr>
        <w:t>。</w:t>
      </w:r>
    </w:p>
    <w:p w14:paraId="7F9A8D6F">
      <w:pPr>
        <w:bidi w:val="0"/>
        <w:ind w:firstLine="640" w:firstLineChars="200"/>
        <w:rPr>
          <w:rFonts w:hint="eastAsia" w:ascii="仿宋_GB2312" w:hAnsi="仿宋_GB2312" w:eastAsia="仿宋_GB2312" w:cs="仿宋_GB2312"/>
          <w:sz w:val="30"/>
          <w:szCs w:val="30"/>
        </w:rPr>
      </w:pPr>
      <w:r>
        <w:rPr>
          <w:rFonts w:hint="eastAsia"/>
          <w:lang w:val="en-US" w:eastAsia="zh-CN"/>
        </w:rPr>
        <w:t>2023年度财政拨款收入中，一般公共预算财政拨款收入</w:t>
      </w:r>
      <w:r>
        <w:rPr>
          <w:rFonts w:hint="eastAsia"/>
          <w:u w:val="single"/>
          <w:lang w:val="en-US" w:eastAsia="zh-CN"/>
        </w:rPr>
        <w:t xml:space="preserve">    477.04 </w:t>
      </w:r>
      <w:r>
        <w:rPr>
          <w:rFonts w:hint="eastAsia"/>
        </w:rPr>
        <w:t>万元</w:t>
      </w:r>
      <w:r>
        <w:rPr>
          <w:rFonts w:hint="eastAsia"/>
          <w:lang w:eastAsia="zh-CN"/>
        </w:rPr>
        <w:t>，比</w:t>
      </w:r>
      <w:r>
        <w:rPr>
          <w:rFonts w:hint="eastAsia"/>
          <w:lang w:val="en-US" w:eastAsia="zh-CN"/>
        </w:rPr>
        <w:t>2022年度决算数</w:t>
      </w:r>
      <w:r>
        <w:rPr>
          <w:rFonts w:hint="eastAsia" w:ascii="仿宋_GB2312" w:hAnsi="宋体"/>
          <w:bCs/>
          <w:szCs w:val="32"/>
          <w:highlight w:val="none"/>
          <w:lang w:val="en-US" w:eastAsia="zh-CN"/>
        </w:rPr>
        <w:t>减少</w:t>
      </w:r>
      <w:r>
        <w:rPr>
          <w:rFonts w:hint="eastAsia" w:ascii="仿宋_GB2312" w:hAnsi="宋体"/>
          <w:bCs/>
          <w:szCs w:val="32"/>
          <w:highlight w:val="none"/>
          <w:u w:val="single"/>
          <w:lang w:val="en-US" w:eastAsia="zh-CN"/>
        </w:rPr>
        <w:t>37.22</w:t>
      </w:r>
      <w:r>
        <w:rPr>
          <w:rFonts w:hint="eastAsia"/>
          <w:u w:val="none"/>
          <w:lang w:val="en-US" w:eastAsia="zh-CN"/>
        </w:rPr>
        <w:t>万元</w:t>
      </w:r>
      <w:r>
        <w:rPr>
          <w:rFonts w:hint="eastAsia" w:ascii="仿宋_GB2312" w:hAnsi="宋体"/>
          <w:bCs/>
          <w:szCs w:val="32"/>
          <w:highlight w:val="none"/>
          <w:lang w:val="en-US" w:eastAsia="zh-CN"/>
        </w:rPr>
        <w:t>。</w:t>
      </w:r>
      <w:r>
        <w:rPr>
          <w:rFonts w:hint="eastAsia"/>
          <w:lang w:eastAsia="zh-CN"/>
        </w:rPr>
        <w:t>减少</w:t>
      </w:r>
      <w:r>
        <w:rPr>
          <w:rFonts w:hint="eastAsia"/>
        </w:rPr>
        <w:t>主要原因</w:t>
      </w:r>
      <w:r>
        <w:rPr>
          <w:rFonts w:hint="eastAsia"/>
          <w:lang w:eastAsia="zh-CN"/>
        </w:rPr>
        <w:t>财政委托业务减少</w:t>
      </w:r>
      <w:r>
        <w:rPr>
          <w:rFonts w:hint="eastAsia"/>
        </w:rPr>
        <w:t>。</w:t>
      </w:r>
      <w:r>
        <w:rPr>
          <w:rFonts w:hint="eastAsia"/>
          <w:lang w:eastAsia="zh-CN"/>
        </w:rPr>
        <w:t>政府性基金预算财政拨款收入</w:t>
      </w:r>
      <w:r>
        <w:rPr>
          <w:rFonts w:hint="eastAsia"/>
          <w:u w:val="single"/>
          <w:lang w:val="en-US" w:eastAsia="zh-CN"/>
        </w:rPr>
        <w:t>0</w:t>
      </w:r>
      <w:r>
        <w:rPr>
          <w:rFonts w:hint="eastAsia"/>
          <w:u w:val="none"/>
          <w:lang w:val="en-US" w:eastAsia="zh-CN"/>
        </w:rPr>
        <w:t>万元，</w:t>
      </w:r>
      <w:r>
        <w:rPr>
          <w:rFonts w:hint="eastAsia"/>
          <w:lang w:eastAsia="zh-CN"/>
        </w:rPr>
        <w:t>比</w:t>
      </w:r>
      <w:r>
        <w:rPr>
          <w:rFonts w:hint="eastAsia"/>
          <w:lang w:val="en-US" w:eastAsia="zh-CN"/>
        </w:rPr>
        <w:t>2022年度决算数增加（减少）</w:t>
      </w:r>
      <w:r>
        <w:rPr>
          <w:rFonts w:hint="eastAsia"/>
          <w:u w:val="single"/>
          <w:lang w:val="en-US" w:eastAsia="zh-CN"/>
        </w:rPr>
        <w:t>0</w:t>
      </w:r>
      <w:r>
        <w:rPr>
          <w:rFonts w:hint="eastAsia"/>
          <w:u w:val="none"/>
          <w:lang w:val="en-US" w:eastAsia="zh-CN"/>
        </w:rPr>
        <w:t>万元</w:t>
      </w:r>
      <w:r>
        <w:rPr>
          <w:rFonts w:hint="eastAsia"/>
        </w:rPr>
        <w:t>。国有资本经营预算财政拨款收入</w:t>
      </w:r>
      <w:r>
        <w:rPr>
          <w:rFonts w:hint="eastAsia"/>
          <w:u w:val="single"/>
          <w:lang w:val="en-US" w:eastAsia="zh-CN"/>
        </w:rPr>
        <w:t xml:space="preserve"> 0</w:t>
      </w:r>
      <w:r>
        <w:rPr>
          <w:rFonts w:hint="eastAsia"/>
          <w:u w:val="none"/>
          <w:lang w:val="en-US" w:eastAsia="zh-CN"/>
        </w:rPr>
        <w:t>万元，</w:t>
      </w:r>
      <w:r>
        <w:rPr>
          <w:rFonts w:hint="eastAsia"/>
          <w:lang w:eastAsia="zh-CN"/>
        </w:rPr>
        <w:t>比</w:t>
      </w:r>
      <w:r>
        <w:rPr>
          <w:rFonts w:hint="eastAsia"/>
          <w:lang w:val="en-US" w:eastAsia="zh-CN"/>
        </w:rPr>
        <w:t>2022年度决算数增加（减少）</w:t>
      </w:r>
      <w:r>
        <w:rPr>
          <w:rFonts w:hint="eastAsia"/>
          <w:u w:val="single"/>
          <w:lang w:val="en-US" w:eastAsia="zh-CN"/>
        </w:rPr>
        <w:t>0</w:t>
      </w:r>
      <w:r>
        <w:rPr>
          <w:rFonts w:hint="eastAsia"/>
          <w:u w:val="none"/>
          <w:lang w:val="en-US" w:eastAsia="zh-CN"/>
        </w:rPr>
        <w:t>万元</w:t>
      </w:r>
      <w:r>
        <w:rPr>
          <w:rFonts w:hint="eastAsia" w:ascii="仿宋_GB2312" w:hAnsi="宋体"/>
          <w:bCs/>
          <w:szCs w:val="32"/>
          <w:highlight w:val="none"/>
          <w:lang w:val="en-US" w:eastAsia="zh-CN"/>
        </w:rPr>
        <w:t>。</w:t>
      </w:r>
    </w:p>
    <w:p w14:paraId="18991C1C">
      <w:pPr>
        <w:bidi w:val="0"/>
        <w:jc w:val="center"/>
        <w:rPr>
          <w:rFonts w:hint="eastAsia" w:ascii="仿宋_GB2312" w:hAnsi="仿宋_GB2312" w:eastAsia="仿宋_GB2312" w:cs="仿宋_GB2312"/>
          <w:sz w:val="30"/>
          <w:szCs w:val="30"/>
        </w:rPr>
      </w:pPr>
    </w:p>
    <w:p w14:paraId="2C39E922">
      <w:pPr>
        <w:bidi w:val="0"/>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图4：财政拨款收、支决算总计变动情况</w:t>
      </w:r>
    </w:p>
    <w:p w14:paraId="2108DB08">
      <w:pPr>
        <w:bidi w:val="0"/>
        <w:jc w:val="center"/>
        <w:rPr>
          <w:rFonts w:hint="eastAsia"/>
          <w:lang w:val="en-US" w:eastAsia="zh-CN"/>
        </w:rPr>
      </w:pPr>
      <w:r>
        <w:rPr>
          <w:rFonts w:hint="eastAsia" w:ascii="仿宋_GB2312" w:hAnsi="宋体" w:eastAsia="仿宋_GB2312"/>
          <w:bCs/>
          <w:sz w:val="32"/>
          <w:szCs w:val="32"/>
          <w:highlight w:val="none"/>
          <w:lang w:val="en-US" w:eastAsia="zh-CN"/>
        </w:rPr>
        <w:object>
          <v:shape id="_x0000_i1028" o:spt="75" type="#_x0000_t75" style="height:151.8pt;width:366.75pt;" o:ole="t" filled="f" o:preferrelative="t" stroked="f" coordsize="21600,21600">
            <v:path/>
            <v:fill on="f" focussize="0,0"/>
            <v:stroke on="f"/>
            <v:imagedata r:id="rId21" o:title=""/>
            <o:lock v:ext="edit" aspectratio="t"/>
            <w10:wrap type="none"/>
            <w10:anchorlock/>
          </v:shape>
          <o:OLEObject Type="Embed" ProgID="Excel.Chart.8" ShapeID="_x0000_i1028" DrawAspect="Content" ObjectID="_1468075728" r:id="rId20">
            <o:LockedField>false</o:LockedField>
          </o:OLEObject>
        </w:object>
      </w:r>
    </w:p>
    <w:p w14:paraId="66768A5C">
      <w:pPr>
        <w:numPr>
          <w:ilvl w:val="0"/>
          <w:numId w:val="0"/>
        </w:num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五、一般公共预算财政拨款支出决算情况说明</w:t>
      </w:r>
    </w:p>
    <w:p w14:paraId="2D426B81">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楷体_GB2312" w:hAnsi="楷体_GB2312" w:eastAsia="楷体_GB2312" w:cs="楷体_GB2312"/>
          <w:bCs/>
          <w:kern w:val="44"/>
          <w:sz w:val="32"/>
          <w:szCs w:val="32"/>
          <w:highlight w:val="none"/>
        </w:rPr>
      </w:pPr>
      <w:r>
        <w:rPr>
          <w:rFonts w:hint="eastAsia" w:ascii="楷体_GB2312" w:hAnsi="楷体_GB2312" w:eastAsia="楷体_GB2312" w:cs="楷体_GB2312"/>
          <w:bCs/>
          <w:kern w:val="44"/>
          <w:sz w:val="32"/>
          <w:szCs w:val="32"/>
          <w:highlight w:val="none"/>
        </w:rPr>
        <w:t>（一）</w:t>
      </w:r>
      <w:r>
        <w:rPr>
          <w:rFonts w:hint="eastAsia" w:ascii="楷体_GB2312" w:hAnsi="楷体_GB2312" w:eastAsia="楷体_GB2312" w:cs="楷体_GB2312"/>
          <w:bCs/>
          <w:kern w:val="44"/>
          <w:sz w:val="32"/>
          <w:szCs w:val="32"/>
          <w:highlight w:val="none"/>
          <w:lang w:eastAsia="zh-CN"/>
        </w:rPr>
        <w:t>一般公共预算</w:t>
      </w:r>
      <w:r>
        <w:rPr>
          <w:rFonts w:hint="eastAsia" w:ascii="楷体_GB2312" w:hAnsi="楷体_GB2312" w:eastAsia="楷体_GB2312" w:cs="楷体_GB2312"/>
          <w:bCs/>
          <w:kern w:val="44"/>
          <w:sz w:val="32"/>
          <w:szCs w:val="32"/>
          <w:highlight w:val="none"/>
        </w:rPr>
        <w:t>财政拨款支出决算总体情况。</w:t>
      </w:r>
    </w:p>
    <w:p w14:paraId="1C3605CA">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bCs/>
          <w:kern w:val="44"/>
          <w:sz w:val="32"/>
          <w:szCs w:val="32"/>
          <w:highlight w:val="none"/>
          <w:lang w:eastAsia="zh-CN"/>
        </w:rPr>
        <w:t>202</w:t>
      </w:r>
      <w:r>
        <w:rPr>
          <w:rFonts w:hint="eastAsia" w:ascii="仿宋_GB2312"/>
          <w:bCs/>
          <w:kern w:val="44"/>
          <w:sz w:val="32"/>
          <w:szCs w:val="32"/>
          <w:highlight w:val="none"/>
          <w:lang w:val="en-US" w:eastAsia="zh-CN"/>
        </w:rPr>
        <w:t>3</w:t>
      </w:r>
      <w:r>
        <w:rPr>
          <w:rFonts w:hint="eastAsia" w:ascii="仿宋_GB2312" w:hAnsi="仿宋_GB2312" w:eastAsia="仿宋_GB2312" w:cs="仿宋_GB2312"/>
          <w:bCs/>
          <w:kern w:val="44"/>
          <w:sz w:val="32"/>
          <w:szCs w:val="32"/>
          <w:highlight w:val="none"/>
          <w:lang w:eastAsia="zh-CN"/>
        </w:rPr>
        <w:t>年</w:t>
      </w:r>
      <w:r>
        <w:rPr>
          <w:rFonts w:hint="eastAsia" w:ascii="仿宋_GB2312" w:hAnsi="仿宋_GB2312" w:eastAsia="仿宋_GB2312" w:cs="仿宋_GB2312"/>
          <w:bCs/>
          <w:kern w:val="44"/>
          <w:sz w:val="32"/>
          <w:szCs w:val="32"/>
          <w:highlight w:val="none"/>
        </w:rPr>
        <w:t>度</w:t>
      </w:r>
      <w:r>
        <w:rPr>
          <w:rFonts w:hint="eastAsia" w:ascii="仿宋_GB2312" w:hAnsi="仿宋_GB2312" w:eastAsia="仿宋_GB2312" w:cs="仿宋_GB2312"/>
          <w:bCs/>
          <w:kern w:val="44"/>
          <w:sz w:val="32"/>
          <w:szCs w:val="32"/>
          <w:highlight w:val="none"/>
          <w:lang w:eastAsia="zh-CN"/>
        </w:rPr>
        <w:t>一般公共预算</w:t>
      </w:r>
      <w:r>
        <w:rPr>
          <w:rFonts w:hint="eastAsia" w:ascii="仿宋_GB2312" w:hAnsi="仿宋_GB2312" w:eastAsia="仿宋_GB2312" w:cs="仿宋_GB2312"/>
          <w:bCs/>
          <w:kern w:val="44"/>
          <w:sz w:val="32"/>
          <w:szCs w:val="32"/>
          <w:highlight w:val="none"/>
        </w:rPr>
        <w:t>财政拨</w:t>
      </w:r>
      <w:r>
        <w:rPr>
          <w:rFonts w:hint="eastAsia" w:ascii="仿宋_GB2312" w:eastAsia="仿宋_GB2312"/>
          <w:bCs/>
          <w:kern w:val="44"/>
          <w:sz w:val="32"/>
          <w:szCs w:val="32"/>
          <w:highlight w:val="none"/>
        </w:rPr>
        <w:t>款支出</w:t>
      </w:r>
      <w:r>
        <w:rPr>
          <w:rFonts w:hint="eastAsia"/>
          <w:u w:val="single"/>
          <w:lang w:val="en-US" w:eastAsia="zh-CN"/>
        </w:rPr>
        <w:t xml:space="preserve">477.04 </w:t>
      </w:r>
      <w:r>
        <w:rPr>
          <w:rFonts w:hint="eastAsia" w:ascii="仿宋_GB2312" w:eastAsia="仿宋_GB2312"/>
          <w:bCs/>
          <w:kern w:val="44"/>
          <w:sz w:val="32"/>
          <w:szCs w:val="32"/>
          <w:highlight w:val="none"/>
          <w:u w:val="single"/>
        </w:rPr>
        <w:t xml:space="preserve"> </w:t>
      </w:r>
      <w:r>
        <w:rPr>
          <w:rFonts w:hint="eastAsia" w:ascii="仿宋_GB2312" w:eastAsia="仿宋_GB2312"/>
          <w:bCs/>
          <w:kern w:val="44"/>
          <w:sz w:val="32"/>
          <w:szCs w:val="32"/>
          <w:highlight w:val="none"/>
        </w:rPr>
        <w:t>万元，占本年支出合计的</w:t>
      </w:r>
      <w:r>
        <w:rPr>
          <w:rFonts w:hint="eastAsia" w:ascii="仿宋_GB2312" w:eastAsia="仿宋_GB2312"/>
          <w:bCs/>
          <w:kern w:val="44"/>
          <w:sz w:val="32"/>
          <w:szCs w:val="32"/>
          <w:highlight w:val="none"/>
          <w:u w:val="single"/>
        </w:rPr>
        <w:t xml:space="preserve"> </w:t>
      </w:r>
      <w:r>
        <w:rPr>
          <w:rFonts w:hint="eastAsia" w:ascii="仿宋_GB2312"/>
          <w:bCs/>
          <w:kern w:val="44"/>
          <w:sz w:val="32"/>
          <w:szCs w:val="32"/>
          <w:highlight w:val="none"/>
          <w:u w:val="single"/>
          <w:lang w:val="en-US" w:eastAsia="zh-CN"/>
        </w:rPr>
        <w:t>100</w:t>
      </w:r>
      <w:r>
        <w:rPr>
          <w:rFonts w:hint="eastAsia" w:ascii="仿宋_GB2312" w:eastAsia="仿宋_GB2312"/>
          <w:bCs/>
          <w:kern w:val="44"/>
          <w:sz w:val="32"/>
          <w:szCs w:val="32"/>
          <w:highlight w:val="none"/>
          <w:u w:val="single"/>
        </w:rPr>
        <w:t xml:space="preserve"> </w:t>
      </w:r>
      <w:r>
        <w:rPr>
          <w:rFonts w:hint="eastAsia" w:ascii="仿宋_GB2312" w:eastAsia="仿宋_GB2312"/>
          <w:bCs/>
          <w:kern w:val="44"/>
          <w:sz w:val="32"/>
          <w:szCs w:val="32"/>
          <w:highlight w:val="none"/>
        </w:rPr>
        <w:t xml:space="preserve"> %。与</w:t>
      </w:r>
      <w:r>
        <w:rPr>
          <w:rFonts w:hint="eastAsia" w:ascii="仿宋_GB2312"/>
          <w:bCs/>
          <w:kern w:val="44"/>
          <w:sz w:val="32"/>
          <w:szCs w:val="32"/>
          <w:highlight w:val="none"/>
          <w:lang w:eastAsia="zh-CN"/>
        </w:rPr>
        <w:t>202</w:t>
      </w:r>
      <w:r>
        <w:rPr>
          <w:rFonts w:hint="eastAsia" w:ascii="仿宋_GB2312"/>
          <w:bCs/>
          <w:kern w:val="44"/>
          <w:sz w:val="32"/>
          <w:szCs w:val="32"/>
          <w:highlight w:val="none"/>
          <w:lang w:val="en-US" w:eastAsia="zh-CN"/>
        </w:rPr>
        <w:t>2</w:t>
      </w:r>
      <w:r>
        <w:rPr>
          <w:rFonts w:hint="eastAsia" w:ascii="仿宋_GB2312"/>
          <w:bCs/>
          <w:kern w:val="44"/>
          <w:sz w:val="32"/>
          <w:szCs w:val="32"/>
          <w:highlight w:val="none"/>
          <w:lang w:eastAsia="zh-CN"/>
        </w:rPr>
        <w:t>年</w:t>
      </w:r>
      <w:r>
        <w:rPr>
          <w:rFonts w:hint="eastAsia" w:ascii="仿宋_GB2312" w:eastAsia="仿宋_GB2312"/>
          <w:bCs/>
          <w:kern w:val="44"/>
          <w:sz w:val="32"/>
          <w:szCs w:val="32"/>
          <w:highlight w:val="none"/>
          <w:lang w:eastAsia="zh-CN"/>
        </w:rPr>
        <w:t>度</w:t>
      </w:r>
      <w:r>
        <w:rPr>
          <w:rFonts w:hint="eastAsia" w:ascii="仿宋_GB2312" w:eastAsia="仿宋_GB2312"/>
          <w:bCs/>
          <w:kern w:val="44"/>
          <w:sz w:val="32"/>
          <w:szCs w:val="32"/>
          <w:highlight w:val="none"/>
        </w:rPr>
        <w:t>相比，</w:t>
      </w:r>
      <w:r>
        <w:rPr>
          <w:rFonts w:hint="eastAsia" w:ascii="仿宋_GB2312" w:hAnsi="仿宋_GB2312" w:eastAsia="仿宋_GB2312" w:cs="仿宋_GB2312"/>
          <w:bCs/>
          <w:kern w:val="44"/>
          <w:sz w:val="32"/>
          <w:szCs w:val="32"/>
          <w:highlight w:val="none"/>
          <w:lang w:eastAsia="zh-CN"/>
        </w:rPr>
        <w:t>一般公共预算</w:t>
      </w:r>
      <w:r>
        <w:rPr>
          <w:rFonts w:hint="eastAsia" w:ascii="仿宋_GB2312" w:eastAsia="仿宋_GB2312"/>
          <w:bCs/>
          <w:kern w:val="44"/>
          <w:sz w:val="32"/>
          <w:szCs w:val="32"/>
          <w:highlight w:val="none"/>
        </w:rPr>
        <w:t>财政拨款支出</w:t>
      </w:r>
      <w:r>
        <w:rPr>
          <w:rFonts w:hint="eastAsia" w:ascii="仿宋_GB2312" w:hAnsi="宋体"/>
          <w:bCs/>
          <w:szCs w:val="32"/>
          <w:highlight w:val="none"/>
          <w:lang w:val="en-US" w:eastAsia="zh-CN"/>
        </w:rPr>
        <w:t>减少</w:t>
      </w:r>
      <w:r>
        <w:rPr>
          <w:rFonts w:hint="eastAsia" w:ascii="仿宋_GB2312" w:hAnsi="宋体"/>
          <w:bCs/>
          <w:szCs w:val="32"/>
          <w:highlight w:val="none"/>
          <w:u w:val="single"/>
          <w:lang w:val="en-US" w:eastAsia="zh-CN"/>
        </w:rPr>
        <w:t>37.22</w:t>
      </w:r>
      <w:r>
        <w:rPr>
          <w:rFonts w:hint="eastAsia" w:ascii="仿宋_GB2312" w:eastAsia="仿宋_GB2312"/>
          <w:bCs/>
          <w:kern w:val="44"/>
          <w:sz w:val="32"/>
          <w:szCs w:val="32"/>
          <w:highlight w:val="none"/>
        </w:rPr>
        <w:t>万元，</w:t>
      </w:r>
      <w:r>
        <w:rPr>
          <w:rFonts w:hint="eastAsia" w:ascii="仿宋_GB2312" w:hAnsi="宋体"/>
          <w:bCs/>
          <w:sz w:val="32"/>
          <w:szCs w:val="32"/>
          <w:highlight w:val="none"/>
          <w:lang w:val="en-US" w:eastAsia="zh-CN"/>
        </w:rPr>
        <w:t>减少</w:t>
      </w:r>
      <w:r>
        <w:rPr>
          <w:rFonts w:hint="eastAsia" w:ascii="仿宋_GB2312" w:hAnsi="宋体"/>
          <w:bCs/>
          <w:sz w:val="32"/>
          <w:szCs w:val="32"/>
          <w:highlight w:val="none"/>
          <w:u w:val="single"/>
          <w:lang w:val="en-US" w:eastAsia="zh-CN"/>
        </w:rPr>
        <w:t>7.24</w:t>
      </w:r>
      <w:r>
        <w:rPr>
          <w:rFonts w:hint="eastAsia" w:ascii="仿宋_GB2312" w:hAnsi="宋体" w:eastAsia="仿宋_GB2312"/>
          <w:bCs/>
          <w:sz w:val="32"/>
          <w:szCs w:val="32"/>
          <w:highlight w:val="none"/>
          <w:lang w:val="en-US" w:eastAsia="zh-CN"/>
        </w:rPr>
        <w:t>%</w:t>
      </w:r>
      <w:r>
        <w:rPr>
          <w:rFonts w:hint="eastAsia" w:ascii="仿宋_GB2312" w:eastAsia="仿宋_GB2312"/>
          <w:bCs/>
          <w:kern w:val="44"/>
          <w:sz w:val="32"/>
          <w:szCs w:val="32"/>
          <w:highlight w:val="none"/>
        </w:rPr>
        <w:t>。主要原因是</w:t>
      </w:r>
      <w:r>
        <w:rPr>
          <w:rFonts w:hint="eastAsia"/>
          <w:lang w:eastAsia="zh-CN"/>
        </w:rPr>
        <w:t>财政委托业务减少</w:t>
      </w:r>
      <w:r>
        <w:rPr>
          <w:rFonts w:hint="eastAsia" w:ascii="仿宋_GB2312" w:eastAsia="仿宋_GB2312"/>
          <w:bCs/>
          <w:kern w:val="44"/>
          <w:sz w:val="32"/>
          <w:szCs w:val="32"/>
          <w:highlight w:val="none"/>
        </w:rPr>
        <w:t>。</w:t>
      </w:r>
    </w:p>
    <w:p w14:paraId="7CF376AA">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楷体_GB2312" w:hAnsi="楷体_GB2312" w:eastAsia="楷体_GB2312" w:cs="楷体_GB2312"/>
          <w:bCs/>
          <w:kern w:val="44"/>
          <w:sz w:val="32"/>
          <w:szCs w:val="32"/>
          <w:highlight w:val="none"/>
        </w:rPr>
      </w:pPr>
      <w:r>
        <w:rPr>
          <w:rFonts w:hint="eastAsia" w:ascii="楷体_GB2312" w:hAnsi="楷体_GB2312" w:eastAsia="楷体_GB2312" w:cs="楷体_GB2312"/>
          <w:bCs/>
          <w:kern w:val="44"/>
          <w:sz w:val="32"/>
          <w:szCs w:val="32"/>
          <w:highlight w:val="none"/>
          <w:lang w:eastAsia="zh-CN"/>
        </w:rPr>
        <w:t>（二）一般公共预算</w:t>
      </w:r>
      <w:r>
        <w:rPr>
          <w:rFonts w:hint="eastAsia" w:ascii="楷体_GB2312" w:hAnsi="楷体_GB2312" w:eastAsia="楷体_GB2312" w:cs="楷体_GB2312"/>
          <w:bCs/>
          <w:kern w:val="44"/>
          <w:sz w:val="32"/>
          <w:szCs w:val="32"/>
          <w:highlight w:val="none"/>
        </w:rPr>
        <w:t>财政拨款支出决算结构情况。</w:t>
      </w:r>
    </w:p>
    <w:p w14:paraId="7F3DFFF4">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bCs/>
          <w:kern w:val="44"/>
          <w:sz w:val="32"/>
          <w:szCs w:val="32"/>
          <w:highlight w:val="none"/>
          <w:lang w:eastAsia="zh-CN"/>
        </w:rPr>
        <w:t>202</w:t>
      </w:r>
      <w:r>
        <w:rPr>
          <w:rFonts w:hint="eastAsia" w:ascii="仿宋_GB2312"/>
          <w:bCs/>
          <w:kern w:val="44"/>
          <w:sz w:val="32"/>
          <w:szCs w:val="32"/>
          <w:highlight w:val="none"/>
          <w:lang w:val="en-US" w:eastAsia="zh-CN"/>
        </w:rPr>
        <w:t>3</w:t>
      </w:r>
      <w:r>
        <w:rPr>
          <w:rFonts w:hint="eastAsia" w:ascii="仿宋_GB2312"/>
          <w:bCs/>
          <w:kern w:val="44"/>
          <w:sz w:val="32"/>
          <w:szCs w:val="32"/>
          <w:highlight w:val="none"/>
          <w:lang w:eastAsia="zh-CN"/>
        </w:rPr>
        <w:t>年</w:t>
      </w:r>
      <w:r>
        <w:rPr>
          <w:rFonts w:hint="eastAsia" w:ascii="仿宋_GB2312" w:eastAsia="仿宋_GB2312"/>
          <w:bCs/>
          <w:kern w:val="44"/>
          <w:sz w:val="32"/>
          <w:szCs w:val="32"/>
          <w:highlight w:val="none"/>
        </w:rPr>
        <w:t>度</w:t>
      </w:r>
      <w:r>
        <w:rPr>
          <w:rFonts w:hint="eastAsia" w:ascii="仿宋_GB2312" w:hAnsi="仿宋_GB2312" w:eastAsia="仿宋_GB2312" w:cs="仿宋_GB2312"/>
          <w:bCs/>
          <w:kern w:val="44"/>
          <w:sz w:val="32"/>
          <w:szCs w:val="32"/>
          <w:highlight w:val="none"/>
          <w:lang w:eastAsia="zh-CN"/>
        </w:rPr>
        <w:t>一般公共预算</w:t>
      </w:r>
      <w:r>
        <w:rPr>
          <w:rFonts w:hint="eastAsia" w:ascii="仿宋_GB2312" w:eastAsia="仿宋_GB2312"/>
          <w:bCs/>
          <w:kern w:val="44"/>
          <w:sz w:val="32"/>
          <w:szCs w:val="32"/>
          <w:highlight w:val="none"/>
        </w:rPr>
        <w:t>财政拨款支出</w:t>
      </w:r>
      <w:r>
        <w:rPr>
          <w:rFonts w:hint="eastAsia" w:ascii="仿宋_GB2312" w:eastAsia="仿宋_GB2312"/>
          <w:bCs/>
          <w:kern w:val="44"/>
          <w:sz w:val="32"/>
          <w:szCs w:val="32"/>
          <w:highlight w:val="none"/>
          <w:u w:val="single"/>
        </w:rPr>
        <w:t xml:space="preserve"> </w:t>
      </w:r>
      <w:r>
        <w:rPr>
          <w:rFonts w:hint="eastAsia"/>
          <w:u w:val="single"/>
          <w:lang w:val="en-US" w:eastAsia="zh-CN"/>
        </w:rPr>
        <w:t xml:space="preserve">477.04 </w:t>
      </w:r>
      <w:r>
        <w:rPr>
          <w:rFonts w:hint="eastAsia" w:ascii="仿宋_GB2312" w:eastAsia="仿宋_GB2312"/>
          <w:bCs/>
          <w:kern w:val="44"/>
          <w:sz w:val="32"/>
          <w:szCs w:val="32"/>
          <w:highlight w:val="none"/>
        </w:rPr>
        <w:t>万元，主要用于以下方面：</w:t>
      </w:r>
    </w:p>
    <w:p w14:paraId="1F708CF3">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lang w:val="en-US" w:eastAsia="zh-CN"/>
        </w:rPr>
      </w:pPr>
      <w:r>
        <w:rPr>
          <w:rFonts w:hint="eastAsia" w:ascii="仿宋_GB2312"/>
          <w:bCs/>
          <w:kern w:val="44"/>
          <w:sz w:val="32"/>
          <w:szCs w:val="32"/>
          <w:highlight w:val="none"/>
          <w:lang w:val="en-US" w:eastAsia="zh-CN"/>
        </w:rPr>
        <w:t>1.</w:t>
      </w:r>
      <w:r>
        <w:rPr>
          <w:rFonts w:hint="eastAsia" w:ascii="仿宋_GB2312" w:eastAsia="仿宋_GB2312"/>
          <w:bCs/>
          <w:kern w:val="44"/>
          <w:sz w:val="32"/>
          <w:szCs w:val="32"/>
          <w:highlight w:val="none"/>
        </w:rPr>
        <w:t>一般公共服务（类）支出</w:t>
      </w:r>
      <w:r>
        <w:rPr>
          <w:rFonts w:hint="eastAsia" w:ascii="仿宋_GB2312"/>
          <w:bCs/>
          <w:kern w:val="44"/>
          <w:sz w:val="32"/>
          <w:szCs w:val="32"/>
          <w:highlight w:val="none"/>
          <w:u w:val="single"/>
          <w:lang w:val="en-US" w:eastAsia="zh-CN"/>
        </w:rPr>
        <w:t>421.03</w:t>
      </w:r>
      <w:r>
        <w:rPr>
          <w:rFonts w:hint="eastAsia" w:ascii="仿宋_GB2312" w:eastAsia="仿宋_GB2312"/>
          <w:bCs/>
          <w:kern w:val="44"/>
          <w:sz w:val="32"/>
          <w:szCs w:val="32"/>
          <w:highlight w:val="none"/>
        </w:rPr>
        <w:t>万元，占</w:t>
      </w:r>
      <w:r>
        <w:rPr>
          <w:rFonts w:hint="eastAsia" w:ascii="仿宋_GB2312"/>
          <w:bCs/>
          <w:kern w:val="44"/>
          <w:sz w:val="32"/>
          <w:szCs w:val="32"/>
          <w:highlight w:val="none"/>
          <w:u w:val="single"/>
          <w:lang w:val="en-US" w:eastAsia="zh-CN"/>
        </w:rPr>
        <w:t>88.26</w:t>
      </w:r>
      <w:r>
        <w:rPr>
          <w:rFonts w:ascii="仿宋_GB2312" w:eastAsia="仿宋_GB2312"/>
          <w:bCs/>
          <w:kern w:val="44"/>
          <w:sz w:val="32"/>
          <w:szCs w:val="32"/>
          <w:highlight w:val="none"/>
        </w:rPr>
        <w:t>%</w:t>
      </w:r>
      <w:r>
        <w:rPr>
          <w:rFonts w:hint="eastAsia" w:ascii="仿宋_GB2312"/>
          <w:bCs/>
          <w:kern w:val="44"/>
          <w:sz w:val="32"/>
          <w:szCs w:val="32"/>
          <w:highlight w:val="none"/>
          <w:lang w:eastAsia="zh-CN"/>
        </w:rPr>
        <w:t>。主要是用于</w:t>
      </w:r>
      <w:r>
        <w:rPr>
          <w:rFonts w:hint="eastAsia" w:ascii="仿宋_GB2312" w:eastAsia="仿宋_GB2312"/>
          <w:bCs/>
          <w:kern w:val="44"/>
          <w:sz w:val="32"/>
          <w:szCs w:val="32"/>
          <w:highlight w:val="none"/>
        </w:rPr>
        <w:t>行政运行</w:t>
      </w:r>
      <w:r>
        <w:rPr>
          <w:rFonts w:hint="eastAsia" w:ascii="仿宋_GB2312"/>
          <w:bCs/>
          <w:kern w:val="44"/>
          <w:sz w:val="32"/>
          <w:szCs w:val="32"/>
          <w:highlight w:val="none"/>
          <w:lang w:eastAsia="zh-CN"/>
        </w:rPr>
        <w:t>、一般行政管理事务、预算改革业务、财政国库业务、信息化建设、财政委托业务支出、其他财政事务支出。</w:t>
      </w:r>
    </w:p>
    <w:p w14:paraId="50693BAB">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lang w:val="en-US" w:eastAsia="zh-CN"/>
        </w:rPr>
      </w:pPr>
      <w:r>
        <w:rPr>
          <w:rFonts w:hint="eastAsia" w:ascii="仿宋_GB2312"/>
          <w:bCs/>
          <w:kern w:val="44"/>
          <w:sz w:val="32"/>
          <w:szCs w:val="32"/>
          <w:highlight w:val="none"/>
          <w:lang w:val="en-US" w:eastAsia="zh-CN"/>
        </w:rPr>
        <w:t>2.社会保障和就业（类）支出</w:t>
      </w:r>
      <w:r>
        <w:rPr>
          <w:rFonts w:hint="eastAsia" w:ascii="仿宋_GB2312"/>
          <w:bCs/>
          <w:kern w:val="44"/>
          <w:sz w:val="32"/>
          <w:szCs w:val="32"/>
          <w:highlight w:val="none"/>
          <w:u w:val="single"/>
          <w:lang w:val="en-US" w:eastAsia="zh-CN"/>
        </w:rPr>
        <w:t>12.88</w:t>
      </w:r>
      <w:r>
        <w:rPr>
          <w:rFonts w:hint="eastAsia" w:ascii="仿宋_GB2312" w:eastAsia="仿宋_GB2312"/>
          <w:bCs/>
          <w:kern w:val="44"/>
          <w:sz w:val="32"/>
          <w:szCs w:val="32"/>
          <w:highlight w:val="none"/>
        </w:rPr>
        <w:t>万元，占</w:t>
      </w:r>
      <w:r>
        <w:rPr>
          <w:rFonts w:hint="eastAsia" w:ascii="仿宋_GB2312"/>
          <w:bCs/>
          <w:kern w:val="44"/>
          <w:sz w:val="32"/>
          <w:szCs w:val="32"/>
          <w:highlight w:val="none"/>
          <w:u w:val="single"/>
          <w:lang w:val="en-US" w:eastAsia="zh-CN"/>
        </w:rPr>
        <w:t>2.7</w:t>
      </w:r>
      <w:r>
        <w:rPr>
          <w:rFonts w:hint="eastAsia" w:ascii="仿宋_GB2312" w:eastAsia="仿宋_GB2312"/>
          <w:bCs/>
          <w:kern w:val="44"/>
          <w:sz w:val="32"/>
          <w:szCs w:val="32"/>
          <w:highlight w:val="none"/>
          <w:u w:val="single"/>
        </w:rPr>
        <w:t xml:space="preserve"> </w:t>
      </w:r>
      <w:r>
        <w:rPr>
          <w:rFonts w:ascii="仿宋_GB2312" w:eastAsia="仿宋_GB2312"/>
          <w:bCs/>
          <w:kern w:val="44"/>
          <w:sz w:val="32"/>
          <w:szCs w:val="32"/>
          <w:highlight w:val="none"/>
        </w:rPr>
        <w:t>%</w:t>
      </w:r>
      <w:r>
        <w:rPr>
          <w:rFonts w:hint="eastAsia" w:ascii="仿宋_GB2312"/>
          <w:bCs/>
          <w:kern w:val="44"/>
          <w:sz w:val="32"/>
          <w:szCs w:val="32"/>
          <w:highlight w:val="none"/>
          <w:lang w:eastAsia="zh-CN"/>
        </w:rPr>
        <w:t>。主要是用于</w:t>
      </w:r>
      <w:r>
        <w:rPr>
          <w:rFonts w:hint="eastAsia" w:ascii="仿宋_GB2312" w:eastAsia="仿宋_GB2312"/>
          <w:bCs/>
          <w:kern w:val="44"/>
          <w:sz w:val="32"/>
          <w:szCs w:val="32"/>
          <w:highlight w:val="none"/>
        </w:rPr>
        <w:t>机关事业单位基本养老保险缴费支出</w:t>
      </w:r>
      <w:r>
        <w:rPr>
          <w:rFonts w:hint="eastAsia" w:ascii="仿宋_GB2312"/>
          <w:bCs/>
          <w:kern w:val="44"/>
          <w:sz w:val="32"/>
          <w:szCs w:val="32"/>
          <w:highlight w:val="none"/>
          <w:lang w:eastAsia="zh-CN"/>
        </w:rPr>
        <w:t>。</w:t>
      </w:r>
    </w:p>
    <w:p w14:paraId="13A14091">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bCs/>
          <w:kern w:val="44"/>
          <w:sz w:val="32"/>
          <w:szCs w:val="32"/>
          <w:highlight w:val="none"/>
          <w:lang w:val="en-US" w:eastAsia="zh-CN"/>
        </w:rPr>
        <w:t>3. 卫生健康（类）支出</w:t>
      </w:r>
      <w:r>
        <w:rPr>
          <w:rFonts w:hint="eastAsia" w:ascii="仿宋_GB2312"/>
          <w:bCs/>
          <w:kern w:val="44"/>
          <w:sz w:val="32"/>
          <w:szCs w:val="32"/>
          <w:highlight w:val="none"/>
          <w:u w:val="single"/>
          <w:lang w:val="en-US" w:eastAsia="zh-CN"/>
        </w:rPr>
        <w:t>23.5</w:t>
      </w:r>
      <w:r>
        <w:rPr>
          <w:rFonts w:hint="eastAsia" w:ascii="仿宋_GB2312" w:eastAsia="仿宋_GB2312"/>
          <w:bCs/>
          <w:kern w:val="44"/>
          <w:sz w:val="32"/>
          <w:szCs w:val="32"/>
          <w:highlight w:val="none"/>
        </w:rPr>
        <w:t>万元，占</w:t>
      </w:r>
      <w:r>
        <w:rPr>
          <w:rFonts w:hint="eastAsia" w:ascii="仿宋_GB2312"/>
          <w:bCs/>
          <w:kern w:val="44"/>
          <w:sz w:val="32"/>
          <w:szCs w:val="32"/>
          <w:highlight w:val="none"/>
          <w:u w:val="single"/>
          <w:lang w:val="en-US" w:eastAsia="zh-CN"/>
        </w:rPr>
        <w:t>4.93</w:t>
      </w:r>
      <w:r>
        <w:rPr>
          <w:rFonts w:hint="eastAsia" w:ascii="仿宋_GB2312" w:eastAsia="仿宋_GB2312"/>
          <w:bCs/>
          <w:kern w:val="44"/>
          <w:sz w:val="32"/>
          <w:szCs w:val="32"/>
          <w:highlight w:val="none"/>
          <w:u w:val="single"/>
        </w:rPr>
        <w:t xml:space="preserve"> </w:t>
      </w:r>
      <w:r>
        <w:rPr>
          <w:rFonts w:ascii="仿宋_GB2312" w:eastAsia="仿宋_GB2312"/>
          <w:bCs/>
          <w:kern w:val="44"/>
          <w:sz w:val="32"/>
          <w:szCs w:val="32"/>
          <w:highlight w:val="none"/>
        </w:rPr>
        <w:t>%</w:t>
      </w:r>
      <w:r>
        <w:rPr>
          <w:rFonts w:hint="eastAsia" w:ascii="仿宋_GB2312"/>
          <w:bCs/>
          <w:kern w:val="44"/>
          <w:sz w:val="32"/>
          <w:szCs w:val="32"/>
          <w:highlight w:val="none"/>
          <w:lang w:eastAsia="zh-CN"/>
        </w:rPr>
        <w:t>。主要是用于</w:t>
      </w:r>
      <w:r>
        <w:rPr>
          <w:rFonts w:hint="eastAsia" w:ascii="仿宋_GB2312" w:eastAsia="仿宋_GB2312"/>
          <w:bCs/>
          <w:kern w:val="44"/>
          <w:sz w:val="32"/>
          <w:szCs w:val="32"/>
          <w:highlight w:val="none"/>
        </w:rPr>
        <w:t>行政单位医疗。</w:t>
      </w:r>
    </w:p>
    <w:p w14:paraId="239923B9">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bCs/>
          <w:kern w:val="44"/>
          <w:sz w:val="32"/>
          <w:szCs w:val="32"/>
          <w:highlight w:val="none"/>
          <w:lang w:val="en-US" w:eastAsia="zh-CN"/>
        </w:rPr>
        <w:t>4、 住房保障（类）支出</w:t>
      </w:r>
      <w:r>
        <w:rPr>
          <w:rFonts w:hint="eastAsia" w:ascii="仿宋_GB2312"/>
          <w:bCs/>
          <w:kern w:val="44"/>
          <w:sz w:val="32"/>
          <w:szCs w:val="32"/>
          <w:highlight w:val="none"/>
          <w:u w:val="single"/>
          <w:lang w:val="en-US" w:eastAsia="zh-CN"/>
        </w:rPr>
        <w:t>19.63</w:t>
      </w:r>
      <w:r>
        <w:rPr>
          <w:rFonts w:hint="eastAsia" w:ascii="仿宋_GB2312" w:eastAsia="仿宋_GB2312"/>
          <w:bCs/>
          <w:kern w:val="44"/>
          <w:sz w:val="32"/>
          <w:szCs w:val="32"/>
          <w:highlight w:val="none"/>
        </w:rPr>
        <w:t>万元，占</w:t>
      </w:r>
      <w:r>
        <w:rPr>
          <w:rFonts w:hint="eastAsia" w:ascii="仿宋_GB2312" w:eastAsia="仿宋_GB2312"/>
          <w:bCs/>
          <w:kern w:val="44"/>
          <w:sz w:val="32"/>
          <w:szCs w:val="32"/>
          <w:highlight w:val="none"/>
          <w:u w:val="single"/>
        </w:rPr>
        <w:t xml:space="preserve"> </w:t>
      </w:r>
      <w:r>
        <w:rPr>
          <w:rFonts w:hint="eastAsia" w:ascii="仿宋_GB2312"/>
          <w:bCs/>
          <w:kern w:val="44"/>
          <w:sz w:val="32"/>
          <w:szCs w:val="32"/>
          <w:highlight w:val="none"/>
          <w:u w:val="single"/>
          <w:lang w:val="en-US" w:eastAsia="zh-CN"/>
        </w:rPr>
        <w:t>4.11</w:t>
      </w:r>
      <w:r>
        <w:rPr>
          <w:rFonts w:hint="eastAsia" w:ascii="仿宋_GB2312" w:eastAsia="仿宋_GB2312"/>
          <w:bCs/>
          <w:kern w:val="44"/>
          <w:sz w:val="32"/>
          <w:szCs w:val="32"/>
          <w:highlight w:val="none"/>
          <w:u w:val="single"/>
        </w:rPr>
        <w:t xml:space="preserve"> </w:t>
      </w:r>
      <w:r>
        <w:rPr>
          <w:rFonts w:ascii="仿宋_GB2312" w:eastAsia="仿宋_GB2312"/>
          <w:bCs/>
          <w:kern w:val="44"/>
          <w:sz w:val="32"/>
          <w:szCs w:val="32"/>
          <w:highlight w:val="none"/>
        </w:rPr>
        <w:t>%</w:t>
      </w:r>
      <w:r>
        <w:rPr>
          <w:rFonts w:hint="eastAsia" w:ascii="仿宋_GB2312"/>
          <w:bCs/>
          <w:kern w:val="44"/>
          <w:sz w:val="32"/>
          <w:szCs w:val="32"/>
          <w:highlight w:val="none"/>
          <w:lang w:eastAsia="zh-CN"/>
        </w:rPr>
        <w:t>。主要是用于</w:t>
      </w:r>
      <w:r>
        <w:rPr>
          <w:rFonts w:hint="eastAsia" w:ascii="仿宋_GB2312" w:eastAsia="仿宋_GB2312"/>
          <w:bCs/>
          <w:kern w:val="44"/>
          <w:sz w:val="32"/>
          <w:szCs w:val="32"/>
          <w:highlight w:val="none"/>
        </w:rPr>
        <w:t>住房公积金。</w:t>
      </w:r>
    </w:p>
    <w:p w14:paraId="101D061A">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楷体_GB2312" w:hAnsi="楷体_GB2312" w:eastAsia="楷体_GB2312" w:cs="楷体_GB2312"/>
          <w:bCs/>
          <w:kern w:val="44"/>
          <w:sz w:val="32"/>
          <w:szCs w:val="32"/>
          <w:highlight w:val="none"/>
        </w:rPr>
      </w:pPr>
      <w:r>
        <w:rPr>
          <w:rFonts w:hint="eastAsia" w:ascii="楷体_GB2312" w:hAnsi="楷体_GB2312" w:eastAsia="楷体_GB2312" w:cs="楷体_GB2312"/>
          <w:bCs/>
          <w:kern w:val="44"/>
          <w:sz w:val="32"/>
          <w:szCs w:val="32"/>
          <w:highlight w:val="none"/>
        </w:rPr>
        <w:t>（三）</w:t>
      </w:r>
      <w:r>
        <w:rPr>
          <w:rFonts w:hint="eastAsia" w:ascii="楷体_GB2312" w:hAnsi="楷体_GB2312" w:eastAsia="楷体_GB2312" w:cs="楷体_GB2312"/>
          <w:bCs/>
          <w:kern w:val="44"/>
          <w:sz w:val="32"/>
          <w:szCs w:val="32"/>
          <w:highlight w:val="none"/>
          <w:lang w:eastAsia="zh-CN"/>
        </w:rPr>
        <w:t>一般公共预算</w:t>
      </w:r>
      <w:r>
        <w:rPr>
          <w:rFonts w:hint="eastAsia" w:ascii="楷体_GB2312" w:hAnsi="楷体_GB2312" w:eastAsia="楷体_GB2312" w:cs="楷体_GB2312"/>
          <w:bCs/>
          <w:kern w:val="44"/>
          <w:sz w:val="32"/>
          <w:szCs w:val="32"/>
          <w:highlight w:val="none"/>
        </w:rPr>
        <w:t>财政拨款支出决算具体情况。</w:t>
      </w:r>
    </w:p>
    <w:p w14:paraId="36FEA705">
      <w:pPr>
        <w:pageBreakBefore w:val="0"/>
        <w:widowControl w:val="0"/>
        <w:kinsoku/>
        <w:wordWrap/>
        <w:overflowPunct/>
        <w:topLinePunct w:val="0"/>
        <w:bidi w:val="0"/>
        <w:adjustRightInd w:val="0"/>
        <w:snapToGrid w:val="0"/>
        <w:spacing w:line="360" w:lineRule="auto"/>
        <w:ind w:firstLine="640" w:firstLineChars="200"/>
        <w:textAlignment w:val="auto"/>
        <w:rPr>
          <w:rFonts w:hint="default" w:ascii="仿宋_GB2312" w:hAnsi="仿宋_GB2312" w:eastAsia="仿宋_GB2312" w:cs="仿宋_GB2312"/>
          <w:b/>
          <w:bCs w:val="0"/>
          <w:kern w:val="44"/>
          <w:sz w:val="32"/>
          <w:szCs w:val="32"/>
          <w:highlight w:val="cyan"/>
          <w:lang w:val="en-US" w:eastAsia="zh-CN"/>
        </w:rPr>
      </w:pPr>
      <w:r>
        <w:rPr>
          <w:rFonts w:hint="eastAsia" w:ascii="仿宋_GB2312" w:hAnsi="仿宋_GB2312" w:eastAsia="仿宋_GB2312" w:cs="仿宋_GB2312"/>
          <w:bCs/>
          <w:kern w:val="44"/>
          <w:sz w:val="32"/>
          <w:szCs w:val="32"/>
          <w:highlight w:val="none"/>
          <w:lang w:eastAsia="zh-CN"/>
        </w:rPr>
        <w:t>202</w:t>
      </w:r>
      <w:r>
        <w:rPr>
          <w:rFonts w:hint="eastAsia" w:ascii="仿宋_GB2312" w:hAnsi="仿宋_GB2312" w:cs="仿宋_GB2312"/>
          <w:bCs/>
          <w:kern w:val="44"/>
          <w:sz w:val="32"/>
          <w:szCs w:val="32"/>
          <w:highlight w:val="none"/>
          <w:lang w:val="en-US" w:eastAsia="zh-CN"/>
        </w:rPr>
        <w:t>3</w:t>
      </w:r>
      <w:r>
        <w:rPr>
          <w:rFonts w:hint="eastAsia" w:ascii="仿宋_GB2312" w:hAnsi="仿宋_GB2312" w:eastAsia="仿宋_GB2312" w:cs="仿宋_GB2312"/>
          <w:bCs/>
          <w:kern w:val="44"/>
          <w:sz w:val="32"/>
          <w:szCs w:val="32"/>
          <w:highlight w:val="none"/>
          <w:lang w:eastAsia="zh-CN"/>
        </w:rPr>
        <w:t>年度</w:t>
      </w:r>
      <w:r>
        <w:rPr>
          <w:rFonts w:hint="eastAsia" w:ascii="仿宋_GB2312" w:hAnsi="仿宋_GB2312" w:eastAsia="仿宋_GB2312" w:cs="仿宋_GB2312"/>
          <w:bCs/>
          <w:kern w:val="44"/>
          <w:sz w:val="32"/>
          <w:szCs w:val="32"/>
          <w:highlight w:val="none"/>
        </w:rPr>
        <w:t>一般公共预算财政拨款支出年</w:t>
      </w:r>
      <w:r>
        <w:rPr>
          <w:rFonts w:hint="eastAsia" w:ascii="仿宋_GB2312" w:hAnsi="仿宋_GB2312" w:eastAsia="仿宋_GB2312" w:cs="仿宋_GB2312"/>
          <w:bCs/>
          <w:kern w:val="44"/>
          <w:sz w:val="32"/>
          <w:szCs w:val="32"/>
          <w:highlight w:val="none"/>
          <w:lang w:eastAsia="zh-CN"/>
        </w:rPr>
        <w:t>初</w:t>
      </w:r>
      <w:r>
        <w:rPr>
          <w:rFonts w:hint="eastAsia" w:ascii="仿宋_GB2312" w:hAnsi="仿宋_GB2312" w:eastAsia="仿宋_GB2312" w:cs="仿宋_GB2312"/>
          <w:bCs/>
          <w:kern w:val="44"/>
          <w:sz w:val="32"/>
          <w:szCs w:val="32"/>
          <w:highlight w:val="none"/>
        </w:rPr>
        <w:t>预算为</w:t>
      </w:r>
      <w:r>
        <w:rPr>
          <w:rFonts w:hint="eastAsia" w:ascii="仿宋_GB2312" w:hAnsi="仿宋_GB2312" w:eastAsia="仿宋_GB2312" w:cs="仿宋_GB2312"/>
          <w:bCs/>
          <w:kern w:val="44"/>
          <w:sz w:val="32"/>
          <w:szCs w:val="32"/>
          <w:highlight w:val="none"/>
          <w:u w:val="single"/>
        </w:rPr>
        <w:t xml:space="preserve">    </w:t>
      </w:r>
      <w:r>
        <w:rPr>
          <w:rFonts w:hint="eastAsia" w:ascii="仿宋_GB2312" w:hAnsi="仿宋_GB2312" w:cs="仿宋_GB2312"/>
          <w:bCs/>
          <w:kern w:val="44"/>
          <w:sz w:val="32"/>
          <w:szCs w:val="32"/>
          <w:highlight w:val="none"/>
          <w:u w:val="single"/>
          <w:lang w:val="en-US" w:eastAsia="zh-CN"/>
        </w:rPr>
        <w:t>1185.86</w:t>
      </w:r>
      <w:r>
        <w:rPr>
          <w:rFonts w:hint="eastAsia" w:ascii="仿宋_GB2312" w:hAnsi="仿宋_GB2312" w:eastAsia="仿宋_GB2312" w:cs="仿宋_GB2312"/>
          <w:bCs/>
          <w:kern w:val="44"/>
          <w:sz w:val="32"/>
          <w:szCs w:val="32"/>
          <w:highlight w:val="none"/>
        </w:rPr>
        <w:t>万元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kern w:val="44"/>
          <w:sz w:val="32"/>
          <w:szCs w:val="32"/>
          <w:highlight w:val="none"/>
        </w:rPr>
        <w:t>支出决算为</w:t>
      </w:r>
      <w:r>
        <w:rPr>
          <w:rFonts w:hint="eastAsia" w:ascii="仿宋_GB2312" w:hAnsi="仿宋_GB2312" w:cs="仿宋_GB2312"/>
          <w:bCs/>
          <w:kern w:val="44"/>
          <w:sz w:val="32"/>
          <w:szCs w:val="32"/>
          <w:highlight w:val="none"/>
          <w:u w:val="single"/>
          <w:lang w:val="en-US" w:eastAsia="zh-CN"/>
        </w:rPr>
        <w:t>477.04</w:t>
      </w:r>
      <w:r>
        <w:rPr>
          <w:rFonts w:hint="eastAsia" w:ascii="仿宋_GB2312" w:hAnsi="仿宋_GB2312" w:eastAsia="仿宋_GB2312" w:cs="仿宋_GB2312"/>
          <w:bCs/>
          <w:kern w:val="44"/>
          <w:sz w:val="32"/>
          <w:szCs w:val="32"/>
          <w:highlight w:val="none"/>
          <w:u w:val="single"/>
        </w:rPr>
        <w:t xml:space="preserve"> </w:t>
      </w:r>
      <w:r>
        <w:rPr>
          <w:rFonts w:hint="eastAsia" w:ascii="仿宋_GB2312" w:hAnsi="仿宋_GB2312" w:eastAsia="仿宋_GB2312" w:cs="仿宋_GB2312"/>
          <w:bCs/>
          <w:kern w:val="44"/>
          <w:sz w:val="32"/>
          <w:szCs w:val="32"/>
          <w:highlight w:val="none"/>
        </w:rPr>
        <w:t>万元，完成年</w:t>
      </w:r>
      <w:r>
        <w:rPr>
          <w:rFonts w:hint="eastAsia" w:ascii="仿宋_GB2312" w:hAnsi="仿宋_GB2312" w:eastAsia="仿宋_GB2312" w:cs="仿宋_GB2312"/>
          <w:bCs/>
          <w:kern w:val="44"/>
          <w:sz w:val="32"/>
          <w:szCs w:val="32"/>
          <w:highlight w:val="none"/>
          <w:lang w:eastAsia="zh-CN"/>
        </w:rPr>
        <w:t>初</w:t>
      </w:r>
      <w:r>
        <w:rPr>
          <w:rFonts w:hint="eastAsia" w:ascii="仿宋_GB2312" w:hAnsi="仿宋_GB2312" w:eastAsia="仿宋_GB2312" w:cs="仿宋_GB2312"/>
          <w:bCs/>
          <w:kern w:val="44"/>
          <w:sz w:val="32"/>
          <w:szCs w:val="32"/>
          <w:highlight w:val="none"/>
        </w:rPr>
        <w:t>预算的</w:t>
      </w:r>
      <w:r>
        <w:rPr>
          <w:rFonts w:hint="eastAsia" w:ascii="仿宋_GB2312" w:hAnsi="仿宋_GB2312" w:eastAsia="仿宋_GB2312" w:cs="仿宋_GB2312"/>
          <w:bCs/>
          <w:kern w:val="44"/>
          <w:sz w:val="32"/>
          <w:szCs w:val="32"/>
          <w:highlight w:val="none"/>
          <w:u w:val="single"/>
        </w:rPr>
        <w:t xml:space="preserve"> </w:t>
      </w:r>
      <w:r>
        <w:rPr>
          <w:rFonts w:hint="eastAsia" w:ascii="仿宋_GB2312" w:hAnsi="仿宋_GB2312" w:cs="仿宋_GB2312"/>
          <w:bCs/>
          <w:kern w:val="44"/>
          <w:sz w:val="32"/>
          <w:szCs w:val="32"/>
          <w:highlight w:val="none"/>
          <w:u w:val="single"/>
          <w:lang w:val="en-US" w:eastAsia="zh-CN"/>
        </w:rPr>
        <w:t>40.23</w:t>
      </w:r>
      <w:r>
        <w:rPr>
          <w:rFonts w:hint="eastAsia" w:ascii="仿宋_GB2312" w:hAnsi="仿宋_GB2312" w:eastAsia="仿宋_GB2312" w:cs="仿宋_GB2312"/>
          <w:bCs/>
          <w:kern w:val="44"/>
          <w:sz w:val="32"/>
          <w:szCs w:val="32"/>
          <w:highlight w:val="none"/>
        </w:rPr>
        <w:t>%。其中：</w:t>
      </w:r>
    </w:p>
    <w:p w14:paraId="2C091E20">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bCs/>
          <w:kern w:val="44"/>
          <w:sz w:val="32"/>
          <w:szCs w:val="32"/>
          <w:highlight w:val="yellow"/>
        </w:rPr>
      </w:pPr>
      <w:r>
        <w:rPr>
          <w:rFonts w:hint="eastAsia" w:ascii="仿宋_GB2312" w:hAnsi="仿宋_GB2312" w:eastAsia="仿宋_GB2312" w:cs="仿宋_GB2312"/>
          <w:bCs/>
          <w:kern w:val="44"/>
          <w:sz w:val="32"/>
          <w:szCs w:val="32"/>
          <w:highlight w:val="none"/>
        </w:rPr>
        <w:t>1.一般公共服务支出(类)</w:t>
      </w:r>
      <w:r>
        <w:rPr>
          <w:rFonts w:hint="eastAsia" w:ascii="仿宋_GB2312" w:hAnsi="仿宋_GB2312" w:cs="仿宋_GB2312"/>
          <w:bCs/>
          <w:kern w:val="44"/>
          <w:sz w:val="32"/>
          <w:szCs w:val="32"/>
          <w:highlight w:val="none"/>
          <w:lang w:eastAsia="zh-CN"/>
        </w:rPr>
        <w:t>财政事务（款）行政运行（项）</w:t>
      </w:r>
      <w:r>
        <w:rPr>
          <w:rFonts w:hint="eastAsia" w:ascii="仿宋_GB2312" w:hAnsi="仿宋_GB2312" w:eastAsia="仿宋_GB2312" w:cs="仿宋_GB2312"/>
          <w:bCs/>
          <w:kern w:val="44"/>
          <w:sz w:val="32"/>
          <w:szCs w:val="32"/>
          <w:highlight w:val="none"/>
        </w:rPr>
        <w:t>。年</w:t>
      </w:r>
      <w:r>
        <w:rPr>
          <w:rFonts w:hint="eastAsia" w:ascii="仿宋_GB2312" w:hAnsi="仿宋_GB2312" w:eastAsia="仿宋_GB2312" w:cs="仿宋_GB2312"/>
          <w:bCs/>
          <w:kern w:val="44"/>
          <w:sz w:val="32"/>
          <w:szCs w:val="32"/>
          <w:highlight w:val="none"/>
          <w:lang w:eastAsia="zh-CN"/>
        </w:rPr>
        <w:t>初</w:t>
      </w:r>
      <w:r>
        <w:rPr>
          <w:rFonts w:hint="eastAsia" w:ascii="仿宋_GB2312" w:hAnsi="仿宋_GB2312" w:eastAsia="仿宋_GB2312" w:cs="仿宋_GB2312"/>
          <w:bCs/>
          <w:kern w:val="44"/>
          <w:sz w:val="32"/>
          <w:szCs w:val="32"/>
          <w:highlight w:val="none"/>
        </w:rPr>
        <w:t>预算为</w:t>
      </w:r>
      <w:r>
        <w:rPr>
          <w:rFonts w:hint="eastAsia" w:ascii="仿宋_GB2312" w:hAnsi="仿宋_GB2312" w:cs="仿宋_GB2312"/>
          <w:bCs/>
          <w:kern w:val="44"/>
          <w:sz w:val="32"/>
          <w:szCs w:val="32"/>
          <w:highlight w:val="none"/>
          <w:u w:val="single"/>
          <w:lang w:val="en-US" w:eastAsia="zh-CN"/>
        </w:rPr>
        <w:t>208.19</w:t>
      </w:r>
      <w:r>
        <w:rPr>
          <w:rFonts w:hint="eastAsia" w:ascii="仿宋_GB2312" w:hAnsi="仿宋_GB2312" w:eastAsia="仿宋_GB2312" w:cs="仿宋_GB2312"/>
          <w:bCs/>
          <w:kern w:val="44"/>
          <w:sz w:val="32"/>
          <w:szCs w:val="32"/>
          <w:highlight w:val="none"/>
        </w:rPr>
        <w:t>万元，支出决算为</w:t>
      </w:r>
      <w:r>
        <w:rPr>
          <w:rFonts w:hint="eastAsia" w:ascii="仿宋_GB2312" w:hAnsi="仿宋_GB2312" w:cs="仿宋_GB2312"/>
          <w:bCs/>
          <w:kern w:val="44"/>
          <w:sz w:val="32"/>
          <w:szCs w:val="32"/>
          <w:highlight w:val="none"/>
          <w:u w:val="single"/>
          <w:lang w:val="en-US" w:eastAsia="zh-CN"/>
        </w:rPr>
        <w:t>211.66</w:t>
      </w:r>
      <w:r>
        <w:rPr>
          <w:rFonts w:hint="eastAsia" w:ascii="仿宋_GB2312" w:hAnsi="仿宋_GB2312" w:eastAsia="仿宋_GB2312" w:cs="仿宋_GB2312"/>
          <w:bCs/>
          <w:kern w:val="44"/>
          <w:sz w:val="32"/>
          <w:szCs w:val="32"/>
          <w:highlight w:val="none"/>
        </w:rPr>
        <w:t>万元，完成年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kern w:val="44"/>
          <w:sz w:val="32"/>
          <w:szCs w:val="32"/>
          <w:highlight w:val="none"/>
        </w:rPr>
        <w:t>预算的</w:t>
      </w:r>
      <w:r>
        <w:rPr>
          <w:rFonts w:hint="eastAsia" w:ascii="仿宋_GB2312" w:hAnsi="仿宋_GB2312" w:cs="仿宋_GB2312"/>
          <w:bCs/>
          <w:kern w:val="44"/>
          <w:sz w:val="32"/>
          <w:szCs w:val="32"/>
          <w:highlight w:val="none"/>
          <w:u w:val="single"/>
          <w:lang w:val="en-US" w:eastAsia="zh-CN"/>
        </w:rPr>
        <w:t>102</w:t>
      </w:r>
      <w:r>
        <w:rPr>
          <w:rFonts w:hint="eastAsia" w:ascii="仿宋_GB2312" w:hAnsi="仿宋_GB2312" w:eastAsia="仿宋_GB2312" w:cs="仿宋_GB2312"/>
          <w:bCs/>
          <w:kern w:val="44"/>
          <w:sz w:val="32"/>
          <w:szCs w:val="32"/>
          <w:highlight w:val="none"/>
          <w:u w:val="single"/>
        </w:rPr>
        <w:t xml:space="preserve"> </w:t>
      </w:r>
      <w:r>
        <w:rPr>
          <w:rFonts w:hint="eastAsia" w:ascii="仿宋_GB2312" w:hAnsi="仿宋_GB2312" w:eastAsia="仿宋_GB2312" w:cs="仿宋_GB2312"/>
          <w:bCs/>
          <w:kern w:val="44"/>
          <w:sz w:val="32"/>
          <w:szCs w:val="32"/>
          <w:highlight w:val="none"/>
        </w:rPr>
        <w:t>%，支出决算数</w:t>
      </w:r>
      <w:r>
        <w:rPr>
          <w:rFonts w:hint="eastAsia" w:ascii="仿宋_GB2312" w:hAnsi="仿宋_GB2312" w:cs="仿宋_GB2312"/>
          <w:bCs/>
          <w:kern w:val="44"/>
          <w:sz w:val="32"/>
          <w:szCs w:val="32"/>
          <w:highlight w:val="none"/>
          <w:lang w:eastAsia="zh-CN"/>
        </w:rPr>
        <w:t>大</w:t>
      </w:r>
      <w:r>
        <w:rPr>
          <w:rFonts w:hint="eastAsia" w:ascii="仿宋_GB2312" w:hAnsi="仿宋_GB2312" w:eastAsia="仿宋_GB2312" w:cs="仿宋_GB2312"/>
          <w:bCs/>
          <w:kern w:val="44"/>
          <w:sz w:val="32"/>
          <w:szCs w:val="32"/>
          <w:highlight w:val="none"/>
        </w:rPr>
        <w:t>于年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kern w:val="44"/>
          <w:sz w:val="32"/>
          <w:szCs w:val="32"/>
          <w:highlight w:val="none"/>
        </w:rPr>
        <w:t>预算数的主要原因</w:t>
      </w:r>
      <w:r>
        <w:rPr>
          <w:rFonts w:hint="eastAsia" w:ascii="仿宋_GB2312" w:hAnsi="仿宋_GB2312" w:cs="仿宋_GB2312"/>
          <w:bCs/>
          <w:kern w:val="44"/>
          <w:sz w:val="32"/>
          <w:szCs w:val="32"/>
          <w:highlight w:val="none"/>
          <w:lang w:eastAsia="zh-CN"/>
        </w:rPr>
        <w:t>是工资及退休费增加</w:t>
      </w:r>
      <w:r>
        <w:rPr>
          <w:rFonts w:hint="eastAsia" w:ascii="仿宋_GB2312" w:hAnsi="仿宋_GB2312" w:eastAsia="仿宋_GB2312" w:cs="仿宋_GB2312"/>
          <w:bCs/>
          <w:kern w:val="44"/>
          <w:sz w:val="32"/>
          <w:szCs w:val="32"/>
          <w:highlight w:val="none"/>
        </w:rPr>
        <w:t>。 </w:t>
      </w:r>
    </w:p>
    <w:p w14:paraId="4A596847">
      <w:pPr>
        <w:pStyle w:val="6"/>
        <w:pageBreakBefore w:val="0"/>
        <w:widowControl w:val="0"/>
        <w:kinsoku/>
        <w:wordWrap/>
        <w:overflowPunct/>
        <w:topLinePunct w:val="0"/>
        <w:bidi w:val="0"/>
        <w:snapToGrid w:val="0"/>
        <w:spacing w:line="360" w:lineRule="auto"/>
        <w:ind w:firstLine="640" w:firstLineChars="200"/>
        <w:jc w:val="both"/>
        <w:textAlignment w:val="auto"/>
        <w:rPr>
          <w:rFonts w:hint="eastAsia" w:hAnsi="仿宋_GB2312" w:cs="仿宋_GB2312"/>
          <w:bCs/>
          <w:kern w:val="44"/>
          <w:sz w:val="32"/>
          <w:szCs w:val="32"/>
          <w:highlight w:val="none"/>
          <w:lang w:eastAsia="zh-CN"/>
        </w:rPr>
      </w:pPr>
      <w:r>
        <w:rPr>
          <w:rFonts w:hint="eastAsia" w:hAnsi="仿宋_GB2312" w:cs="仿宋_GB2312"/>
          <w:bCs/>
          <w:kern w:val="44"/>
          <w:sz w:val="32"/>
          <w:szCs w:val="32"/>
          <w:highlight w:val="none"/>
          <w:lang w:val="en-US" w:eastAsia="zh-CN"/>
        </w:rPr>
        <w:t>2.</w:t>
      </w:r>
      <w:r>
        <w:rPr>
          <w:rFonts w:hint="eastAsia" w:ascii="仿宋_GB2312" w:hAnsi="仿宋_GB2312" w:eastAsia="仿宋_GB2312" w:cs="仿宋_GB2312"/>
          <w:bCs/>
          <w:kern w:val="44"/>
          <w:sz w:val="32"/>
          <w:szCs w:val="32"/>
          <w:highlight w:val="none"/>
        </w:rPr>
        <w:t> 一般公共服务支出(类)</w:t>
      </w:r>
      <w:r>
        <w:rPr>
          <w:rFonts w:hint="eastAsia" w:ascii="仿宋_GB2312" w:hAnsi="仿宋_GB2312" w:cs="仿宋_GB2312"/>
          <w:bCs/>
          <w:kern w:val="44"/>
          <w:sz w:val="32"/>
          <w:szCs w:val="32"/>
          <w:highlight w:val="none"/>
          <w:lang w:eastAsia="zh-CN"/>
        </w:rPr>
        <w:t>财政事务（款）预算改革业务</w:t>
      </w:r>
      <w:r>
        <w:rPr>
          <w:rFonts w:hint="eastAsia" w:hAnsi="仿宋_GB2312" w:cs="仿宋_GB2312"/>
          <w:bCs/>
          <w:kern w:val="44"/>
          <w:sz w:val="32"/>
          <w:szCs w:val="32"/>
          <w:highlight w:val="none"/>
          <w:lang w:eastAsia="zh-CN"/>
        </w:rPr>
        <w:t>（</w:t>
      </w:r>
      <w:r>
        <w:rPr>
          <w:rFonts w:hint="eastAsia" w:ascii="仿宋_GB2312" w:hAnsi="仿宋_GB2312" w:cs="仿宋_GB2312"/>
          <w:bCs/>
          <w:kern w:val="44"/>
          <w:sz w:val="32"/>
          <w:szCs w:val="32"/>
          <w:highlight w:val="none"/>
          <w:lang w:eastAsia="zh-CN"/>
        </w:rPr>
        <w:t>项）</w:t>
      </w:r>
      <w:r>
        <w:rPr>
          <w:rFonts w:hint="eastAsia" w:ascii="仿宋_GB2312" w:hAnsi="仿宋_GB2312" w:eastAsia="仿宋_GB2312" w:cs="仿宋_GB2312"/>
          <w:bCs/>
          <w:kern w:val="44"/>
          <w:sz w:val="32"/>
          <w:szCs w:val="32"/>
          <w:highlight w:val="none"/>
        </w:rPr>
        <w:t>。年</w:t>
      </w:r>
      <w:r>
        <w:rPr>
          <w:rFonts w:hint="eastAsia" w:ascii="仿宋_GB2312" w:hAnsi="仿宋_GB2312" w:eastAsia="仿宋_GB2312" w:cs="仿宋_GB2312"/>
          <w:bCs/>
          <w:kern w:val="44"/>
          <w:sz w:val="32"/>
          <w:szCs w:val="32"/>
          <w:highlight w:val="none"/>
          <w:lang w:eastAsia="zh-CN"/>
        </w:rPr>
        <w:t>初</w:t>
      </w:r>
      <w:r>
        <w:rPr>
          <w:rFonts w:hint="eastAsia" w:ascii="仿宋_GB2312" w:hAnsi="仿宋_GB2312" w:eastAsia="仿宋_GB2312" w:cs="仿宋_GB2312"/>
          <w:bCs/>
          <w:kern w:val="44"/>
          <w:sz w:val="32"/>
          <w:szCs w:val="32"/>
          <w:highlight w:val="none"/>
        </w:rPr>
        <w:t>预算为</w:t>
      </w:r>
      <w:r>
        <w:rPr>
          <w:rFonts w:hint="eastAsia" w:hAnsi="仿宋_GB2312" w:cs="仿宋_GB2312"/>
          <w:bCs/>
          <w:kern w:val="44"/>
          <w:sz w:val="32"/>
          <w:szCs w:val="32"/>
          <w:highlight w:val="none"/>
          <w:u w:val="single"/>
          <w:lang w:val="en-US" w:eastAsia="zh-CN"/>
        </w:rPr>
        <w:t>130</w:t>
      </w:r>
      <w:r>
        <w:rPr>
          <w:rFonts w:hint="eastAsia" w:ascii="仿宋_GB2312" w:hAnsi="仿宋_GB2312" w:eastAsia="仿宋_GB2312" w:cs="仿宋_GB2312"/>
          <w:bCs/>
          <w:kern w:val="44"/>
          <w:sz w:val="32"/>
          <w:szCs w:val="32"/>
          <w:highlight w:val="none"/>
        </w:rPr>
        <w:t>万元，支出决算为</w:t>
      </w:r>
      <w:r>
        <w:rPr>
          <w:rFonts w:hint="eastAsia" w:hAnsi="仿宋_GB2312" w:cs="仿宋_GB2312"/>
          <w:bCs/>
          <w:kern w:val="44"/>
          <w:sz w:val="32"/>
          <w:szCs w:val="32"/>
          <w:highlight w:val="none"/>
          <w:u w:val="single"/>
          <w:lang w:val="en-US" w:eastAsia="zh-CN"/>
        </w:rPr>
        <w:t>75.1</w:t>
      </w:r>
      <w:r>
        <w:rPr>
          <w:rFonts w:hint="eastAsia" w:ascii="仿宋_GB2312" w:hAnsi="仿宋_GB2312" w:eastAsia="仿宋_GB2312" w:cs="仿宋_GB2312"/>
          <w:bCs/>
          <w:kern w:val="44"/>
          <w:sz w:val="32"/>
          <w:szCs w:val="32"/>
          <w:highlight w:val="none"/>
        </w:rPr>
        <w:t>万元，完成年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kern w:val="44"/>
          <w:sz w:val="32"/>
          <w:szCs w:val="32"/>
          <w:highlight w:val="none"/>
        </w:rPr>
        <w:t>预算的</w:t>
      </w:r>
      <w:r>
        <w:rPr>
          <w:rFonts w:hint="eastAsia" w:hAnsi="仿宋_GB2312" w:cs="仿宋_GB2312"/>
          <w:bCs/>
          <w:kern w:val="44"/>
          <w:sz w:val="32"/>
          <w:szCs w:val="32"/>
          <w:highlight w:val="none"/>
          <w:u w:val="single"/>
          <w:lang w:val="en-US" w:eastAsia="zh-CN"/>
        </w:rPr>
        <w:t>57.8</w:t>
      </w:r>
      <w:r>
        <w:rPr>
          <w:rFonts w:hint="eastAsia" w:ascii="仿宋_GB2312" w:hAnsi="仿宋_GB2312" w:eastAsia="仿宋_GB2312" w:cs="仿宋_GB2312"/>
          <w:bCs/>
          <w:kern w:val="44"/>
          <w:sz w:val="32"/>
          <w:szCs w:val="32"/>
          <w:highlight w:val="none"/>
        </w:rPr>
        <w:t>%</w:t>
      </w:r>
      <w:r>
        <w:rPr>
          <w:rFonts w:hint="eastAsia" w:hAnsi="仿宋_GB2312" w:cs="仿宋_GB2312"/>
          <w:bCs/>
          <w:kern w:val="44"/>
          <w:sz w:val="32"/>
          <w:szCs w:val="32"/>
          <w:highlight w:val="none"/>
          <w:lang w:eastAsia="zh-CN"/>
        </w:rPr>
        <w:t>，</w:t>
      </w:r>
      <w:r>
        <w:rPr>
          <w:rFonts w:hint="eastAsia" w:ascii="仿宋_GB2312" w:hAnsi="仿宋_GB2312" w:eastAsia="仿宋_GB2312" w:cs="仿宋_GB2312"/>
          <w:bCs/>
          <w:kern w:val="44"/>
          <w:sz w:val="32"/>
          <w:szCs w:val="32"/>
          <w:highlight w:val="none"/>
        </w:rPr>
        <w:t>支出决算数</w:t>
      </w:r>
      <w:r>
        <w:rPr>
          <w:rFonts w:hint="eastAsia" w:hAnsi="仿宋_GB2312" w:cs="仿宋_GB2312"/>
          <w:bCs/>
          <w:kern w:val="44"/>
          <w:sz w:val="32"/>
          <w:szCs w:val="32"/>
          <w:highlight w:val="none"/>
          <w:lang w:eastAsia="zh-CN"/>
        </w:rPr>
        <w:t>小</w:t>
      </w:r>
      <w:r>
        <w:rPr>
          <w:rFonts w:hint="eastAsia" w:ascii="仿宋_GB2312" w:hAnsi="仿宋_GB2312" w:eastAsia="仿宋_GB2312" w:cs="仿宋_GB2312"/>
          <w:bCs/>
          <w:kern w:val="44"/>
          <w:sz w:val="32"/>
          <w:szCs w:val="32"/>
          <w:highlight w:val="none"/>
        </w:rPr>
        <w:t>于年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kern w:val="44"/>
          <w:sz w:val="32"/>
          <w:szCs w:val="32"/>
          <w:highlight w:val="none"/>
        </w:rPr>
        <w:t>预算数的主要原因</w:t>
      </w:r>
      <w:r>
        <w:rPr>
          <w:rFonts w:hint="eastAsia" w:ascii="仿宋_GB2312" w:hAnsi="仿宋_GB2312" w:cs="仿宋_GB2312"/>
          <w:bCs/>
          <w:kern w:val="44"/>
          <w:sz w:val="32"/>
          <w:szCs w:val="32"/>
          <w:highlight w:val="none"/>
          <w:lang w:eastAsia="zh-CN"/>
        </w:rPr>
        <w:t>是</w:t>
      </w:r>
      <w:r>
        <w:rPr>
          <w:rFonts w:hint="eastAsia" w:hAnsi="仿宋_GB2312" w:cs="仿宋_GB2312"/>
          <w:bCs/>
          <w:kern w:val="44"/>
          <w:sz w:val="32"/>
          <w:szCs w:val="32"/>
          <w:highlight w:val="none"/>
          <w:lang w:eastAsia="zh-CN"/>
        </w:rPr>
        <w:t>预算一体化系统费用减少</w:t>
      </w:r>
      <w:r>
        <w:rPr>
          <w:rFonts w:hint="eastAsia" w:ascii="仿宋_GB2312" w:hAnsi="仿宋_GB2312" w:eastAsia="仿宋_GB2312" w:cs="仿宋_GB2312"/>
          <w:bCs/>
          <w:kern w:val="44"/>
          <w:sz w:val="32"/>
          <w:szCs w:val="32"/>
          <w:highlight w:val="none"/>
        </w:rPr>
        <w:t>。</w:t>
      </w:r>
    </w:p>
    <w:p w14:paraId="705D51BC">
      <w:pPr>
        <w:pStyle w:val="6"/>
        <w:pageBreakBefore w:val="0"/>
        <w:widowControl w:val="0"/>
        <w:kinsoku/>
        <w:wordWrap/>
        <w:overflowPunct/>
        <w:topLinePunct w:val="0"/>
        <w:bidi w:val="0"/>
        <w:snapToGrid w:val="0"/>
        <w:spacing w:line="360" w:lineRule="auto"/>
        <w:ind w:firstLine="640" w:firstLineChars="200"/>
        <w:jc w:val="both"/>
        <w:textAlignment w:val="auto"/>
        <w:rPr>
          <w:rFonts w:hint="eastAsia" w:ascii="仿宋_GB2312" w:hAnsi="仿宋_GB2312" w:cs="仿宋_GB2312"/>
          <w:bCs/>
          <w:kern w:val="44"/>
          <w:sz w:val="32"/>
          <w:szCs w:val="32"/>
          <w:highlight w:val="none"/>
          <w:lang w:eastAsia="zh-CN"/>
        </w:rPr>
      </w:pPr>
      <w:r>
        <w:rPr>
          <w:rFonts w:hint="eastAsia" w:hAnsi="仿宋_GB2312" w:cs="仿宋_GB2312"/>
          <w:bCs/>
          <w:kern w:val="44"/>
          <w:sz w:val="32"/>
          <w:szCs w:val="32"/>
          <w:highlight w:val="none"/>
          <w:lang w:val="en-US" w:eastAsia="zh-CN"/>
        </w:rPr>
        <w:t>3.</w:t>
      </w:r>
      <w:r>
        <w:rPr>
          <w:rFonts w:hint="eastAsia" w:ascii="仿宋_GB2312" w:hAnsi="仿宋_GB2312" w:eastAsia="仿宋_GB2312" w:cs="仿宋_GB2312"/>
          <w:bCs/>
          <w:kern w:val="44"/>
          <w:sz w:val="32"/>
          <w:szCs w:val="32"/>
          <w:highlight w:val="none"/>
        </w:rPr>
        <w:t>一般公共服务支出(类)</w:t>
      </w:r>
      <w:r>
        <w:rPr>
          <w:rFonts w:hint="eastAsia" w:ascii="仿宋_GB2312" w:hAnsi="仿宋_GB2312" w:cs="仿宋_GB2312"/>
          <w:bCs/>
          <w:kern w:val="44"/>
          <w:sz w:val="32"/>
          <w:szCs w:val="32"/>
          <w:highlight w:val="none"/>
          <w:lang w:eastAsia="zh-CN"/>
        </w:rPr>
        <w:t>财政事务（款）财政国库业务</w:t>
      </w:r>
      <w:r>
        <w:rPr>
          <w:rFonts w:hint="eastAsia" w:hAnsi="仿宋_GB2312" w:cs="仿宋_GB2312"/>
          <w:bCs/>
          <w:kern w:val="44"/>
          <w:sz w:val="32"/>
          <w:szCs w:val="32"/>
          <w:highlight w:val="none"/>
          <w:lang w:eastAsia="zh-CN"/>
        </w:rPr>
        <w:t>（</w:t>
      </w:r>
      <w:r>
        <w:rPr>
          <w:rFonts w:hint="eastAsia" w:ascii="仿宋_GB2312" w:hAnsi="仿宋_GB2312" w:cs="仿宋_GB2312"/>
          <w:bCs/>
          <w:kern w:val="44"/>
          <w:sz w:val="32"/>
          <w:szCs w:val="32"/>
          <w:highlight w:val="none"/>
          <w:lang w:eastAsia="zh-CN"/>
        </w:rPr>
        <w:t>项）</w:t>
      </w:r>
      <w:r>
        <w:rPr>
          <w:rFonts w:hint="eastAsia" w:ascii="仿宋_GB2312" w:hAnsi="仿宋_GB2312" w:eastAsia="仿宋_GB2312" w:cs="仿宋_GB2312"/>
          <w:bCs/>
          <w:kern w:val="44"/>
          <w:sz w:val="32"/>
          <w:szCs w:val="32"/>
          <w:highlight w:val="none"/>
        </w:rPr>
        <w:t>。年</w:t>
      </w:r>
      <w:r>
        <w:rPr>
          <w:rFonts w:hint="eastAsia" w:ascii="仿宋_GB2312" w:hAnsi="仿宋_GB2312" w:eastAsia="仿宋_GB2312" w:cs="仿宋_GB2312"/>
          <w:bCs/>
          <w:kern w:val="44"/>
          <w:sz w:val="32"/>
          <w:szCs w:val="32"/>
          <w:highlight w:val="none"/>
          <w:lang w:eastAsia="zh-CN"/>
        </w:rPr>
        <w:t>初</w:t>
      </w:r>
      <w:r>
        <w:rPr>
          <w:rFonts w:hint="eastAsia" w:ascii="仿宋_GB2312" w:hAnsi="仿宋_GB2312" w:eastAsia="仿宋_GB2312" w:cs="仿宋_GB2312"/>
          <w:bCs/>
          <w:kern w:val="44"/>
          <w:sz w:val="32"/>
          <w:szCs w:val="32"/>
          <w:highlight w:val="none"/>
        </w:rPr>
        <w:t>预算为</w:t>
      </w:r>
      <w:r>
        <w:rPr>
          <w:rFonts w:hint="eastAsia" w:hAnsi="仿宋_GB2312" w:cs="仿宋_GB2312"/>
          <w:bCs/>
          <w:kern w:val="44"/>
          <w:sz w:val="32"/>
          <w:szCs w:val="32"/>
          <w:highlight w:val="none"/>
          <w:u w:val="single"/>
          <w:lang w:val="en-US" w:eastAsia="zh-CN"/>
        </w:rPr>
        <w:t>0</w:t>
      </w:r>
      <w:r>
        <w:rPr>
          <w:rFonts w:hint="eastAsia" w:ascii="仿宋_GB2312" w:hAnsi="仿宋_GB2312" w:eastAsia="仿宋_GB2312" w:cs="仿宋_GB2312"/>
          <w:bCs/>
          <w:kern w:val="44"/>
          <w:sz w:val="32"/>
          <w:szCs w:val="32"/>
          <w:highlight w:val="none"/>
        </w:rPr>
        <w:t>万元，支出决算为</w:t>
      </w:r>
      <w:r>
        <w:rPr>
          <w:rFonts w:hint="eastAsia" w:hAnsi="仿宋_GB2312" w:cs="仿宋_GB2312"/>
          <w:bCs/>
          <w:kern w:val="44"/>
          <w:sz w:val="32"/>
          <w:szCs w:val="32"/>
          <w:highlight w:val="none"/>
          <w:u w:val="single"/>
          <w:lang w:val="en-US" w:eastAsia="zh-CN"/>
        </w:rPr>
        <w:t>3</w:t>
      </w:r>
      <w:r>
        <w:rPr>
          <w:rFonts w:hint="eastAsia" w:ascii="仿宋_GB2312" w:hAnsi="仿宋_GB2312" w:eastAsia="仿宋_GB2312" w:cs="仿宋_GB2312"/>
          <w:bCs/>
          <w:kern w:val="44"/>
          <w:sz w:val="32"/>
          <w:szCs w:val="32"/>
          <w:highlight w:val="none"/>
        </w:rPr>
        <w:t>万元，支出决算数</w:t>
      </w:r>
      <w:r>
        <w:rPr>
          <w:rFonts w:hint="eastAsia" w:hAnsi="仿宋_GB2312" w:cs="仿宋_GB2312"/>
          <w:bCs/>
          <w:kern w:val="44"/>
          <w:sz w:val="32"/>
          <w:szCs w:val="32"/>
          <w:highlight w:val="none"/>
          <w:lang w:eastAsia="zh-CN"/>
        </w:rPr>
        <w:t>大</w:t>
      </w:r>
      <w:r>
        <w:rPr>
          <w:rFonts w:hint="eastAsia" w:ascii="仿宋_GB2312" w:hAnsi="仿宋_GB2312" w:eastAsia="仿宋_GB2312" w:cs="仿宋_GB2312"/>
          <w:bCs/>
          <w:kern w:val="44"/>
          <w:sz w:val="32"/>
          <w:szCs w:val="32"/>
          <w:highlight w:val="none"/>
        </w:rPr>
        <w:t>于年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kern w:val="44"/>
          <w:sz w:val="32"/>
          <w:szCs w:val="32"/>
          <w:highlight w:val="none"/>
        </w:rPr>
        <w:t>预算数的主要原因</w:t>
      </w:r>
      <w:r>
        <w:rPr>
          <w:rFonts w:hint="eastAsia" w:ascii="仿宋_GB2312" w:hAnsi="仿宋_GB2312" w:cs="仿宋_GB2312"/>
          <w:bCs/>
          <w:kern w:val="44"/>
          <w:sz w:val="32"/>
          <w:szCs w:val="32"/>
          <w:highlight w:val="none"/>
          <w:lang w:eastAsia="zh-CN"/>
        </w:rPr>
        <w:t>是</w:t>
      </w:r>
      <w:r>
        <w:rPr>
          <w:rFonts w:hint="eastAsia" w:hAnsi="仿宋_GB2312" w:cs="仿宋_GB2312"/>
          <w:bCs/>
          <w:kern w:val="44"/>
          <w:sz w:val="32"/>
          <w:szCs w:val="32"/>
          <w:highlight w:val="none"/>
          <w:lang w:eastAsia="zh-CN"/>
        </w:rPr>
        <w:t>支付</w:t>
      </w:r>
      <w:r>
        <w:rPr>
          <w:rFonts w:hint="eastAsia" w:ascii="仿宋_GB2312" w:hAnsi="仿宋_GB2312" w:cs="仿宋_GB2312"/>
          <w:bCs/>
          <w:kern w:val="44"/>
          <w:sz w:val="32"/>
          <w:szCs w:val="32"/>
          <w:highlight w:val="none"/>
          <w:lang w:eastAsia="zh-CN"/>
        </w:rPr>
        <w:t>预算一体化</w:t>
      </w:r>
      <w:r>
        <w:rPr>
          <w:rFonts w:hint="eastAsia" w:hAnsi="仿宋_GB2312" w:cs="仿宋_GB2312"/>
          <w:bCs/>
          <w:kern w:val="44"/>
          <w:sz w:val="32"/>
          <w:szCs w:val="32"/>
          <w:highlight w:val="none"/>
          <w:lang w:eastAsia="zh-CN"/>
        </w:rPr>
        <w:t>政府采购</w:t>
      </w:r>
      <w:r>
        <w:rPr>
          <w:rFonts w:hint="eastAsia" w:ascii="仿宋_GB2312" w:hAnsi="仿宋_GB2312" w:cs="仿宋_GB2312"/>
          <w:bCs/>
          <w:kern w:val="44"/>
          <w:sz w:val="32"/>
          <w:szCs w:val="32"/>
          <w:highlight w:val="none"/>
          <w:lang w:eastAsia="zh-CN"/>
        </w:rPr>
        <w:t>系统</w:t>
      </w:r>
      <w:r>
        <w:rPr>
          <w:rFonts w:hint="eastAsia" w:hAnsi="仿宋_GB2312" w:cs="仿宋_GB2312"/>
          <w:bCs/>
          <w:kern w:val="44"/>
          <w:sz w:val="32"/>
          <w:szCs w:val="32"/>
          <w:highlight w:val="none"/>
          <w:lang w:eastAsia="zh-CN"/>
        </w:rPr>
        <w:t>上线服务费。</w:t>
      </w:r>
    </w:p>
    <w:p w14:paraId="5FD3525F">
      <w:pPr>
        <w:pStyle w:val="6"/>
        <w:pageBreakBefore w:val="0"/>
        <w:widowControl w:val="0"/>
        <w:kinsoku/>
        <w:wordWrap/>
        <w:overflowPunct/>
        <w:topLinePunct w:val="0"/>
        <w:bidi w:val="0"/>
        <w:snapToGrid w:val="0"/>
        <w:spacing w:line="360" w:lineRule="auto"/>
        <w:ind w:firstLine="640" w:firstLineChars="200"/>
        <w:jc w:val="both"/>
        <w:textAlignment w:val="auto"/>
        <w:rPr>
          <w:rFonts w:hint="eastAsia" w:ascii="仿宋_GB2312" w:hAnsi="仿宋_GB2312" w:cs="仿宋_GB2312"/>
          <w:bCs/>
          <w:kern w:val="44"/>
          <w:sz w:val="32"/>
          <w:szCs w:val="32"/>
          <w:highlight w:val="none"/>
          <w:lang w:eastAsia="zh-CN"/>
        </w:rPr>
      </w:pPr>
      <w:r>
        <w:rPr>
          <w:rFonts w:hint="eastAsia" w:hAnsi="仿宋_GB2312" w:cs="仿宋_GB2312"/>
          <w:bCs/>
          <w:kern w:val="44"/>
          <w:sz w:val="32"/>
          <w:szCs w:val="32"/>
          <w:highlight w:val="none"/>
          <w:lang w:val="en-US" w:eastAsia="zh-CN"/>
        </w:rPr>
        <w:t>4.</w:t>
      </w:r>
      <w:r>
        <w:rPr>
          <w:rFonts w:hint="eastAsia" w:ascii="仿宋_GB2312" w:hAnsi="仿宋_GB2312" w:eastAsia="仿宋_GB2312" w:cs="仿宋_GB2312"/>
          <w:bCs/>
          <w:kern w:val="44"/>
          <w:sz w:val="32"/>
          <w:szCs w:val="32"/>
          <w:highlight w:val="none"/>
        </w:rPr>
        <w:t>一般公共服务支出(类)</w:t>
      </w:r>
      <w:r>
        <w:rPr>
          <w:rFonts w:hint="eastAsia" w:ascii="仿宋_GB2312" w:hAnsi="仿宋_GB2312" w:cs="仿宋_GB2312"/>
          <w:bCs/>
          <w:kern w:val="44"/>
          <w:sz w:val="32"/>
          <w:szCs w:val="32"/>
          <w:highlight w:val="none"/>
          <w:lang w:eastAsia="zh-CN"/>
        </w:rPr>
        <w:t>财政事务（款）财政委托业务支出</w:t>
      </w:r>
      <w:r>
        <w:rPr>
          <w:rFonts w:hint="eastAsia" w:hAnsi="仿宋_GB2312" w:cs="仿宋_GB2312"/>
          <w:bCs/>
          <w:kern w:val="44"/>
          <w:sz w:val="32"/>
          <w:szCs w:val="32"/>
          <w:highlight w:val="none"/>
          <w:lang w:eastAsia="zh-CN"/>
        </w:rPr>
        <w:t>（</w:t>
      </w:r>
      <w:r>
        <w:rPr>
          <w:rFonts w:hint="eastAsia" w:ascii="仿宋_GB2312" w:hAnsi="仿宋_GB2312" w:cs="仿宋_GB2312"/>
          <w:bCs/>
          <w:kern w:val="44"/>
          <w:sz w:val="32"/>
          <w:szCs w:val="32"/>
          <w:highlight w:val="none"/>
          <w:lang w:eastAsia="zh-CN"/>
        </w:rPr>
        <w:t>项）</w:t>
      </w:r>
      <w:r>
        <w:rPr>
          <w:rFonts w:hint="eastAsia" w:ascii="仿宋_GB2312" w:hAnsi="仿宋_GB2312" w:eastAsia="仿宋_GB2312" w:cs="仿宋_GB2312"/>
          <w:bCs/>
          <w:kern w:val="44"/>
          <w:sz w:val="32"/>
          <w:szCs w:val="32"/>
          <w:highlight w:val="none"/>
        </w:rPr>
        <w:t>。年</w:t>
      </w:r>
      <w:r>
        <w:rPr>
          <w:rFonts w:hint="eastAsia" w:ascii="仿宋_GB2312" w:hAnsi="仿宋_GB2312" w:eastAsia="仿宋_GB2312" w:cs="仿宋_GB2312"/>
          <w:bCs/>
          <w:kern w:val="44"/>
          <w:sz w:val="32"/>
          <w:szCs w:val="32"/>
          <w:highlight w:val="none"/>
          <w:lang w:eastAsia="zh-CN"/>
        </w:rPr>
        <w:t>初</w:t>
      </w:r>
      <w:r>
        <w:rPr>
          <w:rFonts w:hint="eastAsia" w:ascii="仿宋_GB2312" w:hAnsi="仿宋_GB2312" w:eastAsia="仿宋_GB2312" w:cs="仿宋_GB2312"/>
          <w:bCs/>
          <w:kern w:val="44"/>
          <w:sz w:val="32"/>
          <w:szCs w:val="32"/>
          <w:highlight w:val="none"/>
        </w:rPr>
        <w:t>预算为</w:t>
      </w:r>
      <w:r>
        <w:rPr>
          <w:rFonts w:hint="eastAsia" w:hAnsi="仿宋_GB2312" w:cs="仿宋_GB2312"/>
          <w:bCs/>
          <w:kern w:val="44"/>
          <w:sz w:val="32"/>
          <w:szCs w:val="32"/>
          <w:highlight w:val="none"/>
          <w:u w:val="single"/>
          <w:lang w:val="en-US" w:eastAsia="zh-CN"/>
        </w:rPr>
        <w:t>709.5</w:t>
      </w:r>
      <w:r>
        <w:rPr>
          <w:rFonts w:hint="eastAsia" w:ascii="仿宋_GB2312" w:hAnsi="仿宋_GB2312" w:eastAsia="仿宋_GB2312" w:cs="仿宋_GB2312"/>
          <w:bCs/>
          <w:kern w:val="44"/>
          <w:sz w:val="32"/>
          <w:szCs w:val="32"/>
          <w:highlight w:val="none"/>
        </w:rPr>
        <w:t>万元，支出决算为</w:t>
      </w:r>
      <w:r>
        <w:rPr>
          <w:rFonts w:hint="eastAsia" w:hAnsi="仿宋_GB2312" w:cs="仿宋_GB2312"/>
          <w:bCs/>
          <w:kern w:val="44"/>
          <w:sz w:val="32"/>
          <w:szCs w:val="32"/>
          <w:highlight w:val="none"/>
          <w:u w:val="single"/>
          <w:lang w:val="en-US" w:eastAsia="zh-CN"/>
        </w:rPr>
        <w:t>119.7</w:t>
      </w:r>
      <w:r>
        <w:rPr>
          <w:rFonts w:hint="eastAsia" w:ascii="仿宋_GB2312" w:hAnsi="仿宋_GB2312" w:eastAsia="仿宋_GB2312" w:cs="仿宋_GB2312"/>
          <w:bCs/>
          <w:kern w:val="44"/>
          <w:sz w:val="32"/>
          <w:szCs w:val="32"/>
          <w:highlight w:val="none"/>
        </w:rPr>
        <w:t>万元，完成年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kern w:val="44"/>
          <w:sz w:val="32"/>
          <w:szCs w:val="32"/>
          <w:highlight w:val="none"/>
        </w:rPr>
        <w:t>预算的</w:t>
      </w:r>
      <w:r>
        <w:rPr>
          <w:rFonts w:hint="eastAsia" w:hAnsi="仿宋_GB2312" w:cs="仿宋_GB2312"/>
          <w:bCs/>
          <w:kern w:val="44"/>
          <w:sz w:val="32"/>
          <w:szCs w:val="32"/>
          <w:highlight w:val="none"/>
          <w:u w:val="single"/>
          <w:lang w:val="en-US" w:eastAsia="zh-CN"/>
        </w:rPr>
        <w:t>16.87</w:t>
      </w:r>
      <w:r>
        <w:rPr>
          <w:rFonts w:hint="eastAsia" w:ascii="仿宋_GB2312" w:hAnsi="仿宋_GB2312" w:eastAsia="仿宋_GB2312" w:cs="仿宋_GB2312"/>
          <w:bCs/>
          <w:kern w:val="44"/>
          <w:sz w:val="32"/>
          <w:szCs w:val="32"/>
          <w:highlight w:val="none"/>
          <w:u w:val="single"/>
        </w:rPr>
        <w:t xml:space="preserve"> </w:t>
      </w:r>
      <w:r>
        <w:rPr>
          <w:rFonts w:hint="eastAsia" w:ascii="仿宋_GB2312" w:hAnsi="仿宋_GB2312" w:eastAsia="仿宋_GB2312" w:cs="仿宋_GB2312"/>
          <w:bCs/>
          <w:kern w:val="44"/>
          <w:sz w:val="32"/>
          <w:szCs w:val="32"/>
          <w:highlight w:val="none"/>
        </w:rPr>
        <w:t>%，支出决算数小于年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kern w:val="44"/>
          <w:sz w:val="32"/>
          <w:szCs w:val="32"/>
          <w:highlight w:val="none"/>
        </w:rPr>
        <w:t>预算数的主要原因</w:t>
      </w:r>
      <w:r>
        <w:rPr>
          <w:rFonts w:hint="eastAsia" w:ascii="仿宋_GB2312" w:hAnsi="仿宋_GB2312" w:cs="仿宋_GB2312"/>
          <w:bCs/>
          <w:kern w:val="44"/>
          <w:sz w:val="32"/>
          <w:szCs w:val="32"/>
          <w:highlight w:val="none"/>
          <w:lang w:eastAsia="zh-CN"/>
        </w:rPr>
        <w:t>是</w:t>
      </w:r>
      <w:r>
        <w:rPr>
          <w:rFonts w:hint="eastAsia" w:hAnsi="仿宋_GB2312" w:cs="仿宋_GB2312"/>
          <w:bCs/>
          <w:kern w:val="44"/>
          <w:sz w:val="32"/>
          <w:szCs w:val="32"/>
          <w:highlight w:val="none"/>
          <w:lang w:eastAsia="zh-CN"/>
        </w:rPr>
        <w:t>财务业务支出数减少。</w:t>
      </w:r>
    </w:p>
    <w:p w14:paraId="59646B3C">
      <w:pPr>
        <w:pStyle w:val="6"/>
        <w:pageBreakBefore w:val="0"/>
        <w:widowControl w:val="0"/>
        <w:kinsoku/>
        <w:wordWrap/>
        <w:overflowPunct/>
        <w:topLinePunct w:val="0"/>
        <w:bidi w:val="0"/>
        <w:snapToGrid w:val="0"/>
        <w:spacing w:line="360" w:lineRule="auto"/>
        <w:ind w:firstLine="640" w:firstLineChars="200"/>
        <w:jc w:val="both"/>
        <w:textAlignment w:val="auto"/>
        <w:rPr>
          <w:rFonts w:hint="eastAsia" w:hAnsi="仿宋_GB2312" w:cs="仿宋_GB2312"/>
          <w:bCs/>
          <w:kern w:val="44"/>
          <w:sz w:val="32"/>
          <w:szCs w:val="32"/>
          <w:highlight w:val="none"/>
          <w:lang w:eastAsia="zh-CN"/>
        </w:rPr>
      </w:pPr>
      <w:r>
        <w:rPr>
          <w:rFonts w:hint="eastAsia" w:hAnsi="仿宋_GB2312" w:cs="仿宋_GB2312"/>
          <w:bCs/>
          <w:kern w:val="44"/>
          <w:sz w:val="32"/>
          <w:szCs w:val="32"/>
          <w:highlight w:val="none"/>
          <w:lang w:val="en-US" w:eastAsia="zh-CN"/>
        </w:rPr>
        <w:t>5.</w:t>
      </w:r>
      <w:r>
        <w:rPr>
          <w:rFonts w:hint="eastAsia" w:ascii="仿宋_GB2312" w:hAnsi="仿宋_GB2312" w:eastAsia="仿宋_GB2312" w:cs="仿宋_GB2312"/>
          <w:bCs/>
          <w:kern w:val="44"/>
          <w:sz w:val="32"/>
          <w:szCs w:val="32"/>
          <w:highlight w:val="none"/>
        </w:rPr>
        <w:t>一般公共服务支出(类)</w:t>
      </w:r>
      <w:r>
        <w:rPr>
          <w:rFonts w:hint="eastAsia" w:ascii="仿宋_GB2312" w:hAnsi="仿宋_GB2312" w:cs="仿宋_GB2312"/>
          <w:bCs/>
          <w:kern w:val="44"/>
          <w:sz w:val="32"/>
          <w:szCs w:val="32"/>
          <w:highlight w:val="none"/>
          <w:lang w:eastAsia="zh-CN"/>
        </w:rPr>
        <w:t>财政事务（款）其他财政事务支出</w:t>
      </w:r>
      <w:r>
        <w:rPr>
          <w:rFonts w:hint="eastAsia" w:hAnsi="仿宋_GB2312" w:cs="仿宋_GB2312"/>
          <w:bCs/>
          <w:kern w:val="44"/>
          <w:sz w:val="32"/>
          <w:szCs w:val="32"/>
          <w:highlight w:val="none"/>
          <w:lang w:eastAsia="zh-CN"/>
        </w:rPr>
        <w:t>（</w:t>
      </w:r>
      <w:r>
        <w:rPr>
          <w:rFonts w:hint="eastAsia" w:ascii="仿宋_GB2312" w:hAnsi="仿宋_GB2312" w:cs="仿宋_GB2312"/>
          <w:bCs/>
          <w:kern w:val="44"/>
          <w:sz w:val="32"/>
          <w:szCs w:val="32"/>
          <w:highlight w:val="none"/>
          <w:lang w:eastAsia="zh-CN"/>
        </w:rPr>
        <w:t>项）</w:t>
      </w:r>
      <w:r>
        <w:rPr>
          <w:rFonts w:hint="eastAsia" w:ascii="仿宋_GB2312" w:hAnsi="仿宋_GB2312" w:eastAsia="仿宋_GB2312" w:cs="仿宋_GB2312"/>
          <w:bCs/>
          <w:kern w:val="44"/>
          <w:sz w:val="32"/>
          <w:szCs w:val="32"/>
          <w:highlight w:val="none"/>
        </w:rPr>
        <w:t>。年</w:t>
      </w:r>
      <w:r>
        <w:rPr>
          <w:rFonts w:hint="eastAsia" w:ascii="仿宋_GB2312" w:hAnsi="仿宋_GB2312" w:eastAsia="仿宋_GB2312" w:cs="仿宋_GB2312"/>
          <w:bCs/>
          <w:kern w:val="44"/>
          <w:sz w:val="32"/>
          <w:szCs w:val="32"/>
          <w:highlight w:val="none"/>
          <w:lang w:eastAsia="zh-CN"/>
        </w:rPr>
        <w:t>初</w:t>
      </w:r>
      <w:r>
        <w:rPr>
          <w:rFonts w:hint="eastAsia" w:ascii="仿宋_GB2312" w:hAnsi="仿宋_GB2312" w:eastAsia="仿宋_GB2312" w:cs="仿宋_GB2312"/>
          <w:bCs/>
          <w:kern w:val="44"/>
          <w:sz w:val="32"/>
          <w:szCs w:val="32"/>
          <w:highlight w:val="none"/>
        </w:rPr>
        <w:t>预算为</w:t>
      </w:r>
      <w:r>
        <w:rPr>
          <w:rFonts w:hint="eastAsia" w:hAnsi="仿宋_GB2312" w:cs="仿宋_GB2312"/>
          <w:bCs/>
          <w:kern w:val="44"/>
          <w:sz w:val="32"/>
          <w:szCs w:val="32"/>
          <w:highlight w:val="none"/>
          <w:u w:val="single"/>
          <w:lang w:val="en-US" w:eastAsia="zh-CN"/>
        </w:rPr>
        <w:t>57</w:t>
      </w:r>
      <w:r>
        <w:rPr>
          <w:rFonts w:hint="eastAsia" w:ascii="仿宋_GB2312" w:hAnsi="仿宋_GB2312" w:eastAsia="仿宋_GB2312" w:cs="仿宋_GB2312"/>
          <w:bCs/>
          <w:kern w:val="44"/>
          <w:sz w:val="32"/>
          <w:szCs w:val="32"/>
          <w:highlight w:val="none"/>
        </w:rPr>
        <w:t>万元，支出决算为</w:t>
      </w:r>
      <w:r>
        <w:rPr>
          <w:rFonts w:hint="eastAsia" w:hAnsi="仿宋_GB2312" w:cs="仿宋_GB2312"/>
          <w:bCs/>
          <w:kern w:val="44"/>
          <w:sz w:val="32"/>
          <w:szCs w:val="32"/>
          <w:highlight w:val="none"/>
          <w:u w:val="single"/>
          <w:lang w:val="en-US" w:eastAsia="zh-CN"/>
        </w:rPr>
        <w:t>2.25</w:t>
      </w:r>
      <w:r>
        <w:rPr>
          <w:rFonts w:hint="eastAsia" w:ascii="仿宋_GB2312" w:hAnsi="仿宋_GB2312" w:eastAsia="仿宋_GB2312" w:cs="仿宋_GB2312"/>
          <w:bCs/>
          <w:kern w:val="44"/>
          <w:sz w:val="32"/>
          <w:szCs w:val="32"/>
          <w:highlight w:val="none"/>
        </w:rPr>
        <w:t>万元，完成年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kern w:val="44"/>
          <w:sz w:val="32"/>
          <w:szCs w:val="32"/>
          <w:highlight w:val="none"/>
        </w:rPr>
        <w:t>预算的</w:t>
      </w:r>
      <w:r>
        <w:rPr>
          <w:rFonts w:hint="eastAsia" w:hAnsi="仿宋_GB2312" w:cs="仿宋_GB2312"/>
          <w:bCs/>
          <w:kern w:val="44"/>
          <w:sz w:val="32"/>
          <w:szCs w:val="32"/>
          <w:highlight w:val="none"/>
          <w:u w:val="single"/>
          <w:lang w:val="en-US" w:eastAsia="zh-CN"/>
        </w:rPr>
        <w:t>3.95</w:t>
      </w:r>
      <w:r>
        <w:rPr>
          <w:rFonts w:hint="eastAsia" w:ascii="仿宋_GB2312" w:hAnsi="仿宋_GB2312" w:eastAsia="仿宋_GB2312" w:cs="仿宋_GB2312"/>
          <w:bCs/>
          <w:kern w:val="44"/>
          <w:sz w:val="32"/>
          <w:szCs w:val="32"/>
          <w:highlight w:val="none"/>
        </w:rPr>
        <w:t>%，支出决算数小于年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kern w:val="44"/>
          <w:sz w:val="32"/>
          <w:szCs w:val="32"/>
          <w:highlight w:val="none"/>
        </w:rPr>
        <w:t>预算数的主要原因</w:t>
      </w:r>
      <w:r>
        <w:rPr>
          <w:rFonts w:hint="eastAsia" w:ascii="仿宋_GB2312" w:hAnsi="仿宋_GB2312" w:cs="仿宋_GB2312"/>
          <w:bCs/>
          <w:kern w:val="44"/>
          <w:sz w:val="32"/>
          <w:szCs w:val="32"/>
          <w:highlight w:val="none"/>
          <w:lang w:eastAsia="zh-CN"/>
        </w:rPr>
        <w:t>是</w:t>
      </w:r>
      <w:r>
        <w:rPr>
          <w:rFonts w:hint="eastAsia" w:hAnsi="仿宋_GB2312" w:cs="仿宋_GB2312"/>
          <w:bCs/>
          <w:kern w:val="44"/>
          <w:sz w:val="32"/>
          <w:szCs w:val="32"/>
          <w:highlight w:val="none"/>
          <w:lang w:eastAsia="zh-CN"/>
        </w:rPr>
        <w:t>今年只支出了防范非法集资宣传月活动费用。</w:t>
      </w:r>
    </w:p>
    <w:p w14:paraId="123DC83E">
      <w:pPr>
        <w:pStyle w:val="6"/>
        <w:pageBreakBefore w:val="0"/>
        <w:widowControl w:val="0"/>
        <w:kinsoku/>
        <w:wordWrap/>
        <w:overflowPunct/>
        <w:topLinePunct w:val="0"/>
        <w:bidi w:val="0"/>
        <w:snapToGrid w:val="0"/>
        <w:spacing w:line="360" w:lineRule="auto"/>
        <w:ind w:firstLine="640" w:firstLineChars="200"/>
        <w:jc w:val="both"/>
        <w:textAlignment w:val="auto"/>
        <w:rPr>
          <w:rFonts w:hint="eastAsia" w:hAnsi="仿宋_GB2312" w:cs="仿宋_GB2312"/>
          <w:bCs/>
          <w:kern w:val="44"/>
          <w:sz w:val="32"/>
          <w:szCs w:val="32"/>
          <w:highlight w:val="none"/>
          <w:lang w:eastAsia="zh-CN"/>
        </w:rPr>
      </w:pPr>
      <w:r>
        <w:rPr>
          <w:rFonts w:hint="eastAsia" w:hAnsi="仿宋_GB2312" w:cs="仿宋_GB2312"/>
          <w:bCs/>
          <w:kern w:val="44"/>
          <w:sz w:val="32"/>
          <w:szCs w:val="32"/>
          <w:highlight w:val="none"/>
          <w:lang w:val="en-US" w:eastAsia="zh-CN"/>
        </w:rPr>
        <w:t>6.</w:t>
      </w:r>
      <w:r>
        <w:rPr>
          <w:rFonts w:hint="eastAsia" w:ascii="仿宋_GB2312" w:hAnsi="仿宋_GB2312" w:eastAsia="仿宋_GB2312" w:cs="仿宋_GB2312"/>
          <w:bCs/>
          <w:kern w:val="44"/>
          <w:sz w:val="32"/>
          <w:szCs w:val="32"/>
          <w:highlight w:val="none"/>
        </w:rPr>
        <w:t>一般公共服务支出(类)</w:t>
      </w:r>
      <w:r>
        <w:rPr>
          <w:rFonts w:hint="eastAsia" w:hAnsi="仿宋_GB2312" w:cs="仿宋_GB2312"/>
          <w:bCs/>
          <w:kern w:val="44"/>
          <w:sz w:val="32"/>
          <w:szCs w:val="32"/>
          <w:highlight w:val="none"/>
          <w:lang w:eastAsia="zh-CN"/>
        </w:rPr>
        <w:t>纪检监察事务</w:t>
      </w:r>
      <w:r>
        <w:rPr>
          <w:rFonts w:hint="eastAsia" w:ascii="仿宋_GB2312" w:hAnsi="仿宋_GB2312" w:cs="仿宋_GB2312"/>
          <w:bCs/>
          <w:kern w:val="44"/>
          <w:sz w:val="32"/>
          <w:szCs w:val="32"/>
          <w:highlight w:val="none"/>
          <w:lang w:eastAsia="zh-CN"/>
        </w:rPr>
        <w:t>（款）</w:t>
      </w:r>
      <w:r>
        <w:rPr>
          <w:rFonts w:hint="eastAsia" w:hAnsi="仿宋_GB2312" w:cs="仿宋_GB2312"/>
          <w:bCs/>
          <w:kern w:val="44"/>
          <w:sz w:val="32"/>
          <w:szCs w:val="32"/>
          <w:highlight w:val="none"/>
          <w:lang w:eastAsia="zh-CN"/>
        </w:rPr>
        <w:t>一般行政管理事务（</w:t>
      </w:r>
      <w:r>
        <w:rPr>
          <w:rFonts w:hint="eastAsia" w:ascii="仿宋_GB2312" w:hAnsi="仿宋_GB2312" w:cs="仿宋_GB2312"/>
          <w:bCs/>
          <w:kern w:val="44"/>
          <w:sz w:val="32"/>
          <w:szCs w:val="32"/>
          <w:highlight w:val="none"/>
          <w:lang w:eastAsia="zh-CN"/>
        </w:rPr>
        <w:t>项）</w:t>
      </w:r>
      <w:r>
        <w:rPr>
          <w:rFonts w:hint="eastAsia" w:ascii="仿宋_GB2312" w:hAnsi="仿宋_GB2312" w:eastAsia="仿宋_GB2312" w:cs="仿宋_GB2312"/>
          <w:bCs/>
          <w:kern w:val="44"/>
          <w:sz w:val="32"/>
          <w:szCs w:val="32"/>
          <w:highlight w:val="none"/>
        </w:rPr>
        <w:t>。年</w:t>
      </w:r>
      <w:r>
        <w:rPr>
          <w:rFonts w:hint="eastAsia" w:ascii="仿宋_GB2312" w:hAnsi="仿宋_GB2312" w:eastAsia="仿宋_GB2312" w:cs="仿宋_GB2312"/>
          <w:bCs/>
          <w:kern w:val="44"/>
          <w:sz w:val="32"/>
          <w:szCs w:val="32"/>
          <w:highlight w:val="none"/>
          <w:lang w:eastAsia="zh-CN"/>
        </w:rPr>
        <w:t>初</w:t>
      </w:r>
      <w:r>
        <w:rPr>
          <w:rFonts w:hint="eastAsia" w:ascii="仿宋_GB2312" w:hAnsi="仿宋_GB2312" w:eastAsia="仿宋_GB2312" w:cs="仿宋_GB2312"/>
          <w:bCs/>
          <w:kern w:val="44"/>
          <w:sz w:val="32"/>
          <w:szCs w:val="32"/>
          <w:highlight w:val="none"/>
        </w:rPr>
        <w:t>预算为</w:t>
      </w:r>
      <w:r>
        <w:rPr>
          <w:rFonts w:hint="eastAsia" w:hAnsi="仿宋_GB2312" w:cs="仿宋_GB2312"/>
          <w:bCs/>
          <w:kern w:val="44"/>
          <w:sz w:val="32"/>
          <w:szCs w:val="32"/>
          <w:highlight w:val="none"/>
          <w:u w:val="single"/>
          <w:lang w:val="en-US" w:eastAsia="zh-CN"/>
        </w:rPr>
        <w:t>0</w:t>
      </w:r>
      <w:r>
        <w:rPr>
          <w:rFonts w:hint="eastAsia" w:ascii="仿宋_GB2312" w:hAnsi="仿宋_GB2312" w:eastAsia="仿宋_GB2312" w:cs="仿宋_GB2312"/>
          <w:bCs/>
          <w:kern w:val="44"/>
          <w:sz w:val="32"/>
          <w:szCs w:val="32"/>
          <w:highlight w:val="none"/>
        </w:rPr>
        <w:t>万元，支出决算为</w:t>
      </w:r>
      <w:r>
        <w:rPr>
          <w:rFonts w:hint="eastAsia" w:hAnsi="仿宋_GB2312" w:cs="仿宋_GB2312"/>
          <w:bCs/>
          <w:kern w:val="44"/>
          <w:sz w:val="32"/>
          <w:szCs w:val="32"/>
          <w:highlight w:val="none"/>
          <w:u w:val="single"/>
          <w:lang w:val="en-US" w:eastAsia="zh-CN"/>
        </w:rPr>
        <w:t>9.32</w:t>
      </w:r>
      <w:r>
        <w:rPr>
          <w:rFonts w:hint="eastAsia" w:ascii="仿宋_GB2312" w:hAnsi="仿宋_GB2312" w:eastAsia="仿宋_GB2312" w:cs="仿宋_GB2312"/>
          <w:bCs/>
          <w:kern w:val="44"/>
          <w:sz w:val="32"/>
          <w:szCs w:val="32"/>
          <w:highlight w:val="none"/>
        </w:rPr>
        <w:t>万元，支出决算数</w:t>
      </w:r>
      <w:r>
        <w:rPr>
          <w:rFonts w:hint="eastAsia" w:hAnsi="仿宋_GB2312" w:cs="仿宋_GB2312"/>
          <w:bCs/>
          <w:kern w:val="44"/>
          <w:sz w:val="32"/>
          <w:szCs w:val="32"/>
          <w:highlight w:val="none"/>
          <w:lang w:eastAsia="zh-CN"/>
        </w:rPr>
        <w:t>大</w:t>
      </w:r>
      <w:r>
        <w:rPr>
          <w:rFonts w:hint="eastAsia" w:ascii="仿宋_GB2312" w:hAnsi="仿宋_GB2312" w:eastAsia="仿宋_GB2312" w:cs="仿宋_GB2312"/>
          <w:bCs/>
          <w:kern w:val="44"/>
          <w:sz w:val="32"/>
          <w:szCs w:val="32"/>
          <w:highlight w:val="none"/>
        </w:rPr>
        <w:t>于年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kern w:val="44"/>
          <w:sz w:val="32"/>
          <w:szCs w:val="32"/>
          <w:highlight w:val="none"/>
        </w:rPr>
        <w:t>预算数的主要原因</w:t>
      </w:r>
      <w:r>
        <w:rPr>
          <w:rFonts w:hint="eastAsia" w:ascii="仿宋_GB2312" w:hAnsi="仿宋_GB2312" w:cs="仿宋_GB2312"/>
          <w:bCs/>
          <w:kern w:val="44"/>
          <w:sz w:val="32"/>
          <w:szCs w:val="32"/>
          <w:highlight w:val="none"/>
          <w:lang w:eastAsia="zh-CN"/>
        </w:rPr>
        <w:t>是</w:t>
      </w:r>
      <w:r>
        <w:rPr>
          <w:rFonts w:hint="eastAsia" w:hAnsi="仿宋_GB2312" w:cs="仿宋_GB2312"/>
          <w:bCs/>
          <w:kern w:val="44"/>
          <w:sz w:val="32"/>
          <w:szCs w:val="32"/>
          <w:highlight w:val="none"/>
          <w:lang w:eastAsia="zh-CN"/>
        </w:rPr>
        <w:t>功能科目码错误，未进行调整，该资金用于发放工资。</w:t>
      </w:r>
    </w:p>
    <w:p w14:paraId="4143B6CD">
      <w:pPr>
        <w:pStyle w:val="6"/>
        <w:pageBreakBefore w:val="0"/>
        <w:widowControl w:val="0"/>
        <w:kinsoku/>
        <w:wordWrap/>
        <w:overflowPunct/>
        <w:topLinePunct w:val="0"/>
        <w:bidi w:val="0"/>
        <w:snapToGrid w:val="0"/>
        <w:spacing w:line="360" w:lineRule="auto"/>
        <w:ind w:firstLine="640" w:firstLineChars="200"/>
        <w:jc w:val="both"/>
        <w:textAlignment w:val="auto"/>
        <w:rPr>
          <w:rFonts w:hint="default" w:hAnsi="仿宋_GB2312" w:cs="仿宋_GB2312"/>
          <w:bCs/>
          <w:kern w:val="44"/>
          <w:sz w:val="32"/>
          <w:szCs w:val="32"/>
          <w:highlight w:val="none"/>
          <w:lang w:val="en-US" w:eastAsia="zh-CN"/>
        </w:rPr>
      </w:pPr>
      <w:r>
        <w:rPr>
          <w:rFonts w:hint="eastAsia" w:hAnsi="仿宋_GB2312" w:cs="仿宋_GB2312"/>
          <w:bCs/>
          <w:kern w:val="44"/>
          <w:sz w:val="32"/>
          <w:szCs w:val="32"/>
          <w:highlight w:val="none"/>
          <w:lang w:val="en-US" w:eastAsia="zh-CN"/>
        </w:rPr>
        <w:t>7.</w:t>
      </w:r>
      <w:r>
        <w:rPr>
          <w:rFonts w:hint="eastAsia" w:ascii="仿宋_GB2312" w:hAnsi="仿宋_GB2312" w:eastAsia="仿宋_GB2312" w:cs="仿宋_GB2312"/>
          <w:bCs/>
          <w:kern w:val="44"/>
          <w:sz w:val="32"/>
          <w:szCs w:val="32"/>
          <w:highlight w:val="none"/>
        </w:rPr>
        <w:t>一般公共服务支出(类)</w:t>
      </w:r>
      <w:r>
        <w:rPr>
          <w:rFonts w:hint="eastAsia" w:hAnsi="仿宋_GB2312" w:cs="仿宋_GB2312"/>
          <w:bCs/>
          <w:kern w:val="44"/>
          <w:sz w:val="32"/>
          <w:szCs w:val="32"/>
          <w:highlight w:val="none"/>
          <w:lang w:eastAsia="zh-CN"/>
        </w:rPr>
        <w:t>商贸事务</w:t>
      </w:r>
      <w:r>
        <w:rPr>
          <w:rFonts w:hint="eastAsia" w:ascii="仿宋_GB2312" w:hAnsi="仿宋_GB2312" w:cs="仿宋_GB2312"/>
          <w:bCs/>
          <w:kern w:val="44"/>
          <w:sz w:val="32"/>
          <w:szCs w:val="32"/>
          <w:highlight w:val="none"/>
          <w:lang w:eastAsia="zh-CN"/>
        </w:rPr>
        <w:t>（款）</w:t>
      </w:r>
      <w:r>
        <w:rPr>
          <w:rFonts w:hint="eastAsia" w:hAnsi="仿宋_GB2312" w:cs="仿宋_GB2312"/>
          <w:bCs/>
          <w:kern w:val="44"/>
          <w:sz w:val="32"/>
          <w:szCs w:val="32"/>
          <w:highlight w:val="none"/>
          <w:lang w:eastAsia="zh-CN"/>
        </w:rPr>
        <w:t>招商引资（</w:t>
      </w:r>
      <w:r>
        <w:rPr>
          <w:rFonts w:hint="eastAsia" w:ascii="仿宋_GB2312" w:hAnsi="仿宋_GB2312" w:cs="仿宋_GB2312"/>
          <w:bCs/>
          <w:kern w:val="44"/>
          <w:sz w:val="32"/>
          <w:szCs w:val="32"/>
          <w:highlight w:val="none"/>
          <w:lang w:eastAsia="zh-CN"/>
        </w:rPr>
        <w:t>项）</w:t>
      </w:r>
      <w:r>
        <w:rPr>
          <w:rFonts w:hint="eastAsia" w:ascii="仿宋_GB2312" w:hAnsi="仿宋_GB2312" w:eastAsia="仿宋_GB2312" w:cs="仿宋_GB2312"/>
          <w:bCs/>
          <w:kern w:val="44"/>
          <w:sz w:val="32"/>
          <w:szCs w:val="32"/>
          <w:highlight w:val="none"/>
        </w:rPr>
        <w:t>。年</w:t>
      </w:r>
      <w:r>
        <w:rPr>
          <w:rFonts w:hint="eastAsia" w:ascii="仿宋_GB2312" w:hAnsi="仿宋_GB2312" w:eastAsia="仿宋_GB2312" w:cs="仿宋_GB2312"/>
          <w:bCs/>
          <w:kern w:val="44"/>
          <w:sz w:val="32"/>
          <w:szCs w:val="32"/>
          <w:highlight w:val="none"/>
          <w:lang w:eastAsia="zh-CN"/>
        </w:rPr>
        <w:t>初</w:t>
      </w:r>
      <w:r>
        <w:rPr>
          <w:rFonts w:hint="eastAsia" w:ascii="仿宋_GB2312" w:hAnsi="仿宋_GB2312" w:eastAsia="仿宋_GB2312" w:cs="仿宋_GB2312"/>
          <w:bCs/>
          <w:kern w:val="44"/>
          <w:sz w:val="32"/>
          <w:szCs w:val="32"/>
          <w:highlight w:val="none"/>
        </w:rPr>
        <w:t>预算为</w:t>
      </w:r>
      <w:r>
        <w:rPr>
          <w:rFonts w:hint="eastAsia" w:hAnsi="仿宋_GB2312" w:cs="仿宋_GB2312"/>
          <w:bCs/>
          <w:kern w:val="44"/>
          <w:sz w:val="32"/>
          <w:szCs w:val="32"/>
          <w:highlight w:val="none"/>
          <w:u w:val="single"/>
          <w:lang w:val="en-US" w:eastAsia="zh-CN"/>
        </w:rPr>
        <w:t>5</w:t>
      </w:r>
      <w:r>
        <w:rPr>
          <w:rFonts w:hint="eastAsia" w:ascii="仿宋_GB2312" w:hAnsi="仿宋_GB2312" w:eastAsia="仿宋_GB2312" w:cs="仿宋_GB2312"/>
          <w:bCs/>
          <w:kern w:val="44"/>
          <w:sz w:val="32"/>
          <w:szCs w:val="32"/>
          <w:highlight w:val="none"/>
        </w:rPr>
        <w:t>万元，支出决算为</w:t>
      </w:r>
      <w:r>
        <w:rPr>
          <w:rFonts w:hint="eastAsia" w:hAnsi="仿宋_GB2312" w:cs="仿宋_GB2312"/>
          <w:bCs/>
          <w:kern w:val="44"/>
          <w:sz w:val="32"/>
          <w:szCs w:val="32"/>
          <w:highlight w:val="none"/>
          <w:u w:val="single"/>
          <w:lang w:val="en-US" w:eastAsia="zh-CN"/>
        </w:rPr>
        <w:t>0</w:t>
      </w:r>
      <w:r>
        <w:rPr>
          <w:rFonts w:hint="eastAsia" w:ascii="仿宋_GB2312" w:hAnsi="仿宋_GB2312" w:eastAsia="仿宋_GB2312" w:cs="仿宋_GB2312"/>
          <w:bCs/>
          <w:kern w:val="44"/>
          <w:sz w:val="32"/>
          <w:szCs w:val="32"/>
          <w:highlight w:val="none"/>
        </w:rPr>
        <w:t>万元，支出决算数</w:t>
      </w:r>
      <w:r>
        <w:rPr>
          <w:rFonts w:hint="eastAsia" w:hAnsi="仿宋_GB2312" w:cs="仿宋_GB2312"/>
          <w:bCs/>
          <w:kern w:val="44"/>
          <w:sz w:val="32"/>
          <w:szCs w:val="32"/>
          <w:highlight w:val="none"/>
          <w:lang w:eastAsia="zh-CN"/>
        </w:rPr>
        <w:t>小</w:t>
      </w:r>
      <w:r>
        <w:rPr>
          <w:rFonts w:hint="eastAsia" w:ascii="仿宋_GB2312" w:hAnsi="仿宋_GB2312" w:eastAsia="仿宋_GB2312" w:cs="仿宋_GB2312"/>
          <w:bCs/>
          <w:kern w:val="44"/>
          <w:sz w:val="32"/>
          <w:szCs w:val="32"/>
          <w:highlight w:val="none"/>
        </w:rPr>
        <w:t>于年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kern w:val="44"/>
          <w:sz w:val="32"/>
          <w:szCs w:val="32"/>
          <w:highlight w:val="none"/>
        </w:rPr>
        <w:t>预算数的主要原因</w:t>
      </w:r>
      <w:r>
        <w:rPr>
          <w:rFonts w:hint="eastAsia" w:ascii="仿宋_GB2312" w:hAnsi="仿宋_GB2312" w:cs="仿宋_GB2312"/>
          <w:bCs/>
          <w:kern w:val="44"/>
          <w:sz w:val="32"/>
          <w:szCs w:val="32"/>
          <w:highlight w:val="none"/>
          <w:lang w:eastAsia="zh-CN"/>
        </w:rPr>
        <w:t>是</w:t>
      </w:r>
      <w:r>
        <w:rPr>
          <w:rFonts w:hint="eastAsia" w:hAnsi="仿宋_GB2312" w:cs="仿宋_GB2312"/>
          <w:bCs/>
          <w:kern w:val="44"/>
          <w:sz w:val="32"/>
          <w:szCs w:val="32"/>
          <w:highlight w:val="none"/>
          <w:lang w:eastAsia="zh-CN"/>
        </w:rPr>
        <w:t>该项目未支出。</w:t>
      </w:r>
    </w:p>
    <w:p w14:paraId="537CD6AC">
      <w:pPr>
        <w:pStyle w:val="6"/>
        <w:pageBreakBefore w:val="0"/>
        <w:widowControl w:val="0"/>
        <w:kinsoku/>
        <w:wordWrap/>
        <w:overflowPunct/>
        <w:topLinePunct w:val="0"/>
        <w:bidi w:val="0"/>
        <w:snapToGrid w:val="0"/>
        <w:spacing w:line="360" w:lineRule="auto"/>
        <w:ind w:firstLine="640" w:firstLineChars="200"/>
        <w:jc w:val="both"/>
        <w:textAlignment w:val="auto"/>
        <w:rPr>
          <w:rFonts w:hint="default" w:hAnsi="仿宋_GB2312" w:cs="仿宋_GB2312"/>
          <w:bCs/>
          <w:kern w:val="44"/>
          <w:sz w:val="32"/>
          <w:szCs w:val="32"/>
          <w:highlight w:val="none"/>
          <w:lang w:val="en-US" w:eastAsia="zh-CN"/>
        </w:rPr>
      </w:pPr>
      <w:r>
        <w:rPr>
          <w:rFonts w:hint="eastAsia" w:hAnsi="仿宋_GB2312" w:cs="仿宋_GB2312"/>
          <w:bCs/>
          <w:kern w:val="44"/>
          <w:sz w:val="32"/>
          <w:szCs w:val="32"/>
          <w:highlight w:val="none"/>
          <w:lang w:val="en-US" w:eastAsia="zh-CN"/>
        </w:rPr>
        <w:t>8.</w:t>
      </w:r>
      <w:r>
        <w:rPr>
          <w:rFonts w:hint="eastAsia" w:hAnsi="仿宋_GB2312" w:cs="仿宋_GB2312"/>
          <w:bCs/>
          <w:kern w:val="44"/>
          <w:sz w:val="32"/>
          <w:szCs w:val="32"/>
          <w:highlight w:val="none"/>
          <w:lang w:eastAsia="zh-CN"/>
        </w:rPr>
        <w:t>社会保障和就业</w:t>
      </w:r>
      <w:r>
        <w:rPr>
          <w:rFonts w:hint="eastAsia" w:ascii="仿宋_GB2312" w:hAnsi="仿宋_GB2312" w:eastAsia="仿宋_GB2312" w:cs="仿宋_GB2312"/>
          <w:bCs/>
          <w:kern w:val="44"/>
          <w:sz w:val="32"/>
          <w:szCs w:val="32"/>
          <w:highlight w:val="none"/>
        </w:rPr>
        <w:t>支出(类)</w:t>
      </w:r>
      <w:r>
        <w:rPr>
          <w:rFonts w:hint="eastAsia" w:hAnsi="仿宋_GB2312" w:cs="仿宋_GB2312"/>
          <w:bCs/>
          <w:kern w:val="44"/>
          <w:sz w:val="32"/>
          <w:szCs w:val="32"/>
          <w:highlight w:val="none"/>
          <w:lang w:eastAsia="zh-CN"/>
        </w:rPr>
        <w:t>行政事业单位养老支出</w:t>
      </w:r>
      <w:r>
        <w:rPr>
          <w:rFonts w:hint="eastAsia" w:ascii="仿宋_GB2312" w:hAnsi="仿宋_GB2312" w:cs="仿宋_GB2312"/>
          <w:bCs/>
          <w:kern w:val="44"/>
          <w:sz w:val="32"/>
          <w:szCs w:val="32"/>
          <w:highlight w:val="none"/>
          <w:lang w:eastAsia="zh-CN"/>
        </w:rPr>
        <w:t>（款）</w:t>
      </w:r>
      <w:r>
        <w:rPr>
          <w:rFonts w:hint="eastAsia" w:hAnsi="仿宋_GB2312" w:cs="仿宋_GB2312"/>
          <w:bCs/>
          <w:kern w:val="44"/>
          <w:sz w:val="32"/>
          <w:szCs w:val="32"/>
          <w:highlight w:val="none"/>
          <w:lang w:eastAsia="zh-CN"/>
        </w:rPr>
        <w:t>机关事业单位基本养老保险缴费支出（</w:t>
      </w:r>
      <w:r>
        <w:rPr>
          <w:rFonts w:hint="eastAsia" w:ascii="仿宋_GB2312" w:hAnsi="仿宋_GB2312" w:cs="仿宋_GB2312"/>
          <w:bCs/>
          <w:kern w:val="44"/>
          <w:sz w:val="32"/>
          <w:szCs w:val="32"/>
          <w:highlight w:val="none"/>
          <w:lang w:eastAsia="zh-CN"/>
        </w:rPr>
        <w:t>项）</w:t>
      </w:r>
      <w:r>
        <w:rPr>
          <w:rFonts w:hint="eastAsia" w:ascii="仿宋_GB2312" w:hAnsi="仿宋_GB2312" w:eastAsia="仿宋_GB2312" w:cs="仿宋_GB2312"/>
          <w:bCs/>
          <w:kern w:val="44"/>
          <w:sz w:val="32"/>
          <w:szCs w:val="32"/>
          <w:highlight w:val="none"/>
        </w:rPr>
        <w:t>。年</w:t>
      </w:r>
      <w:r>
        <w:rPr>
          <w:rFonts w:hint="eastAsia" w:ascii="仿宋_GB2312" w:hAnsi="仿宋_GB2312" w:eastAsia="仿宋_GB2312" w:cs="仿宋_GB2312"/>
          <w:bCs/>
          <w:kern w:val="44"/>
          <w:sz w:val="32"/>
          <w:szCs w:val="32"/>
          <w:highlight w:val="none"/>
          <w:lang w:eastAsia="zh-CN"/>
        </w:rPr>
        <w:t>初</w:t>
      </w:r>
      <w:r>
        <w:rPr>
          <w:rFonts w:hint="eastAsia" w:ascii="仿宋_GB2312" w:hAnsi="仿宋_GB2312" w:eastAsia="仿宋_GB2312" w:cs="仿宋_GB2312"/>
          <w:bCs/>
          <w:kern w:val="44"/>
          <w:sz w:val="32"/>
          <w:szCs w:val="32"/>
          <w:highlight w:val="none"/>
        </w:rPr>
        <w:t>预算为</w:t>
      </w:r>
      <w:r>
        <w:rPr>
          <w:rFonts w:hint="eastAsia" w:hAnsi="仿宋_GB2312" w:cs="仿宋_GB2312"/>
          <w:bCs/>
          <w:kern w:val="44"/>
          <w:sz w:val="32"/>
          <w:szCs w:val="32"/>
          <w:highlight w:val="none"/>
          <w:u w:val="single"/>
          <w:lang w:val="en-US" w:eastAsia="zh-CN"/>
        </w:rPr>
        <w:t>22.56</w:t>
      </w:r>
      <w:r>
        <w:rPr>
          <w:rFonts w:hint="eastAsia" w:ascii="仿宋_GB2312" w:hAnsi="仿宋_GB2312" w:eastAsia="仿宋_GB2312" w:cs="仿宋_GB2312"/>
          <w:bCs/>
          <w:kern w:val="44"/>
          <w:sz w:val="32"/>
          <w:szCs w:val="32"/>
          <w:highlight w:val="none"/>
        </w:rPr>
        <w:t>万元，支出决算为</w:t>
      </w:r>
      <w:r>
        <w:rPr>
          <w:rFonts w:hint="eastAsia" w:hAnsi="仿宋_GB2312" w:cs="仿宋_GB2312"/>
          <w:bCs/>
          <w:kern w:val="44"/>
          <w:sz w:val="32"/>
          <w:szCs w:val="32"/>
          <w:highlight w:val="none"/>
          <w:u w:val="single"/>
          <w:lang w:val="en-US" w:eastAsia="zh-CN"/>
        </w:rPr>
        <w:t>12.88</w:t>
      </w:r>
      <w:r>
        <w:rPr>
          <w:rFonts w:hint="eastAsia" w:ascii="仿宋_GB2312" w:hAnsi="仿宋_GB2312" w:eastAsia="仿宋_GB2312" w:cs="仿宋_GB2312"/>
          <w:bCs/>
          <w:kern w:val="44"/>
          <w:sz w:val="32"/>
          <w:szCs w:val="32"/>
          <w:highlight w:val="none"/>
        </w:rPr>
        <w:t>万元，完成年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kern w:val="44"/>
          <w:sz w:val="32"/>
          <w:szCs w:val="32"/>
          <w:highlight w:val="none"/>
        </w:rPr>
        <w:t>预算的</w:t>
      </w:r>
      <w:r>
        <w:rPr>
          <w:rFonts w:hint="eastAsia" w:hAnsi="仿宋_GB2312" w:cs="仿宋_GB2312"/>
          <w:bCs/>
          <w:kern w:val="44"/>
          <w:sz w:val="32"/>
          <w:szCs w:val="32"/>
          <w:highlight w:val="none"/>
          <w:u w:val="single"/>
          <w:lang w:val="en-US" w:eastAsia="zh-CN"/>
        </w:rPr>
        <w:t>57.89</w:t>
      </w:r>
      <w:r>
        <w:rPr>
          <w:rFonts w:hint="eastAsia" w:ascii="仿宋_GB2312" w:hAnsi="仿宋_GB2312" w:eastAsia="仿宋_GB2312" w:cs="仿宋_GB2312"/>
          <w:bCs/>
          <w:kern w:val="44"/>
          <w:sz w:val="32"/>
          <w:szCs w:val="32"/>
          <w:highlight w:val="none"/>
          <w:u w:val="single"/>
        </w:rPr>
        <w:t xml:space="preserve"> </w:t>
      </w:r>
      <w:r>
        <w:rPr>
          <w:rFonts w:hint="eastAsia" w:ascii="仿宋_GB2312" w:hAnsi="仿宋_GB2312" w:eastAsia="仿宋_GB2312" w:cs="仿宋_GB2312"/>
          <w:bCs/>
          <w:kern w:val="44"/>
          <w:sz w:val="32"/>
          <w:szCs w:val="32"/>
          <w:highlight w:val="none"/>
        </w:rPr>
        <w:t>%</w:t>
      </w:r>
      <w:r>
        <w:rPr>
          <w:rFonts w:hint="eastAsia" w:hAnsi="仿宋_GB2312" w:cs="仿宋_GB2312"/>
          <w:bCs/>
          <w:kern w:val="44"/>
          <w:sz w:val="32"/>
          <w:szCs w:val="32"/>
          <w:highlight w:val="none"/>
          <w:lang w:eastAsia="zh-CN"/>
        </w:rPr>
        <w:t>。</w:t>
      </w:r>
      <w:r>
        <w:rPr>
          <w:rFonts w:hint="eastAsia" w:ascii="仿宋_GB2312" w:hAnsi="仿宋_GB2312" w:eastAsia="仿宋_GB2312" w:cs="仿宋_GB2312"/>
          <w:bCs/>
          <w:kern w:val="44"/>
          <w:sz w:val="32"/>
          <w:szCs w:val="32"/>
          <w:highlight w:val="none"/>
        </w:rPr>
        <w:t>支出决算数</w:t>
      </w:r>
      <w:r>
        <w:rPr>
          <w:rFonts w:hint="eastAsia" w:hAnsi="仿宋_GB2312" w:cs="仿宋_GB2312"/>
          <w:bCs/>
          <w:kern w:val="44"/>
          <w:sz w:val="32"/>
          <w:szCs w:val="32"/>
          <w:highlight w:val="none"/>
          <w:lang w:eastAsia="zh-CN"/>
        </w:rPr>
        <w:t>小</w:t>
      </w:r>
      <w:r>
        <w:rPr>
          <w:rFonts w:hint="eastAsia" w:ascii="仿宋_GB2312" w:hAnsi="仿宋_GB2312" w:eastAsia="仿宋_GB2312" w:cs="仿宋_GB2312"/>
          <w:bCs/>
          <w:kern w:val="44"/>
          <w:sz w:val="32"/>
          <w:szCs w:val="32"/>
          <w:highlight w:val="none"/>
        </w:rPr>
        <w:t>于年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kern w:val="44"/>
          <w:sz w:val="32"/>
          <w:szCs w:val="32"/>
          <w:highlight w:val="none"/>
        </w:rPr>
        <w:t>预算数的主要原因</w:t>
      </w:r>
      <w:r>
        <w:rPr>
          <w:rFonts w:hint="eastAsia" w:ascii="仿宋_GB2312" w:hAnsi="仿宋_GB2312" w:cs="仿宋_GB2312"/>
          <w:bCs/>
          <w:kern w:val="44"/>
          <w:sz w:val="32"/>
          <w:szCs w:val="32"/>
          <w:highlight w:val="none"/>
          <w:lang w:eastAsia="zh-CN"/>
        </w:rPr>
        <w:t>是</w:t>
      </w:r>
      <w:r>
        <w:rPr>
          <w:rFonts w:hint="eastAsia" w:hAnsi="仿宋_GB2312" w:cs="仿宋_GB2312"/>
          <w:bCs/>
          <w:kern w:val="44"/>
          <w:sz w:val="32"/>
          <w:szCs w:val="32"/>
          <w:highlight w:val="none"/>
          <w:lang w:eastAsia="zh-CN"/>
        </w:rPr>
        <w:t>养老支出减少。</w:t>
      </w:r>
    </w:p>
    <w:p w14:paraId="6EF55C49">
      <w:pPr>
        <w:pStyle w:val="6"/>
        <w:pageBreakBefore w:val="0"/>
        <w:widowControl w:val="0"/>
        <w:kinsoku/>
        <w:wordWrap/>
        <w:overflowPunct/>
        <w:topLinePunct w:val="0"/>
        <w:bidi w:val="0"/>
        <w:snapToGrid w:val="0"/>
        <w:spacing w:line="360" w:lineRule="auto"/>
        <w:ind w:firstLine="640" w:firstLineChars="200"/>
        <w:jc w:val="both"/>
        <w:textAlignment w:val="auto"/>
        <w:rPr>
          <w:rFonts w:hint="default" w:hAnsi="仿宋_GB2312" w:cs="仿宋_GB2312"/>
          <w:bCs/>
          <w:kern w:val="44"/>
          <w:sz w:val="32"/>
          <w:szCs w:val="32"/>
          <w:highlight w:val="none"/>
          <w:lang w:val="en-US" w:eastAsia="zh-CN"/>
        </w:rPr>
      </w:pPr>
      <w:r>
        <w:rPr>
          <w:rFonts w:hint="eastAsia" w:hAnsi="仿宋_GB2312" w:cs="仿宋_GB2312"/>
          <w:bCs/>
          <w:kern w:val="44"/>
          <w:sz w:val="32"/>
          <w:szCs w:val="32"/>
          <w:highlight w:val="none"/>
          <w:lang w:val="en-US" w:eastAsia="zh-CN"/>
        </w:rPr>
        <w:t>9.</w:t>
      </w:r>
      <w:r>
        <w:rPr>
          <w:rFonts w:hint="eastAsia" w:hAnsi="仿宋_GB2312" w:cs="仿宋_GB2312"/>
          <w:bCs/>
          <w:kern w:val="44"/>
          <w:sz w:val="32"/>
          <w:szCs w:val="32"/>
          <w:highlight w:val="none"/>
          <w:lang w:eastAsia="zh-CN"/>
        </w:rPr>
        <w:t>社会保障和就业</w:t>
      </w:r>
      <w:r>
        <w:rPr>
          <w:rFonts w:hint="eastAsia" w:ascii="仿宋_GB2312" w:hAnsi="仿宋_GB2312" w:eastAsia="仿宋_GB2312" w:cs="仿宋_GB2312"/>
          <w:bCs/>
          <w:kern w:val="44"/>
          <w:sz w:val="32"/>
          <w:szCs w:val="32"/>
          <w:highlight w:val="none"/>
        </w:rPr>
        <w:t>支出(类)</w:t>
      </w:r>
      <w:r>
        <w:rPr>
          <w:rFonts w:hint="eastAsia" w:hAnsi="仿宋_GB2312" w:cs="仿宋_GB2312"/>
          <w:bCs/>
          <w:kern w:val="44"/>
          <w:sz w:val="32"/>
          <w:szCs w:val="32"/>
          <w:highlight w:val="none"/>
          <w:lang w:eastAsia="zh-CN"/>
        </w:rPr>
        <w:t>行政事业单位养老支出</w:t>
      </w:r>
      <w:r>
        <w:rPr>
          <w:rFonts w:hint="eastAsia" w:ascii="仿宋_GB2312" w:hAnsi="仿宋_GB2312" w:cs="仿宋_GB2312"/>
          <w:bCs/>
          <w:kern w:val="44"/>
          <w:sz w:val="32"/>
          <w:szCs w:val="32"/>
          <w:highlight w:val="none"/>
          <w:lang w:eastAsia="zh-CN"/>
        </w:rPr>
        <w:t>（款）</w:t>
      </w:r>
      <w:r>
        <w:rPr>
          <w:rFonts w:hint="eastAsia" w:hAnsi="仿宋_GB2312" w:cs="仿宋_GB2312"/>
          <w:bCs/>
          <w:kern w:val="44"/>
          <w:sz w:val="32"/>
          <w:szCs w:val="32"/>
          <w:highlight w:val="none"/>
          <w:lang w:eastAsia="zh-CN"/>
        </w:rPr>
        <w:t>机关事业单位职业年金缴费支出（</w:t>
      </w:r>
      <w:r>
        <w:rPr>
          <w:rFonts w:hint="eastAsia" w:ascii="仿宋_GB2312" w:hAnsi="仿宋_GB2312" w:cs="仿宋_GB2312"/>
          <w:bCs/>
          <w:kern w:val="44"/>
          <w:sz w:val="32"/>
          <w:szCs w:val="32"/>
          <w:highlight w:val="none"/>
          <w:lang w:eastAsia="zh-CN"/>
        </w:rPr>
        <w:t>项）</w:t>
      </w:r>
      <w:r>
        <w:rPr>
          <w:rFonts w:hint="eastAsia" w:ascii="仿宋_GB2312" w:hAnsi="仿宋_GB2312" w:eastAsia="仿宋_GB2312" w:cs="仿宋_GB2312"/>
          <w:bCs/>
          <w:kern w:val="44"/>
          <w:sz w:val="32"/>
          <w:szCs w:val="32"/>
          <w:highlight w:val="none"/>
        </w:rPr>
        <w:t>。年</w:t>
      </w:r>
      <w:r>
        <w:rPr>
          <w:rFonts w:hint="eastAsia" w:ascii="仿宋_GB2312" w:hAnsi="仿宋_GB2312" w:eastAsia="仿宋_GB2312" w:cs="仿宋_GB2312"/>
          <w:bCs/>
          <w:kern w:val="44"/>
          <w:sz w:val="32"/>
          <w:szCs w:val="32"/>
          <w:highlight w:val="none"/>
          <w:lang w:eastAsia="zh-CN"/>
        </w:rPr>
        <w:t>初</w:t>
      </w:r>
      <w:r>
        <w:rPr>
          <w:rFonts w:hint="eastAsia" w:ascii="仿宋_GB2312" w:hAnsi="仿宋_GB2312" w:eastAsia="仿宋_GB2312" w:cs="仿宋_GB2312"/>
          <w:bCs/>
          <w:kern w:val="44"/>
          <w:sz w:val="32"/>
          <w:szCs w:val="32"/>
          <w:highlight w:val="none"/>
        </w:rPr>
        <w:t>预算为</w:t>
      </w:r>
      <w:r>
        <w:rPr>
          <w:rFonts w:hint="eastAsia" w:hAnsi="仿宋_GB2312" w:cs="仿宋_GB2312"/>
          <w:bCs/>
          <w:kern w:val="44"/>
          <w:sz w:val="32"/>
          <w:szCs w:val="32"/>
          <w:highlight w:val="none"/>
          <w:u w:val="single"/>
          <w:lang w:val="en-US" w:eastAsia="zh-CN"/>
        </w:rPr>
        <w:t>11.28</w:t>
      </w:r>
      <w:r>
        <w:rPr>
          <w:rFonts w:hint="eastAsia" w:ascii="仿宋_GB2312" w:hAnsi="仿宋_GB2312" w:eastAsia="仿宋_GB2312" w:cs="仿宋_GB2312"/>
          <w:bCs/>
          <w:kern w:val="44"/>
          <w:sz w:val="32"/>
          <w:szCs w:val="32"/>
          <w:highlight w:val="none"/>
        </w:rPr>
        <w:t>万元，支出决算为</w:t>
      </w:r>
      <w:r>
        <w:rPr>
          <w:rFonts w:hint="eastAsia" w:hAnsi="仿宋_GB2312" w:cs="仿宋_GB2312"/>
          <w:bCs/>
          <w:kern w:val="44"/>
          <w:sz w:val="32"/>
          <w:szCs w:val="32"/>
          <w:highlight w:val="none"/>
          <w:u w:val="single"/>
          <w:lang w:val="en-US" w:eastAsia="zh-CN"/>
        </w:rPr>
        <w:t>0</w:t>
      </w:r>
      <w:r>
        <w:rPr>
          <w:rFonts w:hint="eastAsia" w:ascii="仿宋_GB2312" w:hAnsi="仿宋_GB2312" w:eastAsia="仿宋_GB2312" w:cs="仿宋_GB2312"/>
          <w:bCs/>
          <w:kern w:val="44"/>
          <w:sz w:val="32"/>
          <w:szCs w:val="32"/>
          <w:highlight w:val="none"/>
        </w:rPr>
        <w:t>万元，支出决算数</w:t>
      </w:r>
      <w:r>
        <w:rPr>
          <w:rFonts w:hint="eastAsia" w:hAnsi="仿宋_GB2312" w:cs="仿宋_GB2312"/>
          <w:bCs/>
          <w:kern w:val="44"/>
          <w:sz w:val="32"/>
          <w:szCs w:val="32"/>
          <w:highlight w:val="none"/>
          <w:lang w:eastAsia="zh-CN"/>
        </w:rPr>
        <w:t>小</w:t>
      </w:r>
      <w:r>
        <w:rPr>
          <w:rFonts w:hint="eastAsia" w:ascii="仿宋_GB2312" w:hAnsi="仿宋_GB2312" w:eastAsia="仿宋_GB2312" w:cs="仿宋_GB2312"/>
          <w:bCs/>
          <w:kern w:val="44"/>
          <w:sz w:val="32"/>
          <w:szCs w:val="32"/>
          <w:highlight w:val="none"/>
        </w:rPr>
        <w:t>于年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kern w:val="44"/>
          <w:sz w:val="32"/>
          <w:szCs w:val="32"/>
          <w:highlight w:val="none"/>
        </w:rPr>
        <w:t>预算数的主要原因</w:t>
      </w:r>
      <w:r>
        <w:rPr>
          <w:rFonts w:hint="eastAsia" w:ascii="仿宋_GB2312" w:hAnsi="仿宋_GB2312" w:cs="仿宋_GB2312"/>
          <w:bCs/>
          <w:kern w:val="44"/>
          <w:sz w:val="32"/>
          <w:szCs w:val="32"/>
          <w:highlight w:val="none"/>
          <w:lang w:eastAsia="zh-CN"/>
        </w:rPr>
        <w:t>是</w:t>
      </w:r>
      <w:r>
        <w:rPr>
          <w:rFonts w:hint="eastAsia" w:hAnsi="仿宋_GB2312" w:cs="仿宋_GB2312"/>
          <w:bCs/>
          <w:kern w:val="44"/>
          <w:sz w:val="32"/>
          <w:szCs w:val="32"/>
          <w:highlight w:val="none"/>
          <w:lang w:eastAsia="zh-CN"/>
        </w:rPr>
        <w:t>该项目未支出。</w:t>
      </w:r>
    </w:p>
    <w:p w14:paraId="061997F4">
      <w:pPr>
        <w:pStyle w:val="6"/>
        <w:pageBreakBefore w:val="0"/>
        <w:widowControl w:val="0"/>
        <w:kinsoku/>
        <w:wordWrap/>
        <w:overflowPunct/>
        <w:topLinePunct w:val="0"/>
        <w:bidi w:val="0"/>
        <w:snapToGrid w:val="0"/>
        <w:spacing w:line="360" w:lineRule="auto"/>
        <w:ind w:firstLine="640" w:firstLineChars="200"/>
        <w:jc w:val="both"/>
        <w:textAlignment w:val="auto"/>
        <w:rPr>
          <w:rFonts w:hint="eastAsia" w:hAnsi="仿宋_GB2312" w:cs="仿宋_GB2312"/>
          <w:bCs/>
          <w:kern w:val="44"/>
          <w:sz w:val="32"/>
          <w:szCs w:val="32"/>
          <w:highlight w:val="none"/>
          <w:lang w:eastAsia="zh-CN"/>
        </w:rPr>
      </w:pPr>
      <w:r>
        <w:rPr>
          <w:rFonts w:hint="eastAsia" w:hAnsi="仿宋_GB2312" w:cs="仿宋_GB2312"/>
          <w:bCs/>
          <w:kern w:val="44"/>
          <w:sz w:val="32"/>
          <w:szCs w:val="32"/>
          <w:highlight w:val="none"/>
          <w:lang w:val="en-US" w:eastAsia="zh-CN"/>
        </w:rPr>
        <w:t>10.</w:t>
      </w:r>
      <w:r>
        <w:rPr>
          <w:rFonts w:hint="eastAsia" w:hAnsi="仿宋_GB2312" w:cs="仿宋_GB2312"/>
          <w:bCs/>
          <w:kern w:val="44"/>
          <w:sz w:val="32"/>
          <w:szCs w:val="32"/>
          <w:highlight w:val="none"/>
          <w:lang w:eastAsia="zh-CN"/>
        </w:rPr>
        <w:t>卫生健康</w:t>
      </w:r>
      <w:r>
        <w:rPr>
          <w:rFonts w:hint="eastAsia" w:ascii="仿宋_GB2312" w:hAnsi="仿宋_GB2312" w:eastAsia="仿宋_GB2312" w:cs="仿宋_GB2312"/>
          <w:bCs/>
          <w:kern w:val="44"/>
          <w:sz w:val="32"/>
          <w:szCs w:val="32"/>
          <w:highlight w:val="none"/>
        </w:rPr>
        <w:t>支出(类)</w:t>
      </w:r>
      <w:r>
        <w:rPr>
          <w:rFonts w:hint="eastAsia" w:hAnsi="仿宋_GB2312" w:cs="仿宋_GB2312"/>
          <w:bCs/>
          <w:kern w:val="44"/>
          <w:sz w:val="32"/>
          <w:szCs w:val="32"/>
          <w:highlight w:val="none"/>
          <w:lang w:eastAsia="zh-CN"/>
        </w:rPr>
        <w:t>行政事业单位医疗</w:t>
      </w:r>
      <w:r>
        <w:rPr>
          <w:rFonts w:hint="eastAsia" w:ascii="仿宋_GB2312" w:hAnsi="仿宋_GB2312" w:cs="仿宋_GB2312"/>
          <w:bCs/>
          <w:kern w:val="44"/>
          <w:sz w:val="32"/>
          <w:szCs w:val="32"/>
          <w:highlight w:val="none"/>
          <w:lang w:eastAsia="zh-CN"/>
        </w:rPr>
        <w:t>（款）</w:t>
      </w:r>
      <w:r>
        <w:rPr>
          <w:rFonts w:hint="eastAsia" w:hAnsi="仿宋_GB2312" w:cs="仿宋_GB2312"/>
          <w:bCs/>
          <w:kern w:val="44"/>
          <w:sz w:val="32"/>
          <w:szCs w:val="32"/>
          <w:highlight w:val="none"/>
          <w:lang w:eastAsia="zh-CN"/>
        </w:rPr>
        <w:t>行政单位医疗（</w:t>
      </w:r>
      <w:r>
        <w:rPr>
          <w:rFonts w:hint="eastAsia" w:ascii="仿宋_GB2312" w:hAnsi="仿宋_GB2312" w:cs="仿宋_GB2312"/>
          <w:bCs/>
          <w:kern w:val="44"/>
          <w:sz w:val="32"/>
          <w:szCs w:val="32"/>
          <w:highlight w:val="none"/>
          <w:lang w:eastAsia="zh-CN"/>
        </w:rPr>
        <w:t>项）</w:t>
      </w:r>
      <w:r>
        <w:rPr>
          <w:rFonts w:hint="eastAsia" w:ascii="仿宋_GB2312" w:hAnsi="仿宋_GB2312" w:eastAsia="仿宋_GB2312" w:cs="仿宋_GB2312"/>
          <w:bCs/>
          <w:kern w:val="44"/>
          <w:sz w:val="32"/>
          <w:szCs w:val="32"/>
          <w:highlight w:val="none"/>
        </w:rPr>
        <w:t>。年</w:t>
      </w:r>
      <w:r>
        <w:rPr>
          <w:rFonts w:hint="eastAsia" w:ascii="仿宋_GB2312" w:hAnsi="仿宋_GB2312" w:eastAsia="仿宋_GB2312" w:cs="仿宋_GB2312"/>
          <w:bCs/>
          <w:kern w:val="44"/>
          <w:sz w:val="32"/>
          <w:szCs w:val="32"/>
          <w:highlight w:val="none"/>
          <w:lang w:eastAsia="zh-CN"/>
        </w:rPr>
        <w:t>初</w:t>
      </w:r>
      <w:r>
        <w:rPr>
          <w:rFonts w:hint="eastAsia" w:ascii="仿宋_GB2312" w:hAnsi="仿宋_GB2312" w:eastAsia="仿宋_GB2312" w:cs="仿宋_GB2312"/>
          <w:bCs/>
          <w:kern w:val="44"/>
          <w:sz w:val="32"/>
          <w:szCs w:val="32"/>
          <w:highlight w:val="none"/>
        </w:rPr>
        <w:t>预算为</w:t>
      </w:r>
      <w:r>
        <w:rPr>
          <w:rFonts w:hint="eastAsia" w:hAnsi="仿宋_GB2312" w:cs="仿宋_GB2312"/>
          <w:bCs/>
          <w:kern w:val="44"/>
          <w:sz w:val="32"/>
          <w:szCs w:val="32"/>
          <w:highlight w:val="none"/>
          <w:u w:val="single"/>
          <w:lang w:val="en-US" w:eastAsia="zh-CN"/>
        </w:rPr>
        <w:t>23.06</w:t>
      </w:r>
      <w:r>
        <w:rPr>
          <w:rFonts w:hint="eastAsia" w:ascii="仿宋_GB2312" w:hAnsi="仿宋_GB2312" w:eastAsia="仿宋_GB2312" w:cs="仿宋_GB2312"/>
          <w:bCs/>
          <w:kern w:val="44"/>
          <w:sz w:val="32"/>
          <w:szCs w:val="32"/>
          <w:highlight w:val="none"/>
        </w:rPr>
        <w:t>万元，支出决算为</w:t>
      </w:r>
      <w:r>
        <w:rPr>
          <w:rFonts w:hint="eastAsia" w:hAnsi="仿宋_GB2312" w:cs="仿宋_GB2312"/>
          <w:bCs/>
          <w:kern w:val="44"/>
          <w:sz w:val="32"/>
          <w:szCs w:val="32"/>
          <w:highlight w:val="none"/>
          <w:u w:val="single"/>
          <w:lang w:val="en-US" w:eastAsia="zh-CN"/>
        </w:rPr>
        <w:t>23.5</w:t>
      </w:r>
      <w:r>
        <w:rPr>
          <w:rFonts w:hint="eastAsia" w:ascii="仿宋_GB2312" w:hAnsi="仿宋_GB2312" w:eastAsia="仿宋_GB2312" w:cs="仿宋_GB2312"/>
          <w:bCs/>
          <w:kern w:val="44"/>
          <w:sz w:val="32"/>
          <w:szCs w:val="32"/>
          <w:highlight w:val="none"/>
        </w:rPr>
        <w:t>万元，完成年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kern w:val="44"/>
          <w:sz w:val="32"/>
          <w:szCs w:val="32"/>
          <w:highlight w:val="none"/>
        </w:rPr>
        <w:t>预算的</w:t>
      </w:r>
      <w:r>
        <w:rPr>
          <w:rFonts w:hint="eastAsia" w:hAnsi="仿宋_GB2312" w:cs="仿宋_GB2312"/>
          <w:bCs/>
          <w:kern w:val="44"/>
          <w:sz w:val="32"/>
          <w:szCs w:val="32"/>
          <w:highlight w:val="none"/>
          <w:u w:val="single"/>
          <w:lang w:val="en-US" w:eastAsia="zh-CN"/>
        </w:rPr>
        <w:t>102</w:t>
      </w:r>
      <w:r>
        <w:rPr>
          <w:rFonts w:hint="eastAsia" w:ascii="仿宋_GB2312" w:hAnsi="仿宋_GB2312" w:eastAsia="仿宋_GB2312" w:cs="仿宋_GB2312"/>
          <w:bCs/>
          <w:kern w:val="44"/>
          <w:sz w:val="32"/>
          <w:szCs w:val="32"/>
          <w:highlight w:val="none"/>
          <w:u w:val="single"/>
        </w:rPr>
        <w:t xml:space="preserve"> </w:t>
      </w:r>
      <w:r>
        <w:rPr>
          <w:rFonts w:hint="eastAsia" w:ascii="仿宋_GB2312" w:hAnsi="仿宋_GB2312" w:eastAsia="仿宋_GB2312" w:cs="仿宋_GB2312"/>
          <w:bCs/>
          <w:kern w:val="44"/>
          <w:sz w:val="32"/>
          <w:szCs w:val="32"/>
          <w:highlight w:val="none"/>
        </w:rPr>
        <w:t>%</w:t>
      </w:r>
      <w:r>
        <w:rPr>
          <w:rFonts w:hint="eastAsia" w:hAnsi="仿宋_GB2312" w:cs="仿宋_GB2312"/>
          <w:bCs/>
          <w:kern w:val="44"/>
          <w:sz w:val="32"/>
          <w:szCs w:val="32"/>
          <w:highlight w:val="none"/>
          <w:lang w:eastAsia="zh-CN"/>
        </w:rPr>
        <w:t>。</w:t>
      </w:r>
    </w:p>
    <w:p w14:paraId="3C92016D">
      <w:pPr>
        <w:pStyle w:val="6"/>
        <w:pageBreakBefore w:val="0"/>
        <w:widowControl w:val="0"/>
        <w:kinsoku/>
        <w:wordWrap/>
        <w:overflowPunct/>
        <w:topLinePunct w:val="0"/>
        <w:bidi w:val="0"/>
        <w:snapToGrid w:val="0"/>
        <w:spacing w:line="360" w:lineRule="auto"/>
        <w:ind w:firstLine="640" w:firstLineChars="200"/>
        <w:jc w:val="both"/>
        <w:textAlignment w:val="auto"/>
        <w:rPr>
          <w:rFonts w:hint="eastAsia" w:hAnsi="仿宋_GB2312" w:cs="仿宋_GB2312"/>
          <w:bCs/>
          <w:kern w:val="44"/>
          <w:sz w:val="32"/>
          <w:szCs w:val="32"/>
          <w:highlight w:val="none"/>
          <w:lang w:eastAsia="zh-CN"/>
        </w:rPr>
      </w:pPr>
      <w:r>
        <w:rPr>
          <w:rFonts w:hint="eastAsia" w:hAnsi="仿宋_GB2312" w:cs="仿宋_GB2312"/>
          <w:bCs/>
          <w:kern w:val="44"/>
          <w:sz w:val="32"/>
          <w:szCs w:val="32"/>
          <w:highlight w:val="none"/>
          <w:lang w:val="en-US" w:eastAsia="zh-CN"/>
        </w:rPr>
        <w:t>11.</w:t>
      </w:r>
      <w:r>
        <w:rPr>
          <w:rFonts w:hint="eastAsia" w:hAnsi="仿宋_GB2312" w:cs="仿宋_GB2312"/>
          <w:bCs/>
          <w:kern w:val="44"/>
          <w:sz w:val="32"/>
          <w:szCs w:val="32"/>
          <w:highlight w:val="none"/>
          <w:lang w:eastAsia="zh-CN"/>
        </w:rPr>
        <w:t>住房保障支出</w:t>
      </w:r>
      <w:r>
        <w:rPr>
          <w:rFonts w:hint="eastAsia" w:ascii="仿宋_GB2312" w:hAnsi="仿宋_GB2312" w:eastAsia="仿宋_GB2312" w:cs="仿宋_GB2312"/>
          <w:bCs/>
          <w:kern w:val="44"/>
          <w:sz w:val="32"/>
          <w:szCs w:val="32"/>
          <w:highlight w:val="none"/>
        </w:rPr>
        <w:t>(类)</w:t>
      </w:r>
      <w:r>
        <w:rPr>
          <w:rFonts w:hint="eastAsia" w:hAnsi="仿宋_GB2312" w:cs="仿宋_GB2312"/>
          <w:bCs/>
          <w:kern w:val="44"/>
          <w:sz w:val="32"/>
          <w:szCs w:val="32"/>
          <w:highlight w:val="none"/>
          <w:lang w:eastAsia="zh-CN"/>
        </w:rPr>
        <w:t>住房改革支出</w:t>
      </w:r>
      <w:r>
        <w:rPr>
          <w:rFonts w:hint="eastAsia" w:ascii="仿宋_GB2312" w:hAnsi="仿宋_GB2312" w:cs="仿宋_GB2312"/>
          <w:bCs/>
          <w:kern w:val="44"/>
          <w:sz w:val="32"/>
          <w:szCs w:val="32"/>
          <w:highlight w:val="none"/>
          <w:lang w:eastAsia="zh-CN"/>
        </w:rPr>
        <w:t>（款）</w:t>
      </w:r>
      <w:r>
        <w:rPr>
          <w:rFonts w:hint="eastAsia" w:hAnsi="仿宋_GB2312" w:cs="仿宋_GB2312"/>
          <w:bCs/>
          <w:kern w:val="44"/>
          <w:sz w:val="32"/>
          <w:szCs w:val="32"/>
          <w:highlight w:val="none"/>
          <w:lang w:eastAsia="zh-CN"/>
        </w:rPr>
        <w:t>住房公积金（</w:t>
      </w:r>
      <w:r>
        <w:rPr>
          <w:rFonts w:hint="eastAsia" w:ascii="仿宋_GB2312" w:hAnsi="仿宋_GB2312" w:cs="仿宋_GB2312"/>
          <w:bCs/>
          <w:kern w:val="44"/>
          <w:sz w:val="32"/>
          <w:szCs w:val="32"/>
          <w:highlight w:val="none"/>
          <w:lang w:eastAsia="zh-CN"/>
        </w:rPr>
        <w:t>项）</w:t>
      </w:r>
      <w:r>
        <w:rPr>
          <w:rFonts w:hint="eastAsia" w:ascii="仿宋_GB2312" w:hAnsi="仿宋_GB2312" w:eastAsia="仿宋_GB2312" w:cs="仿宋_GB2312"/>
          <w:bCs/>
          <w:kern w:val="44"/>
          <w:sz w:val="32"/>
          <w:szCs w:val="32"/>
          <w:highlight w:val="none"/>
        </w:rPr>
        <w:t>。年</w:t>
      </w:r>
      <w:r>
        <w:rPr>
          <w:rFonts w:hint="eastAsia" w:ascii="仿宋_GB2312" w:hAnsi="仿宋_GB2312" w:eastAsia="仿宋_GB2312" w:cs="仿宋_GB2312"/>
          <w:bCs/>
          <w:kern w:val="44"/>
          <w:sz w:val="32"/>
          <w:szCs w:val="32"/>
          <w:highlight w:val="none"/>
          <w:lang w:eastAsia="zh-CN"/>
        </w:rPr>
        <w:t>初</w:t>
      </w:r>
      <w:r>
        <w:rPr>
          <w:rFonts w:hint="eastAsia" w:ascii="仿宋_GB2312" w:hAnsi="仿宋_GB2312" w:eastAsia="仿宋_GB2312" w:cs="仿宋_GB2312"/>
          <w:bCs/>
          <w:kern w:val="44"/>
          <w:sz w:val="32"/>
          <w:szCs w:val="32"/>
          <w:highlight w:val="none"/>
        </w:rPr>
        <w:t>预算为</w:t>
      </w:r>
      <w:r>
        <w:rPr>
          <w:rFonts w:hint="eastAsia" w:hAnsi="仿宋_GB2312" w:cs="仿宋_GB2312"/>
          <w:bCs/>
          <w:kern w:val="44"/>
          <w:sz w:val="32"/>
          <w:szCs w:val="32"/>
          <w:highlight w:val="none"/>
          <w:u w:val="single"/>
          <w:lang w:val="en-US" w:eastAsia="zh-CN"/>
        </w:rPr>
        <w:t>19.26</w:t>
      </w:r>
      <w:r>
        <w:rPr>
          <w:rFonts w:hint="eastAsia" w:ascii="仿宋_GB2312" w:hAnsi="仿宋_GB2312" w:eastAsia="仿宋_GB2312" w:cs="仿宋_GB2312"/>
          <w:bCs/>
          <w:kern w:val="44"/>
          <w:sz w:val="32"/>
          <w:szCs w:val="32"/>
          <w:highlight w:val="none"/>
        </w:rPr>
        <w:t>万元，支出决算为</w:t>
      </w:r>
      <w:r>
        <w:rPr>
          <w:rFonts w:hint="eastAsia" w:hAnsi="仿宋_GB2312" w:cs="仿宋_GB2312"/>
          <w:bCs/>
          <w:kern w:val="44"/>
          <w:sz w:val="32"/>
          <w:szCs w:val="32"/>
          <w:highlight w:val="none"/>
          <w:u w:val="single"/>
          <w:lang w:val="en-US" w:eastAsia="zh-CN"/>
        </w:rPr>
        <w:t>19.63</w:t>
      </w:r>
      <w:r>
        <w:rPr>
          <w:rFonts w:hint="eastAsia" w:ascii="仿宋_GB2312" w:hAnsi="仿宋_GB2312" w:eastAsia="仿宋_GB2312" w:cs="仿宋_GB2312"/>
          <w:bCs/>
          <w:kern w:val="44"/>
          <w:sz w:val="32"/>
          <w:szCs w:val="32"/>
          <w:highlight w:val="none"/>
        </w:rPr>
        <w:t>万元，完成年</w:t>
      </w:r>
      <w:r>
        <w:rPr>
          <w:rFonts w:hint="eastAsia" w:ascii="仿宋_GB2312" w:hAnsi="仿宋_GB2312" w:eastAsia="仿宋_GB2312" w:cs="仿宋_GB2312"/>
          <w:bCs/>
          <w:color w:val="auto"/>
          <w:kern w:val="44"/>
          <w:sz w:val="32"/>
          <w:szCs w:val="32"/>
          <w:highlight w:val="none"/>
          <w:lang w:eastAsia="zh-CN"/>
        </w:rPr>
        <w:t>初</w:t>
      </w:r>
      <w:r>
        <w:rPr>
          <w:rFonts w:hint="eastAsia" w:ascii="仿宋_GB2312" w:hAnsi="仿宋_GB2312" w:eastAsia="仿宋_GB2312" w:cs="仿宋_GB2312"/>
          <w:bCs/>
          <w:kern w:val="44"/>
          <w:sz w:val="32"/>
          <w:szCs w:val="32"/>
          <w:highlight w:val="none"/>
        </w:rPr>
        <w:t>预算的</w:t>
      </w:r>
      <w:r>
        <w:rPr>
          <w:rFonts w:hint="eastAsia" w:hAnsi="仿宋_GB2312" w:cs="仿宋_GB2312"/>
          <w:bCs/>
          <w:kern w:val="44"/>
          <w:sz w:val="32"/>
          <w:szCs w:val="32"/>
          <w:highlight w:val="none"/>
          <w:u w:val="single"/>
          <w:lang w:val="en-US" w:eastAsia="zh-CN"/>
        </w:rPr>
        <w:t>102</w:t>
      </w:r>
      <w:r>
        <w:rPr>
          <w:rFonts w:hint="eastAsia" w:ascii="仿宋_GB2312" w:hAnsi="仿宋_GB2312" w:eastAsia="仿宋_GB2312" w:cs="仿宋_GB2312"/>
          <w:bCs/>
          <w:kern w:val="44"/>
          <w:sz w:val="32"/>
          <w:szCs w:val="32"/>
          <w:highlight w:val="none"/>
          <w:u w:val="single"/>
        </w:rPr>
        <w:t xml:space="preserve"> </w:t>
      </w:r>
      <w:r>
        <w:rPr>
          <w:rFonts w:hint="eastAsia" w:ascii="仿宋_GB2312" w:hAnsi="仿宋_GB2312" w:eastAsia="仿宋_GB2312" w:cs="仿宋_GB2312"/>
          <w:bCs/>
          <w:kern w:val="44"/>
          <w:sz w:val="32"/>
          <w:szCs w:val="32"/>
          <w:highlight w:val="none"/>
        </w:rPr>
        <w:t>%</w:t>
      </w:r>
      <w:r>
        <w:rPr>
          <w:rFonts w:hint="eastAsia" w:hAnsi="仿宋_GB2312" w:cs="仿宋_GB2312"/>
          <w:bCs/>
          <w:kern w:val="44"/>
          <w:sz w:val="32"/>
          <w:szCs w:val="32"/>
          <w:highlight w:val="none"/>
          <w:lang w:eastAsia="zh-CN"/>
        </w:rPr>
        <w:t>。</w:t>
      </w:r>
    </w:p>
    <w:p w14:paraId="735F838E">
      <w:pPr>
        <w:bidi w:val="0"/>
        <w:ind w:firstLine="640" w:firstLineChars="200"/>
        <w:rPr>
          <w:rFonts w:hint="eastAsia"/>
          <w:lang w:val="en-US" w:eastAsia="zh-CN"/>
        </w:rPr>
      </w:pPr>
      <w:r>
        <w:rPr>
          <w:rFonts w:hint="eastAsia" w:ascii="黑体" w:hAnsi="黑体" w:eastAsia="黑体" w:cs="黑体"/>
          <w:lang w:val="en-US" w:eastAsia="zh-CN"/>
        </w:rPr>
        <w:t>六、一般公共预算财政拨款基本支出决算情况说明</w:t>
      </w:r>
    </w:p>
    <w:p w14:paraId="50AA460F">
      <w:pPr>
        <w:bidi w:val="0"/>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w:t>
      </w:r>
      <w:r>
        <w:rPr>
          <w:rFonts w:hint="eastAsia" w:ascii="仿宋_GB2312" w:hAnsi="仿宋_GB2312" w:cs="仿宋_GB2312"/>
          <w:lang w:val="en-US" w:eastAsia="zh-CN"/>
        </w:rPr>
        <w:t>3</w:t>
      </w:r>
      <w:r>
        <w:rPr>
          <w:rFonts w:hint="eastAsia" w:ascii="仿宋_GB2312" w:hAnsi="仿宋_GB2312" w:eastAsia="仿宋_GB2312" w:cs="仿宋_GB2312"/>
          <w:lang w:val="en-US" w:eastAsia="zh-CN"/>
        </w:rPr>
        <w:t>年度一般公共预算财政拨款基本支出</w:t>
      </w:r>
      <w:r>
        <w:rPr>
          <w:rFonts w:hint="eastAsia" w:ascii="仿宋_GB2312" w:hAnsi="仿宋_GB2312" w:cs="仿宋_GB2312"/>
          <w:u w:val="single"/>
          <w:lang w:val="en-US" w:eastAsia="zh-CN"/>
        </w:rPr>
        <w:t>272.49</w:t>
      </w:r>
      <w:r>
        <w:rPr>
          <w:rFonts w:hint="eastAsia" w:ascii="仿宋_GB2312" w:hAnsi="仿宋_GB2312" w:eastAsia="仿宋_GB2312" w:cs="仿宋_GB2312"/>
          <w:lang w:val="en-US" w:eastAsia="zh-CN"/>
        </w:rPr>
        <w:t>万元，其中：</w:t>
      </w:r>
    </w:p>
    <w:p w14:paraId="5C275D8B">
      <w:pPr>
        <w:bidi w:val="0"/>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人员经费</w:t>
      </w:r>
      <w:r>
        <w:rPr>
          <w:rFonts w:hint="eastAsia" w:ascii="仿宋_GB2312" w:hAnsi="仿宋_GB2312" w:cs="仿宋_GB2312"/>
          <w:u w:val="single"/>
          <w:lang w:val="en-US" w:eastAsia="zh-CN"/>
        </w:rPr>
        <w:t>258.48</w:t>
      </w:r>
      <w:r>
        <w:rPr>
          <w:rFonts w:hint="eastAsia" w:ascii="仿宋_GB2312" w:hAnsi="仿宋_GB2312" w:eastAsia="仿宋_GB2312" w:cs="仿宋_GB2312"/>
          <w:lang w:val="en-US" w:eastAsia="zh-CN"/>
        </w:rPr>
        <w:t>万元，主要包括：基本工资、津贴补贴、奖金、机关事业单位基本养老保险缴费、职工基本医疗保险缴费、住房公积金、其他工资福利支出、退休费、抚恤金、奖励金。</w:t>
      </w:r>
    </w:p>
    <w:p w14:paraId="794B153F">
      <w:pPr>
        <w:bidi w:val="0"/>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公用经费</w:t>
      </w:r>
      <w:r>
        <w:rPr>
          <w:rFonts w:hint="eastAsia" w:ascii="仿宋_GB2312" w:hAnsi="仿宋_GB2312" w:cs="仿宋_GB2312"/>
          <w:u w:val="single"/>
          <w:lang w:val="en-US" w:eastAsia="zh-CN"/>
        </w:rPr>
        <w:t>14.01</w:t>
      </w:r>
      <w:r>
        <w:rPr>
          <w:rFonts w:hint="eastAsia" w:ascii="仿宋_GB2312" w:hAnsi="仿宋_GB2312" w:eastAsia="仿宋_GB2312" w:cs="仿宋_GB2312"/>
          <w:lang w:val="en-US" w:eastAsia="zh-CN"/>
        </w:rPr>
        <w:t>万元，主要包括：办公费、邮电费、差旅费、劳务费、委托业务费、工会经费、福利费、办公设备购置。</w:t>
      </w:r>
    </w:p>
    <w:p w14:paraId="2F57D78E">
      <w:pPr>
        <w:numPr>
          <w:ilvl w:val="0"/>
          <w:numId w:val="0"/>
        </w:numPr>
        <w:bidi w:val="0"/>
        <w:ind w:firstLine="640" w:firstLineChars="200"/>
        <w:rPr>
          <w:rFonts w:hint="eastAsia" w:ascii="黑体" w:hAnsi="黑体" w:eastAsia="黑体" w:cs="黑体"/>
          <w:sz w:val="32"/>
          <w:szCs w:val="32"/>
          <w:lang w:val="en-US" w:eastAsia="zh-CN"/>
        </w:rPr>
      </w:pPr>
      <w:r>
        <w:rPr>
          <w:rFonts w:hint="eastAsia" w:ascii="黑体" w:hAnsi="黑体" w:eastAsia="黑体" w:cs="黑体"/>
          <w:lang w:val="en-US" w:eastAsia="zh-CN"/>
        </w:rPr>
        <w:t xml:space="preserve">七、政府性基金预算财政拨款收入支出决算情况说明 </w:t>
      </w:r>
    </w:p>
    <w:p w14:paraId="07588406">
      <w:pPr>
        <w:bidi w:val="0"/>
        <w:ind w:firstLine="640" w:firstLineChars="20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本单位当年无政府性基金预算财政拨款收入支出。</w:t>
      </w:r>
    </w:p>
    <w:p w14:paraId="1847D323">
      <w:pPr>
        <w:numPr>
          <w:ilvl w:val="0"/>
          <w:numId w:val="0"/>
        </w:numPr>
        <w:bidi w:val="0"/>
        <w:ind w:leftChars="200"/>
        <w:rPr>
          <w:rFonts w:hint="eastAsia" w:ascii="黑体" w:hAnsi="黑体" w:eastAsia="黑体" w:cs="黑体"/>
          <w:lang w:val="en-US" w:eastAsia="zh-CN"/>
        </w:rPr>
      </w:pPr>
      <w:r>
        <w:rPr>
          <w:rFonts w:hint="eastAsia" w:ascii="黑体" w:hAnsi="黑体" w:eastAsia="黑体" w:cs="黑体"/>
          <w:lang w:val="en-US" w:eastAsia="zh-CN"/>
        </w:rPr>
        <w:t>八、国有资本经营预算财政拨款支出决算情况说明</w:t>
      </w:r>
    </w:p>
    <w:p w14:paraId="3B0793B6">
      <w:pPr>
        <w:bidi w:val="0"/>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本单位当年无国有资本经营预算财政拨款支出。</w:t>
      </w:r>
    </w:p>
    <w:p w14:paraId="077A1160">
      <w:pPr>
        <w:numPr>
          <w:ilvl w:val="0"/>
          <w:numId w:val="0"/>
        </w:num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 xml:space="preserve">九、财政拨款“三公”经费支出决算情况说明 </w:t>
      </w:r>
    </w:p>
    <w:p w14:paraId="27006D07">
      <w:pPr>
        <w:numPr>
          <w:ilvl w:val="0"/>
          <w:numId w:val="0"/>
        </w:numPr>
        <w:bidi w:val="0"/>
        <w:ind w:left="640" w:leftChars="200" w:firstLine="0" w:firstLineChars="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（一）“三公”经费财政拨款支出决算总体情况说明。</w:t>
      </w:r>
    </w:p>
    <w:p w14:paraId="1D3A5BF8">
      <w:pPr>
        <w:numPr>
          <w:ilvl w:val="0"/>
          <w:numId w:val="0"/>
        </w:numPr>
        <w:bidi w:val="0"/>
        <w:ind w:firstLine="640" w:firstLineChars="200"/>
        <w:rPr>
          <w:rFonts w:hint="eastAsia" w:ascii="仿宋_GB2312" w:hAnsi="仿宋_GB2312" w:cs="仿宋_GB2312"/>
          <w:lang w:val="en-US" w:eastAsia="zh-CN"/>
        </w:rPr>
      </w:pPr>
      <w:r>
        <w:rPr>
          <w:rFonts w:hint="eastAsia" w:ascii="仿宋_GB2312" w:hAnsi="仿宋_GB2312" w:eastAsia="仿宋_GB2312" w:cs="仿宋_GB2312"/>
          <w:lang w:val="en-US" w:eastAsia="zh-CN"/>
        </w:rPr>
        <w:t>202</w:t>
      </w:r>
      <w:r>
        <w:rPr>
          <w:rFonts w:hint="eastAsia" w:ascii="仿宋_GB2312" w:hAnsi="仿宋_GB2312" w:cs="仿宋_GB2312"/>
          <w:lang w:val="en-US" w:eastAsia="zh-CN"/>
        </w:rPr>
        <w:t>3</w:t>
      </w:r>
      <w:r>
        <w:rPr>
          <w:rFonts w:hint="eastAsia" w:ascii="仿宋_GB2312" w:hAnsi="仿宋_GB2312" w:eastAsia="仿宋_GB2312" w:cs="仿宋_GB2312"/>
          <w:lang w:val="en-US" w:eastAsia="zh-CN"/>
        </w:rPr>
        <w:t>年度“三公”经费财政拨款支出预算为</w:t>
      </w:r>
      <w:r>
        <w:rPr>
          <w:rFonts w:hint="eastAsia" w:ascii="仿宋_GB2312" w:hAnsi="仿宋_GB2312" w:cs="仿宋_GB2312"/>
          <w:u w:val="single"/>
          <w:lang w:val="en-US" w:eastAsia="zh-CN"/>
        </w:rPr>
        <w:t>0</w:t>
      </w:r>
      <w:r>
        <w:rPr>
          <w:rFonts w:hint="eastAsia" w:ascii="仿宋_GB2312" w:hAnsi="仿宋_GB2312" w:eastAsia="仿宋_GB2312" w:cs="仿宋_GB2312"/>
          <w:lang w:val="en-US" w:eastAsia="zh-CN"/>
        </w:rPr>
        <w:t>万元，支出决算为</w:t>
      </w:r>
      <w:r>
        <w:rPr>
          <w:rFonts w:hint="eastAsia" w:ascii="仿宋_GB2312" w:hAnsi="仿宋_GB2312" w:cs="仿宋_GB2312"/>
          <w:u w:val="single"/>
          <w:lang w:val="en-US" w:eastAsia="zh-CN"/>
        </w:rPr>
        <w:t>0</w:t>
      </w:r>
      <w:r>
        <w:rPr>
          <w:rFonts w:hint="eastAsia" w:ascii="仿宋_GB2312" w:hAnsi="仿宋_GB2312" w:eastAsia="仿宋_GB2312" w:cs="仿宋_GB2312"/>
          <w:lang w:val="en-US" w:eastAsia="zh-CN"/>
        </w:rPr>
        <w:t>万元，完成预算的</w:t>
      </w:r>
      <w:r>
        <w:rPr>
          <w:rFonts w:hint="eastAsia" w:ascii="仿宋_GB2312" w:hAnsi="仿宋_GB2312" w:eastAsia="仿宋_GB2312" w:cs="仿宋_GB2312"/>
          <w:u w:val="single"/>
          <w:lang w:val="en-US" w:eastAsia="zh-CN"/>
        </w:rPr>
        <w:t xml:space="preserve"> </w:t>
      </w:r>
      <w:r>
        <w:rPr>
          <w:rFonts w:hint="eastAsia" w:ascii="仿宋_GB2312" w:hAnsi="仿宋_GB2312" w:cs="仿宋_GB2312"/>
          <w:u w:val="single"/>
          <w:lang w:val="en-US" w:eastAsia="zh-CN"/>
        </w:rPr>
        <w:t>0</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较上年增加（减少）</w:t>
      </w:r>
      <w:r>
        <w:rPr>
          <w:rFonts w:hint="eastAsia" w:ascii="仿宋_GB2312" w:hAnsi="仿宋_GB2312" w:cs="仿宋_GB2312"/>
          <w:u w:val="single"/>
          <w:lang w:val="en-US" w:eastAsia="zh-CN"/>
        </w:rPr>
        <w:t>0</w:t>
      </w:r>
      <w:r>
        <w:rPr>
          <w:rFonts w:hint="eastAsia" w:ascii="仿宋_GB2312" w:hAnsi="仿宋_GB2312" w:cs="仿宋_GB2312"/>
          <w:u w:val="none"/>
          <w:lang w:val="en-US" w:eastAsia="zh-CN"/>
        </w:rPr>
        <w:t>万元，增长（下降）</w:t>
      </w:r>
      <w:r>
        <w:rPr>
          <w:rFonts w:hint="eastAsia" w:ascii="仿宋_GB2312" w:hAnsi="仿宋_GB2312" w:cs="仿宋_GB2312"/>
          <w:u w:val="single"/>
          <w:lang w:val="en-US" w:eastAsia="zh-CN"/>
        </w:rPr>
        <w:t>0</w:t>
      </w:r>
      <w:r>
        <w:rPr>
          <w:rFonts w:hint="eastAsia" w:ascii="仿宋_GB2312" w:hAnsi="仿宋_GB2312" w:cs="仿宋_GB2312"/>
          <w:u w:val="none"/>
          <w:lang w:val="en-US" w:eastAsia="zh-CN"/>
        </w:rPr>
        <w:t>%。</w:t>
      </w:r>
      <w:r>
        <w:rPr>
          <w:rFonts w:hint="eastAsia" w:ascii="仿宋_GB2312" w:hAnsi="仿宋_GB2312" w:eastAsia="仿宋_GB2312" w:cs="仿宋_GB2312"/>
          <w:lang w:val="en-US" w:eastAsia="zh-CN"/>
        </w:rPr>
        <w:t>主要原因：</w:t>
      </w:r>
      <w:r>
        <w:rPr>
          <w:rFonts w:hint="eastAsia"/>
          <w:lang w:val="en-US" w:eastAsia="zh-CN"/>
        </w:rPr>
        <w:t>我单位无</w:t>
      </w:r>
      <w:r>
        <w:rPr>
          <w:rFonts w:hint="eastAsia" w:ascii="仿宋_GB2312" w:hAnsi="仿宋_GB2312" w:cs="仿宋_GB2312"/>
          <w:lang w:val="en-US" w:eastAsia="zh-CN"/>
        </w:rPr>
        <w:t>“三公经费预算”，故无“三公”经费支出。 </w:t>
      </w:r>
    </w:p>
    <w:p w14:paraId="7CAA938F">
      <w:pPr>
        <w:numPr>
          <w:ilvl w:val="0"/>
          <w:numId w:val="0"/>
        </w:numPr>
        <w:bidi w:val="0"/>
        <w:ind w:leftChars="20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（二）“三公”经费财政拨款支出决算具体情况说明。</w:t>
      </w:r>
    </w:p>
    <w:p w14:paraId="6E37BB01">
      <w:pPr>
        <w:ind w:firstLine="640" w:firstLineChars="200"/>
        <w:rPr>
          <w:rFonts w:hint="eastAsia"/>
          <w:lang w:val="en-US" w:eastAsia="zh-CN"/>
        </w:rPr>
      </w:pPr>
      <w:r>
        <w:rPr>
          <w:rFonts w:hint="eastAsia" w:ascii="仿宋_GB2312" w:eastAsia="仿宋_GB2312"/>
          <w:color w:val="000000"/>
          <w:szCs w:val="32"/>
          <w:highlight w:val="none"/>
        </w:rPr>
        <w:t>1.因公出国(境)费</w:t>
      </w:r>
      <w:r>
        <w:rPr>
          <w:rFonts w:hint="eastAsia" w:ascii="仿宋_GB2312" w:eastAsia="仿宋_GB2312"/>
          <w:color w:val="000000"/>
          <w:szCs w:val="32"/>
          <w:highlight w:val="none"/>
          <w:lang w:val="en-US" w:eastAsia="zh-CN"/>
        </w:rPr>
        <w:t>预算为</w:t>
      </w:r>
      <w:r>
        <w:rPr>
          <w:rFonts w:hint="eastAsia" w:ascii="仿宋_GB2312"/>
          <w:color w:val="000000"/>
          <w:szCs w:val="32"/>
          <w:highlight w:val="none"/>
          <w:u w:val="single"/>
          <w:lang w:val="en-US" w:eastAsia="zh-CN"/>
        </w:rPr>
        <w:t>0</w:t>
      </w:r>
      <w:r>
        <w:rPr>
          <w:rFonts w:hint="eastAsia" w:ascii="仿宋_GB2312" w:eastAsia="仿宋_GB2312"/>
          <w:color w:val="000000"/>
          <w:szCs w:val="32"/>
          <w:highlight w:val="none"/>
          <w:u w:val="none"/>
          <w:lang w:val="en-US" w:eastAsia="zh-CN"/>
        </w:rPr>
        <w:t>万元，</w:t>
      </w:r>
      <w:r>
        <w:rPr>
          <w:rFonts w:hint="eastAsia" w:ascii="仿宋_GB2312" w:eastAsia="仿宋_GB2312"/>
          <w:color w:val="000000"/>
          <w:szCs w:val="32"/>
          <w:highlight w:val="none"/>
        </w:rPr>
        <w:t>支出决算为</w:t>
      </w:r>
      <w:r>
        <w:rPr>
          <w:rFonts w:hint="eastAsia" w:ascii="仿宋_GB2312"/>
          <w:color w:val="000000"/>
          <w:szCs w:val="32"/>
          <w:highlight w:val="none"/>
          <w:u w:val="single"/>
          <w:lang w:val="en-US" w:eastAsia="zh-CN"/>
        </w:rPr>
        <w:t>0</w:t>
      </w:r>
      <w:r>
        <w:rPr>
          <w:rFonts w:hint="eastAsia" w:ascii="仿宋_GB2312" w:eastAsia="仿宋_GB2312"/>
          <w:color w:val="000000"/>
          <w:szCs w:val="32"/>
          <w:highlight w:val="none"/>
        </w:rPr>
        <w:t>万元，</w:t>
      </w:r>
      <w:r>
        <w:rPr>
          <w:rFonts w:hint="eastAsia" w:ascii="仿宋_GB2312" w:eastAsia="仿宋_GB2312"/>
          <w:color w:val="000000"/>
          <w:szCs w:val="32"/>
          <w:highlight w:val="none"/>
          <w:lang w:eastAsia="zh-CN"/>
        </w:rPr>
        <w:t>完成</w:t>
      </w:r>
      <w:r>
        <w:rPr>
          <w:rFonts w:hint="eastAsia" w:ascii="仿宋_GB2312" w:eastAsia="仿宋_GB2312"/>
          <w:color w:val="000000"/>
          <w:szCs w:val="32"/>
          <w:highlight w:val="none"/>
        </w:rPr>
        <w:t>预算的</w:t>
      </w:r>
      <w:r>
        <w:rPr>
          <w:rFonts w:hint="eastAsia" w:ascii="仿宋_GB2312"/>
          <w:color w:val="000000"/>
          <w:szCs w:val="32"/>
          <w:highlight w:val="none"/>
          <w:u w:val="single"/>
          <w:lang w:val="en-US" w:eastAsia="zh-CN"/>
        </w:rPr>
        <w:t>0</w:t>
      </w:r>
      <w:r>
        <w:rPr>
          <w:rFonts w:hint="eastAsia" w:ascii="仿宋_GB2312" w:eastAsia="仿宋_GB2312"/>
          <w:color w:val="000000"/>
          <w:szCs w:val="32"/>
          <w:highlight w:val="none"/>
        </w:rPr>
        <w:t>%</w:t>
      </w:r>
      <w:r>
        <w:rPr>
          <w:rFonts w:hint="eastAsia" w:ascii="仿宋_GB2312"/>
          <w:color w:val="000000"/>
          <w:szCs w:val="32"/>
          <w:highlight w:val="none"/>
          <w:lang w:eastAsia="zh-CN"/>
        </w:rPr>
        <w:t>。决算数</w:t>
      </w:r>
      <w:r>
        <w:rPr>
          <w:rFonts w:hint="eastAsia" w:ascii="仿宋_GB2312" w:hAnsi="仿宋_GB2312" w:cs="仿宋_GB2312"/>
          <w:lang w:val="en-US" w:eastAsia="zh-CN"/>
        </w:rPr>
        <w:t>较上年增加（减少）</w:t>
      </w:r>
      <w:r>
        <w:rPr>
          <w:rFonts w:hint="eastAsia" w:ascii="仿宋_GB2312" w:hAnsi="仿宋_GB2312" w:cs="仿宋_GB2312"/>
          <w:u w:val="single"/>
          <w:lang w:val="en-US" w:eastAsia="zh-CN"/>
        </w:rPr>
        <w:t>0</w:t>
      </w:r>
      <w:r>
        <w:rPr>
          <w:rFonts w:hint="eastAsia" w:ascii="仿宋_GB2312" w:hAnsi="仿宋_GB2312" w:cs="仿宋_GB2312"/>
          <w:u w:val="none"/>
          <w:lang w:val="en-US" w:eastAsia="zh-CN"/>
        </w:rPr>
        <w:t>万元，增</w:t>
      </w:r>
      <w:r>
        <w:rPr>
          <w:rFonts w:hint="eastAsia"/>
          <w:lang w:val="en-US" w:eastAsia="zh-CN"/>
        </w:rPr>
        <w:t>长（下降）</w:t>
      </w:r>
      <w:r>
        <w:rPr>
          <w:rFonts w:hint="eastAsia"/>
          <w:u w:val="single"/>
          <w:lang w:val="en-US" w:eastAsia="zh-CN"/>
        </w:rPr>
        <w:t>0</w:t>
      </w:r>
      <w:r>
        <w:rPr>
          <w:rFonts w:hint="eastAsia"/>
          <w:lang w:val="en-US" w:eastAsia="zh-CN"/>
        </w:rPr>
        <w:t>%。主要原因：我单位无因公出国费用。</w:t>
      </w:r>
    </w:p>
    <w:p w14:paraId="634D391E">
      <w:pPr>
        <w:ind w:firstLine="640" w:firstLineChars="200"/>
        <w:rPr>
          <w:rFonts w:hint="default" w:ascii="仿宋_GB2312" w:eastAsia="仿宋_GB2312"/>
          <w:color w:val="000000"/>
          <w:szCs w:val="32"/>
          <w:highlight w:val="none"/>
          <w:u w:val="none"/>
          <w:lang w:val="en-US" w:eastAsia="zh-CN"/>
        </w:rPr>
      </w:pPr>
      <w:r>
        <w:rPr>
          <w:rFonts w:hint="eastAsia"/>
          <w:lang w:val="en-US" w:eastAsia="zh-CN"/>
        </w:rPr>
        <w:t>全年支出涉及出国（境）团组</w:t>
      </w:r>
      <w:r>
        <w:rPr>
          <w:rFonts w:hint="eastAsia"/>
          <w:u w:val="single"/>
          <w:lang w:val="en-US" w:eastAsia="zh-CN"/>
        </w:rPr>
        <w:t xml:space="preserve"> 0 </w:t>
      </w:r>
      <w:r>
        <w:rPr>
          <w:rFonts w:hint="eastAsia"/>
          <w:lang w:val="en-US" w:eastAsia="zh-CN"/>
        </w:rPr>
        <w:t>个，累计</w:t>
      </w:r>
      <w:r>
        <w:rPr>
          <w:rFonts w:hint="eastAsia" w:ascii="仿宋_GB2312"/>
          <w:color w:val="000000"/>
          <w:szCs w:val="32"/>
          <w:highlight w:val="none"/>
          <w:u w:val="single"/>
          <w:lang w:val="en-US" w:eastAsia="zh-CN"/>
        </w:rPr>
        <w:t>0</w:t>
      </w:r>
      <w:r>
        <w:rPr>
          <w:rFonts w:hint="eastAsia" w:ascii="仿宋_GB2312" w:eastAsia="仿宋_GB2312"/>
          <w:color w:val="000000"/>
          <w:szCs w:val="32"/>
          <w:highlight w:val="none"/>
          <w:u w:val="none"/>
          <w:lang w:val="en-US" w:eastAsia="zh-CN"/>
        </w:rPr>
        <w:t>人次</w:t>
      </w:r>
      <w:r>
        <w:rPr>
          <w:rFonts w:hint="eastAsia" w:ascii="仿宋_GB2312"/>
          <w:color w:val="000000"/>
          <w:szCs w:val="32"/>
          <w:highlight w:val="none"/>
          <w:u w:val="none"/>
          <w:lang w:val="en-US" w:eastAsia="zh-CN"/>
        </w:rPr>
        <w:t>。</w:t>
      </w:r>
    </w:p>
    <w:p w14:paraId="39A2B1E9">
      <w:pPr>
        <w:numPr>
          <w:ilvl w:val="0"/>
          <w:numId w:val="0"/>
        </w:numPr>
        <w:bidi w:val="0"/>
        <w:ind w:firstLine="640" w:firstLineChars="200"/>
        <w:rPr>
          <w:rFonts w:hint="eastAsia" w:ascii="仿宋_GB2312" w:eastAsia="仿宋_GB2312"/>
          <w:color w:val="000000"/>
          <w:sz w:val="32"/>
          <w:szCs w:val="32"/>
          <w:highlight w:val="yellow"/>
        </w:rPr>
      </w:pPr>
      <w:r>
        <w:rPr>
          <w:rFonts w:hint="eastAsia" w:ascii="仿宋_GB2312" w:eastAsia="仿宋_GB2312"/>
          <w:color w:val="000000"/>
          <w:sz w:val="32"/>
          <w:szCs w:val="32"/>
          <w:highlight w:val="none"/>
        </w:rPr>
        <w:t>2.公务用车购置及运行费</w:t>
      </w:r>
      <w:r>
        <w:rPr>
          <w:rFonts w:hint="eastAsia" w:ascii="仿宋_GB2312"/>
          <w:color w:val="000000"/>
          <w:sz w:val="32"/>
          <w:szCs w:val="32"/>
          <w:highlight w:val="none"/>
          <w:lang w:eastAsia="zh-CN"/>
        </w:rPr>
        <w:t>预算为</w:t>
      </w:r>
      <w:r>
        <w:rPr>
          <w:rFonts w:hint="eastAsia" w:ascii="仿宋_GB2312"/>
          <w:color w:val="000000"/>
          <w:sz w:val="32"/>
          <w:szCs w:val="32"/>
          <w:highlight w:val="none"/>
          <w:u w:val="single"/>
          <w:lang w:val="en-US" w:eastAsia="zh-CN"/>
        </w:rPr>
        <w:t>0</w:t>
      </w:r>
      <w:r>
        <w:rPr>
          <w:rFonts w:hint="eastAsia" w:ascii="仿宋_GB2312"/>
          <w:color w:val="000000"/>
          <w:sz w:val="32"/>
          <w:szCs w:val="32"/>
          <w:highlight w:val="none"/>
          <w:u w:val="none"/>
          <w:lang w:val="en-US" w:eastAsia="zh-CN"/>
        </w:rPr>
        <w:t>万元，</w:t>
      </w:r>
      <w:r>
        <w:rPr>
          <w:rFonts w:hint="eastAsia" w:ascii="仿宋_GB2312" w:eastAsia="仿宋_GB2312"/>
          <w:color w:val="000000"/>
          <w:sz w:val="32"/>
          <w:szCs w:val="32"/>
          <w:highlight w:val="none"/>
        </w:rPr>
        <w:t>支出决算为</w:t>
      </w:r>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rPr>
        <w:t>万元，完成预算的</w:t>
      </w:r>
      <w:r>
        <w:rPr>
          <w:rFonts w:hint="eastAsia" w:ascii="仿宋_GB2312" w:eastAsia="仿宋_GB2312"/>
          <w:color w:val="000000"/>
          <w:sz w:val="32"/>
          <w:szCs w:val="32"/>
          <w:highlight w:val="none"/>
          <w:u w:val="single"/>
        </w:rPr>
        <w:t xml:space="preserve"> </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u w:val="single"/>
        </w:rPr>
        <w:t xml:space="preserve"> </w:t>
      </w:r>
      <w:r>
        <w:rPr>
          <w:rFonts w:hint="eastAsia" w:ascii="仿宋_GB2312" w:eastAsia="仿宋_GB2312"/>
          <w:color w:val="000000"/>
          <w:sz w:val="32"/>
          <w:szCs w:val="32"/>
          <w:highlight w:val="none"/>
        </w:rPr>
        <w:t>%；</w:t>
      </w:r>
      <w:r>
        <w:rPr>
          <w:rFonts w:hint="eastAsia" w:ascii="仿宋_GB2312"/>
          <w:color w:val="000000"/>
          <w:sz w:val="32"/>
          <w:szCs w:val="32"/>
          <w:highlight w:val="none"/>
          <w:lang w:eastAsia="zh-CN"/>
        </w:rPr>
        <w:t>决算数</w:t>
      </w:r>
      <w:r>
        <w:rPr>
          <w:rFonts w:hint="eastAsia" w:ascii="仿宋_GB2312" w:hAnsi="仿宋_GB2312" w:cs="仿宋_GB2312"/>
          <w:lang w:val="en-US" w:eastAsia="zh-CN"/>
        </w:rPr>
        <w:t>较上年增加（减少）</w:t>
      </w:r>
      <w:r>
        <w:rPr>
          <w:rFonts w:hint="eastAsia" w:ascii="仿宋_GB2312" w:hAnsi="仿宋_GB2312" w:cs="仿宋_GB2312"/>
          <w:u w:val="single"/>
          <w:lang w:val="en-US" w:eastAsia="zh-CN"/>
        </w:rPr>
        <w:t>0</w:t>
      </w:r>
      <w:r>
        <w:rPr>
          <w:rFonts w:hint="eastAsia" w:ascii="仿宋_GB2312" w:hAnsi="仿宋_GB2312" w:cs="仿宋_GB2312"/>
          <w:u w:val="none"/>
          <w:lang w:val="en-US" w:eastAsia="zh-CN"/>
        </w:rPr>
        <w:t>万元，增长（下降）</w:t>
      </w:r>
      <w:r>
        <w:rPr>
          <w:rFonts w:hint="eastAsia" w:ascii="仿宋_GB2312" w:hAnsi="仿宋_GB2312" w:cs="仿宋_GB2312"/>
          <w:u w:val="single"/>
          <w:lang w:val="en-US" w:eastAsia="zh-CN"/>
        </w:rPr>
        <w:t>0</w:t>
      </w:r>
      <w:r>
        <w:rPr>
          <w:rFonts w:hint="eastAsia" w:ascii="仿宋_GB2312" w:hAnsi="仿宋_GB2312" w:cs="仿宋_GB2312"/>
          <w:u w:val="none"/>
          <w:lang w:val="en-US" w:eastAsia="zh-CN"/>
        </w:rPr>
        <w:t>%。</w:t>
      </w:r>
      <w:r>
        <w:rPr>
          <w:rFonts w:hint="eastAsia" w:ascii="仿宋_GB2312" w:hAnsi="仿宋_GB2312" w:cs="仿宋_GB2312"/>
          <w:lang w:val="en-US" w:eastAsia="zh-CN"/>
        </w:rPr>
        <w:t>主要原因：</w:t>
      </w:r>
      <w:r>
        <w:rPr>
          <w:rFonts w:hint="eastAsia"/>
          <w:lang w:val="en-US" w:eastAsia="zh-CN"/>
        </w:rPr>
        <w:t>我单位无</w:t>
      </w:r>
      <w:r>
        <w:rPr>
          <w:rFonts w:hint="eastAsia" w:ascii="仿宋_GB2312" w:eastAsia="仿宋_GB2312"/>
          <w:color w:val="000000"/>
          <w:sz w:val="32"/>
          <w:szCs w:val="32"/>
          <w:highlight w:val="none"/>
        </w:rPr>
        <w:t>公务用车购置及运行费</w:t>
      </w:r>
      <w:r>
        <w:rPr>
          <w:rFonts w:hint="eastAsia" w:ascii="仿宋_GB2312" w:hAnsi="仿宋_GB2312" w:eastAsia="仿宋_GB2312" w:cs="仿宋_GB2312"/>
          <w:lang w:val="en-US" w:eastAsia="zh-CN"/>
        </w:rPr>
        <w:t>。</w:t>
      </w:r>
      <w:r>
        <w:rPr>
          <w:rFonts w:hint="eastAsia" w:ascii="仿宋_GB2312" w:eastAsia="仿宋_GB2312"/>
          <w:color w:val="000000"/>
          <w:sz w:val="32"/>
          <w:szCs w:val="32"/>
          <w:highlight w:val="none"/>
        </w:rPr>
        <w:t>其中：</w:t>
      </w:r>
    </w:p>
    <w:p w14:paraId="6E53D8F0">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(1)公务用车购置费</w:t>
      </w:r>
      <w:r>
        <w:rPr>
          <w:rFonts w:hint="eastAsia" w:ascii="仿宋_GB2312"/>
          <w:color w:val="000000"/>
          <w:sz w:val="32"/>
          <w:szCs w:val="32"/>
          <w:highlight w:val="none"/>
          <w:lang w:eastAsia="zh-CN"/>
        </w:rPr>
        <w:t>支出</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rPr>
        <w:t>万元，本年度购置(更新)公务用车</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rPr>
        <w:t>辆</w:t>
      </w:r>
      <w:r>
        <w:rPr>
          <w:rFonts w:hint="eastAsia" w:ascii="仿宋_GB2312" w:eastAsia="仿宋_GB2312"/>
          <w:color w:val="000000"/>
          <w:sz w:val="32"/>
          <w:szCs w:val="32"/>
          <w:highlight w:val="none"/>
          <w:lang w:eastAsia="zh-CN"/>
        </w:rPr>
        <w:t>。</w:t>
      </w:r>
    </w:p>
    <w:p w14:paraId="5C8C8F69">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(2)公务用车运行费</w:t>
      </w:r>
      <w:r>
        <w:rPr>
          <w:rFonts w:hint="eastAsia" w:ascii="仿宋_GB2312"/>
          <w:color w:val="000000"/>
          <w:sz w:val="32"/>
          <w:szCs w:val="32"/>
          <w:highlight w:val="none"/>
          <w:lang w:eastAsia="zh-CN"/>
        </w:rPr>
        <w:t>支出</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rPr>
        <w:t>万元</w:t>
      </w:r>
      <w:r>
        <w:rPr>
          <w:rFonts w:hint="eastAsia" w:ascii="仿宋_GB2312"/>
          <w:color w:val="000000"/>
          <w:sz w:val="32"/>
          <w:szCs w:val="32"/>
          <w:highlight w:val="none"/>
          <w:lang w:eastAsia="zh-CN"/>
        </w:rPr>
        <w:t>。</w:t>
      </w:r>
      <w:r>
        <w:rPr>
          <w:rFonts w:hint="eastAsia" w:ascii="仿宋_GB2312" w:eastAsia="仿宋_GB2312"/>
          <w:color w:val="000000"/>
          <w:sz w:val="32"/>
          <w:szCs w:val="32"/>
          <w:highlight w:val="none"/>
          <w:lang w:eastAsia="zh-CN"/>
        </w:rPr>
        <w:t>截</w:t>
      </w:r>
      <w:r>
        <w:rPr>
          <w:rFonts w:hint="eastAsia" w:ascii="仿宋_GB2312"/>
          <w:color w:val="000000"/>
          <w:sz w:val="32"/>
          <w:szCs w:val="32"/>
          <w:highlight w:val="none"/>
          <w:lang w:eastAsia="zh-CN"/>
        </w:rPr>
        <w:t>至</w:t>
      </w:r>
      <w:r>
        <w:rPr>
          <w:rFonts w:hint="eastAsia" w:ascii="仿宋_GB2312"/>
          <w:color w:val="000000"/>
          <w:sz w:val="32"/>
          <w:szCs w:val="32"/>
          <w:highlight w:val="none"/>
          <w:lang w:val="en-US" w:eastAsia="zh-CN"/>
        </w:rPr>
        <w:t>2023年</w:t>
      </w:r>
      <w:r>
        <w:rPr>
          <w:rFonts w:hint="eastAsia" w:ascii="仿宋_GB2312" w:eastAsia="仿宋_GB2312"/>
          <w:color w:val="000000"/>
          <w:sz w:val="32"/>
          <w:szCs w:val="32"/>
          <w:highlight w:val="none"/>
          <w:lang w:val="en-US" w:eastAsia="zh-CN"/>
        </w:rPr>
        <w:t>12月31日，开支财政拨款的公务用车保有量</w:t>
      </w:r>
      <w:r>
        <w:rPr>
          <w:rFonts w:hint="eastAsia" w:ascii="仿宋_GB2312"/>
          <w:color w:val="000000"/>
          <w:sz w:val="32"/>
          <w:szCs w:val="32"/>
          <w:highlight w:val="none"/>
          <w:u w:val="none"/>
          <w:lang w:eastAsia="zh-CN"/>
        </w:rPr>
        <w:t>为</w:t>
      </w:r>
      <w:r>
        <w:rPr>
          <w:rFonts w:hint="eastAsia" w:ascii="仿宋_GB2312"/>
          <w:color w:val="000000"/>
          <w:sz w:val="32"/>
          <w:szCs w:val="32"/>
          <w:highlight w:val="none"/>
          <w:u w:val="single"/>
          <w:lang w:val="en-US" w:eastAsia="zh-CN"/>
        </w:rPr>
        <w:t>1</w:t>
      </w:r>
      <w:r>
        <w:rPr>
          <w:rFonts w:hint="eastAsia" w:ascii="仿宋_GB2312" w:eastAsia="仿宋_GB2312"/>
          <w:color w:val="000000"/>
          <w:sz w:val="32"/>
          <w:szCs w:val="32"/>
          <w:highlight w:val="none"/>
        </w:rPr>
        <w:t>辆</w:t>
      </w:r>
      <w:r>
        <w:rPr>
          <w:rFonts w:hint="eastAsia" w:ascii="仿宋_GB2312" w:eastAsia="仿宋_GB2312"/>
          <w:color w:val="000000"/>
          <w:sz w:val="32"/>
          <w:szCs w:val="32"/>
          <w:highlight w:val="none"/>
          <w:lang w:eastAsia="zh-CN"/>
        </w:rPr>
        <w:t>。</w:t>
      </w:r>
    </w:p>
    <w:p w14:paraId="0F94396F">
      <w:pPr>
        <w:numPr>
          <w:ilvl w:val="0"/>
          <w:numId w:val="0"/>
        </w:numPr>
        <w:bidi w:val="0"/>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3.公务接待费</w:t>
      </w:r>
      <w:r>
        <w:rPr>
          <w:rFonts w:hint="eastAsia" w:ascii="仿宋_GB2312"/>
          <w:color w:val="000000"/>
          <w:sz w:val="32"/>
          <w:szCs w:val="32"/>
          <w:highlight w:val="none"/>
          <w:lang w:eastAsia="zh-CN"/>
        </w:rPr>
        <w:t>预算为</w:t>
      </w:r>
      <w:r>
        <w:rPr>
          <w:rFonts w:hint="eastAsia" w:ascii="仿宋_GB2312" w:eastAsia="仿宋_GB2312"/>
          <w:color w:val="000000"/>
          <w:sz w:val="32"/>
          <w:szCs w:val="32"/>
          <w:highlight w:val="none"/>
          <w:u w:val="single"/>
        </w:rPr>
        <w:t xml:space="preserve"> </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rPr>
        <w:t>万元</w:t>
      </w:r>
      <w:r>
        <w:rPr>
          <w:rFonts w:hint="eastAsia" w:ascii="仿宋_GB2312"/>
          <w:color w:val="000000"/>
          <w:sz w:val="32"/>
          <w:szCs w:val="32"/>
          <w:highlight w:val="none"/>
          <w:lang w:eastAsia="zh-CN"/>
        </w:rPr>
        <w:t>，</w:t>
      </w:r>
      <w:r>
        <w:rPr>
          <w:rFonts w:hint="eastAsia" w:ascii="仿宋_GB2312" w:eastAsia="仿宋_GB2312"/>
          <w:color w:val="000000"/>
          <w:sz w:val="32"/>
          <w:szCs w:val="32"/>
          <w:highlight w:val="none"/>
        </w:rPr>
        <w:t>支出决算为</w:t>
      </w:r>
      <w:r>
        <w:rPr>
          <w:rFonts w:hint="eastAsia" w:ascii="仿宋_GB2312"/>
          <w:color w:val="000000"/>
          <w:sz w:val="32"/>
          <w:szCs w:val="32"/>
          <w:highlight w:val="none"/>
          <w:lang w:val="en-US" w:eastAsia="zh-CN"/>
        </w:rPr>
        <w:t>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完成</w:t>
      </w:r>
      <w:r>
        <w:rPr>
          <w:rFonts w:hint="eastAsia" w:ascii="仿宋_GB2312" w:eastAsia="仿宋_GB2312"/>
          <w:color w:val="000000"/>
          <w:sz w:val="32"/>
          <w:szCs w:val="32"/>
          <w:highlight w:val="none"/>
        </w:rPr>
        <w:t>预算的</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rPr>
        <w:t>%</w:t>
      </w:r>
      <w:r>
        <w:rPr>
          <w:rFonts w:hint="eastAsia" w:ascii="仿宋_GB2312"/>
          <w:color w:val="000000"/>
          <w:sz w:val="32"/>
          <w:szCs w:val="32"/>
          <w:highlight w:val="none"/>
          <w:lang w:eastAsia="zh-CN"/>
        </w:rPr>
        <w:t>，决算数</w:t>
      </w:r>
      <w:r>
        <w:rPr>
          <w:rFonts w:hint="eastAsia" w:ascii="仿宋_GB2312" w:hAnsi="仿宋_GB2312" w:cs="仿宋_GB2312"/>
          <w:lang w:val="en-US" w:eastAsia="zh-CN"/>
        </w:rPr>
        <w:t>较上年增加（减少）</w:t>
      </w:r>
      <w:r>
        <w:rPr>
          <w:rFonts w:hint="eastAsia" w:ascii="仿宋_GB2312" w:hAnsi="仿宋_GB2312" w:cs="仿宋_GB2312"/>
          <w:u w:val="single"/>
          <w:lang w:val="en-US" w:eastAsia="zh-CN"/>
        </w:rPr>
        <w:t>0</w:t>
      </w:r>
      <w:r>
        <w:rPr>
          <w:rFonts w:hint="eastAsia" w:ascii="仿宋_GB2312" w:hAnsi="仿宋_GB2312" w:cs="仿宋_GB2312"/>
          <w:u w:val="none"/>
          <w:lang w:val="en-US" w:eastAsia="zh-CN"/>
        </w:rPr>
        <w:t>万元，增长（下降）</w:t>
      </w:r>
      <w:r>
        <w:rPr>
          <w:rFonts w:hint="eastAsia" w:ascii="仿宋_GB2312" w:hAnsi="仿宋_GB2312" w:cs="仿宋_GB2312"/>
          <w:u w:val="single"/>
          <w:lang w:val="en-US" w:eastAsia="zh-CN"/>
        </w:rPr>
        <w:t>0</w:t>
      </w:r>
      <w:r>
        <w:rPr>
          <w:rFonts w:hint="eastAsia" w:ascii="仿宋_GB2312" w:hAnsi="仿宋_GB2312" w:cs="仿宋_GB2312"/>
          <w:u w:val="none"/>
          <w:lang w:val="en-US" w:eastAsia="zh-CN"/>
        </w:rPr>
        <w:t>%。</w:t>
      </w:r>
      <w:r>
        <w:rPr>
          <w:rFonts w:hint="eastAsia"/>
          <w:lang w:val="en-US" w:eastAsia="zh-CN"/>
        </w:rPr>
        <w:t>主要原因：我单位无</w:t>
      </w:r>
      <w:r>
        <w:rPr>
          <w:rFonts w:hint="eastAsia" w:ascii="仿宋_GB2312" w:eastAsia="仿宋_GB2312"/>
          <w:color w:val="000000"/>
          <w:sz w:val="32"/>
          <w:szCs w:val="32"/>
          <w:highlight w:val="none"/>
        </w:rPr>
        <w:t>公务接待费</w:t>
      </w:r>
      <w:r>
        <w:rPr>
          <w:rFonts w:hint="eastAsia"/>
          <w:lang w:val="en-US" w:eastAsia="zh-CN"/>
        </w:rPr>
        <w:t>。</w:t>
      </w:r>
    </w:p>
    <w:p w14:paraId="0AA70D39">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000000"/>
          <w:sz w:val="32"/>
          <w:szCs w:val="32"/>
          <w:highlight w:val="none"/>
          <w:u w:val="none"/>
          <w:lang w:val="en-US" w:eastAsia="zh-CN"/>
        </w:rPr>
      </w:pPr>
      <w:r>
        <w:rPr>
          <w:rFonts w:hint="eastAsia" w:ascii="仿宋_GB2312" w:eastAsia="仿宋_GB2312"/>
          <w:color w:val="000000"/>
          <w:sz w:val="32"/>
          <w:szCs w:val="32"/>
          <w:highlight w:val="none"/>
          <w:lang w:val="en-US" w:eastAsia="zh-CN"/>
        </w:rPr>
        <w:t>外宾接待支出</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u w:val="none"/>
          <w:lang w:val="en-US" w:eastAsia="zh-CN"/>
        </w:rPr>
        <w:t>万元。</w:t>
      </w:r>
      <w:r>
        <w:rPr>
          <w:rFonts w:hint="eastAsia" w:ascii="仿宋_GB2312"/>
          <w:color w:val="000000"/>
          <w:sz w:val="32"/>
          <w:szCs w:val="32"/>
          <w:highlight w:val="none"/>
          <w:u w:val="none"/>
          <w:lang w:val="en-US" w:eastAsia="zh-CN"/>
        </w:rPr>
        <w:t>2023年</w:t>
      </w:r>
      <w:r>
        <w:rPr>
          <w:rFonts w:hint="eastAsia" w:ascii="仿宋_GB2312" w:eastAsia="仿宋_GB2312"/>
          <w:color w:val="000000"/>
          <w:sz w:val="32"/>
          <w:szCs w:val="32"/>
          <w:highlight w:val="none"/>
          <w:u w:val="none"/>
          <w:lang w:val="en-US" w:eastAsia="zh-CN"/>
        </w:rPr>
        <w:t>共接待来访团组</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u w:val="none"/>
          <w:lang w:val="en-US" w:eastAsia="zh-CN"/>
        </w:rPr>
        <w:t>个，</w:t>
      </w:r>
      <w:r>
        <w:rPr>
          <w:rFonts w:hint="eastAsia" w:ascii="仿宋_GB2312" w:eastAsia="仿宋_GB2312"/>
          <w:color w:val="000000"/>
          <w:sz w:val="32"/>
          <w:szCs w:val="32"/>
          <w:highlight w:val="none"/>
          <w:u w:val="single"/>
          <w:lang w:val="en-US" w:eastAsia="zh-CN"/>
        </w:rPr>
        <w:t xml:space="preserve">     </w:t>
      </w:r>
      <w:r>
        <w:rPr>
          <w:rFonts w:hint="eastAsia" w:ascii="仿宋_GB2312"/>
          <w:color w:val="000000"/>
          <w:sz w:val="32"/>
          <w:szCs w:val="32"/>
          <w:highlight w:val="none"/>
          <w:u w:val="none"/>
          <w:lang w:val="en-US" w:eastAsia="zh-CN"/>
        </w:rPr>
        <w:t>0</w:t>
      </w:r>
      <w:r>
        <w:rPr>
          <w:rFonts w:hint="eastAsia" w:ascii="仿宋_GB2312" w:eastAsia="仿宋_GB2312"/>
          <w:color w:val="000000"/>
          <w:sz w:val="32"/>
          <w:szCs w:val="32"/>
          <w:highlight w:val="none"/>
          <w:u w:val="none"/>
          <w:lang w:val="en-US" w:eastAsia="zh-CN"/>
        </w:rPr>
        <w:t>人次（不包括陪同人员）。</w:t>
      </w:r>
    </w:p>
    <w:p w14:paraId="1D5F54F4">
      <w:pPr>
        <w:pageBreakBefore w:val="0"/>
        <w:widowControl w:val="0"/>
        <w:kinsoku/>
        <w:wordWrap/>
        <w:overflowPunct/>
        <w:topLinePunct w:val="0"/>
        <w:bidi w:val="0"/>
        <w:adjustRightInd w:val="0"/>
        <w:snapToGrid w:val="0"/>
        <w:spacing w:line="360" w:lineRule="auto"/>
        <w:ind w:firstLine="640" w:firstLineChars="200"/>
        <w:textAlignment w:val="auto"/>
        <w:rPr>
          <w:rFonts w:hint="default" w:ascii="仿宋_GB2312" w:eastAsia="仿宋_GB2312"/>
          <w:color w:val="000000"/>
          <w:sz w:val="32"/>
          <w:szCs w:val="32"/>
          <w:highlight w:val="none"/>
          <w:u w:val="none"/>
          <w:lang w:val="en-US" w:eastAsia="zh-CN"/>
        </w:rPr>
      </w:pPr>
      <w:r>
        <w:rPr>
          <w:rFonts w:hint="eastAsia" w:ascii="仿宋_GB2312" w:eastAsia="仿宋_GB2312"/>
          <w:color w:val="000000"/>
          <w:sz w:val="32"/>
          <w:szCs w:val="32"/>
          <w:highlight w:val="none"/>
          <w:u w:val="none"/>
          <w:lang w:val="en-US" w:eastAsia="zh-CN"/>
        </w:rPr>
        <w:t>国内公务接待支出</w:t>
      </w:r>
      <w:r>
        <w:rPr>
          <w:rFonts w:hint="eastAsia" w:ascii="仿宋_GB2312"/>
          <w:color w:val="000000"/>
          <w:sz w:val="32"/>
          <w:szCs w:val="32"/>
          <w:highlight w:val="none"/>
          <w:u w:val="none"/>
          <w:lang w:val="en-US" w:eastAsia="zh-CN"/>
        </w:rPr>
        <w:t>0</w:t>
      </w:r>
      <w:r>
        <w:rPr>
          <w:rFonts w:hint="eastAsia" w:ascii="仿宋_GB2312" w:eastAsia="仿宋_GB2312"/>
          <w:color w:val="000000"/>
          <w:sz w:val="32"/>
          <w:szCs w:val="32"/>
          <w:highlight w:val="none"/>
          <w:u w:val="none"/>
          <w:lang w:val="en-US" w:eastAsia="zh-CN"/>
        </w:rPr>
        <w:t>万元，</w:t>
      </w:r>
      <w:r>
        <w:rPr>
          <w:rFonts w:hint="eastAsia" w:ascii="仿宋_GB2312"/>
          <w:color w:val="000000"/>
          <w:sz w:val="32"/>
          <w:szCs w:val="32"/>
          <w:highlight w:val="none"/>
          <w:u w:val="none"/>
          <w:lang w:val="en-US" w:eastAsia="zh-CN"/>
        </w:rPr>
        <w:t>2023年</w:t>
      </w:r>
      <w:r>
        <w:rPr>
          <w:rFonts w:hint="eastAsia" w:ascii="仿宋_GB2312" w:eastAsia="仿宋_GB2312"/>
          <w:color w:val="000000"/>
          <w:sz w:val="32"/>
          <w:szCs w:val="32"/>
          <w:highlight w:val="none"/>
          <w:u w:val="none"/>
          <w:lang w:val="en-US" w:eastAsia="zh-CN"/>
        </w:rPr>
        <w:t>共接待国内来访团组</w:t>
      </w:r>
      <w:r>
        <w:rPr>
          <w:rFonts w:hint="eastAsia" w:ascii="仿宋_GB2312" w:eastAsia="仿宋_GB2312"/>
          <w:color w:val="000000"/>
          <w:sz w:val="32"/>
          <w:szCs w:val="32"/>
          <w:highlight w:val="none"/>
          <w:u w:val="single"/>
          <w:lang w:val="en-US" w:eastAsia="zh-CN"/>
        </w:rPr>
        <w:t xml:space="preserve">    </w:t>
      </w:r>
      <w:r>
        <w:rPr>
          <w:rFonts w:hint="eastAsia" w:ascii="仿宋_GB2312" w:eastAsia="仿宋_GB2312"/>
          <w:color w:val="000000"/>
          <w:sz w:val="32"/>
          <w:szCs w:val="32"/>
          <w:highlight w:val="none"/>
          <w:u w:val="none"/>
          <w:lang w:val="en-US" w:eastAsia="zh-CN"/>
        </w:rPr>
        <w:t>个，</w:t>
      </w:r>
      <w:r>
        <w:rPr>
          <w:rFonts w:hint="eastAsia" w:ascii="仿宋_GB2312"/>
          <w:color w:val="000000"/>
          <w:sz w:val="32"/>
          <w:szCs w:val="32"/>
          <w:highlight w:val="none"/>
          <w:u w:val="none"/>
          <w:lang w:val="en-US" w:eastAsia="zh-CN"/>
        </w:rPr>
        <w:t>0</w:t>
      </w:r>
      <w:r>
        <w:rPr>
          <w:rFonts w:hint="eastAsia" w:ascii="仿宋_GB2312" w:eastAsia="仿宋_GB2312"/>
          <w:color w:val="000000"/>
          <w:sz w:val="32"/>
          <w:szCs w:val="32"/>
          <w:highlight w:val="none"/>
          <w:u w:val="none"/>
          <w:lang w:val="en-US" w:eastAsia="zh-CN"/>
        </w:rPr>
        <w:t>人次（不包括陪同人员）。</w:t>
      </w:r>
    </w:p>
    <w:p w14:paraId="4F7338C2">
      <w:pPr>
        <w:numPr>
          <w:ilvl w:val="0"/>
          <w:numId w:val="0"/>
        </w:numPr>
        <w:bidi w:val="0"/>
        <w:ind w:leftChars="200"/>
        <w:rPr>
          <w:rFonts w:hint="eastAsia" w:ascii="黑体" w:hAnsi="黑体" w:eastAsia="黑体" w:cs="黑体"/>
          <w:lang w:val="en-US" w:eastAsia="zh-CN"/>
        </w:rPr>
      </w:pPr>
      <w:r>
        <w:rPr>
          <w:rFonts w:hint="eastAsia" w:ascii="黑体" w:hAnsi="黑体" w:eastAsia="黑体" w:cs="黑体"/>
          <w:lang w:val="en-US" w:eastAsia="zh-CN"/>
        </w:rPr>
        <w:t>十、机关运行经费支出说明</w:t>
      </w:r>
    </w:p>
    <w:p w14:paraId="390CE06A">
      <w:pPr>
        <w:pStyle w:val="7"/>
        <w:rPr>
          <w:rFonts w:hint="eastAsia" w:ascii="仿宋_GB2312" w:eastAsia="仿宋_GB2312"/>
          <w:szCs w:val="32"/>
          <w:lang w:val="en-US" w:eastAsia="zh-CN"/>
        </w:rPr>
      </w:pPr>
      <w:r>
        <w:rPr>
          <w:rFonts w:hint="eastAsia" w:ascii="仿宋_GB2312" w:eastAsia="仿宋_GB2312"/>
          <w:szCs w:val="32"/>
          <w:highlight w:val="none"/>
          <w:u w:val="none"/>
          <w:lang w:eastAsia="zh-CN"/>
        </w:rPr>
        <w:t>本单位</w:t>
      </w:r>
      <w:r>
        <w:rPr>
          <w:rFonts w:hint="eastAsia" w:ascii="仿宋_GB2312" w:eastAsia="仿宋_GB2312"/>
          <w:szCs w:val="32"/>
          <w:highlight w:val="none"/>
          <w:u w:val="none"/>
        </w:rPr>
        <w:t>202</w:t>
      </w:r>
      <w:r>
        <w:rPr>
          <w:rFonts w:hint="eastAsia" w:ascii="仿宋_GB2312" w:eastAsia="仿宋_GB2312"/>
          <w:szCs w:val="32"/>
          <w:highlight w:val="none"/>
          <w:u w:val="none"/>
          <w:lang w:val="en-US" w:eastAsia="zh-CN"/>
        </w:rPr>
        <w:t>3</w:t>
      </w:r>
      <w:r>
        <w:rPr>
          <w:rFonts w:hint="eastAsia" w:ascii="仿宋_GB2312" w:eastAsia="仿宋_GB2312"/>
          <w:szCs w:val="32"/>
          <w:highlight w:val="none"/>
          <w:u w:val="none"/>
        </w:rPr>
        <w:t>年</w:t>
      </w:r>
      <w:r>
        <w:rPr>
          <w:rFonts w:hint="eastAsia" w:ascii="仿宋_GB2312" w:eastAsia="仿宋_GB2312"/>
          <w:szCs w:val="32"/>
        </w:rPr>
        <w:t xml:space="preserve">度机关运行经费支出 </w:t>
      </w:r>
      <w:r>
        <w:rPr>
          <w:rFonts w:hint="eastAsia" w:ascii="仿宋_GB2312" w:eastAsia="仿宋_GB2312"/>
          <w:szCs w:val="32"/>
          <w:lang w:val="en-US" w:eastAsia="zh-CN"/>
        </w:rPr>
        <w:t>14.01</w:t>
      </w:r>
      <w:r>
        <w:rPr>
          <w:rFonts w:hint="eastAsia" w:ascii="仿宋_GB2312" w:eastAsia="仿宋_GB2312"/>
          <w:szCs w:val="32"/>
        </w:rPr>
        <w:t>万元</w:t>
      </w:r>
      <w:r>
        <w:rPr>
          <w:rFonts w:hint="eastAsia" w:ascii="仿宋_GB2312" w:eastAsia="仿宋_GB2312"/>
          <w:szCs w:val="32"/>
          <w:lang w:eastAsia="zh-CN"/>
        </w:rPr>
        <w:t>，</w:t>
      </w:r>
      <w:r>
        <w:rPr>
          <w:rFonts w:hint="eastAsia" w:ascii="仿宋_GB2312" w:eastAsia="仿宋_GB2312"/>
          <w:szCs w:val="32"/>
        </w:rPr>
        <w:t>比年</w:t>
      </w:r>
      <w:r>
        <w:rPr>
          <w:rFonts w:hint="eastAsia" w:ascii="仿宋_GB2312" w:eastAsia="仿宋_GB2312"/>
          <w:szCs w:val="32"/>
          <w:lang w:eastAsia="zh-CN"/>
        </w:rPr>
        <w:t>上年决算数</w:t>
      </w:r>
      <w:r>
        <w:rPr>
          <w:rFonts w:hint="eastAsia" w:ascii="仿宋_GB2312" w:eastAsia="仿宋_GB2312"/>
          <w:szCs w:val="32"/>
        </w:rPr>
        <w:t>减少</w:t>
      </w:r>
      <w:r>
        <w:rPr>
          <w:rFonts w:hint="eastAsia" w:ascii="仿宋_GB2312" w:eastAsia="仿宋_GB2312"/>
          <w:szCs w:val="32"/>
          <w:lang w:val="en-US" w:eastAsia="zh-CN"/>
        </w:rPr>
        <w:t>0.72</w:t>
      </w:r>
      <w:r>
        <w:rPr>
          <w:rFonts w:hint="eastAsia" w:ascii="仿宋_GB2312" w:eastAsia="仿宋_GB2312"/>
          <w:szCs w:val="32"/>
        </w:rPr>
        <w:t>万元，降低</w:t>
      </w:r>
      <w:r>
        <w:rPr>
          <w:rFonts w:hint="eastAsia" w:ascii="仿宋_GB2312" w:eastAsia="仿宋_GB2312"/>
          <w:szCs w:val="32"/>
          <w:lang w:val="en-US" w:eastAsia="zh-CN"/>
        </w:rPr>
        <w:t>24</w:t>
      </w:r>
      <w:r>
        <w:rPr>
          <w:rFonts w:hint="eastAsia" w:ascii="仿宋_GB2312" w:eastAsia="仿宋_GB2312"/>
          <w:szCs w:val="32"/>
        </w:rPr>
        <w:t>%。</w:t>
      </w:r>
      <w:r>
        <w:rPr>
          <w:rFonts w:hint="eastAsia" w:ascii="仿宋" w:hAnsi="仿宋" w:eastAsia="仿宋" w:cs="仿宋"/>
          <w:kern w:val="2"/>
          <w:sz w:val="32"/>
          <w:szCs w:val="32"/>
          <w:highlight w:val="none"/>
          <w:lang w:val="en-US" w:eastAsia="zh-CN" w:bidi="ar-SA"/>
        </w:rPr>
        <w:t>主要原因</w:t>
      </w:r>
      <w:r>
        <w:rPr>
          <w:rFonts w:hint="eastAsia" w:ascii="仿宋_GB2312" w:eastAsia="仿宋_GB2312"/>
          <w:szCs w:val="32"/>
          <w:lang w:val="en-US" w:eastAsia="zh-CN"/>
        </w:rPr>
        <w:t>是落实过紧日子要求压减了办公经费，差旅费、邮电费相应减少。</w:t>
      </w:r>
    </w:p>
    <w:p w14:paraId="7A2AFDCB">
      <w:pPr>
        <w:numPr>
          <w:ilvl w:val="0"/>
          <w:numId w:val="0"/>
        </w:numPr>
        <w:bidi w:val="0"/>
        <w:ind w:leftChars="200"/>
        <w:rPr>
          <w:rFonts w:hint="eastAsia" w:ascii="黑体" w:hAnsi="黑体" w:eastAsia="黑体" w:cs="黑体"/>
          <w:lang w:val="en-US" w:eastAsia="zh-CN"/>
        </w:rPr>
      </w:pPr>
      <w:r>
        <w:rPr>
          <w:rFonts w:hint="eastAsia" w:ascii="黑体" w:hAnsi="黑体" w:eastAsia="黑体" w:cs="黑体"/>
          <w:lang w:val="en-US" w:eastAsia="zh-CN"/>
        </w:rPr>
        <w:t>十一、政府采购支出说明</w:t>
      </w:r>
    </w:p>
    <w:p w14:paraId="10AC3897">
      <w:pPr>
        <w:numPr>
          <w:ilvl w:val="0"/>
          <w:numId w:val="0"/>
        </w:numPr>
        <w:bidi w:val="0"/>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 202</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年度政府采购支出总额</w:t>
      </w:r>
      <w:r>
        <w:rPr>
          <w:rFonts w:hint="eastAsia" w:ascii="仿宋_GB2312" w:hAnsi="仿宋_GB2312" w:cs="仿宋_GB2312"/>
          <w:sz w:val="32"/>
          <w:szCs w:val="32"/>
          <w:highlight w:val="none"/>
          <w:lang w:val="en-US" w:eastAsia="zh-CN"/>
        </w:rPr>
        <w:t>97.3</w:t>
      </w:r>
      <w:r>
        <w:rPr>
          <w:rFonts w:hint="eastAsia" w:ascii="仿宋_GB2312" w:hAnsi="仿宋_GB2312" w:eastAsia="仿宋_GB2312" w:cs="仿宋_GB2312"/>
          <w:sz w:val="32"/>
          <w:szCs w:val="32"/>
          <w:highlight w:val="none"/>
        </w:rPr>
        <w:t xml:space="preserve">万元，其中：政府采购货物支出 </w:t>
      </w:r>
      <w:r>
        <w:rPr>
          <w:rFonts w:hint="eastAsia" w:ascii="仿宋_GB2312" w:hAnsi="仿宋_GB2312" w:cs="仿宋_GB2312"/>
          <w:sz w:val="32"/>
          <w:szCs w:val="32"/>
          <w:highlight w:val="none"/>
          <w:lang w:val="en-US" w:eastAsia="zh-CN"/>
        </w:rPr>
        <w:t>4.8</w:t>
      </w:r>
      <w:r>
        <w:rPr>
          <w:rFonts w:hint="eastAsia" w:ascii="仿宋_GB2312" w:hAnsi="仿宋_GB2312" w:eastAsia="仿宋_GB2312" w:cs="仿宋_GB2312"/>
          <w:sz w:val="32"/>
          <w:szCs w:val="32"/>
          <w:highlight w:val="none"/>
        </w:rPr>
        <w:t xml:space="preserve">万元、政府采购工程支出 </w:t>
      </w:r>
      <w:r>
        <w:rPr>
          <w:rFonts w:hint="eastAsia" w:ascii="仿宋_GB2312" w:hAnsi="仿宋_GB2312" w:cs="仿宋_GB2312"/>
          <w:sz w:val="32"/>
          <w:szCs w:val="32"/>
          <w:highlight w:val="none"/>
          <w:lang w:val="en-US" w:eastAsia="zh-CN"/>
        </w:rPr>
        <w:t>0</w:t>
      </w:r>
      <w:r>
        <w:rPr>
          <w:rFonts w:hint="eastAsia" w:ascii="仿宋_GB2312" w:hAnsi="仿宋_GB2312" w:eastAsia="仿宋_GB2312" w:cs="仿宋_GB2312"/>
          <w:sz w:val="32"/>
          <w:szCs w:val="32"/>
          <w:highlight w:val="none"/>
        </w:rPr>
        <w:t xml:space="preserve"> 万元、政府采购服务支出 </w:t>
      </w:r>
      <w:r>
        <w:rPr>
          <w:rFonts w:hint="eastAsia" w:ascii="仿宋_GB2312" w:hAnsi="仿宋_GB2312" w:cs="仿宋_GB2312"/>
          <w:sz w:val="32"/>
          <w:szCs w:val="32"/>
          <w:highlight w:val="none"/>
          <w:lang w:val="en-US" w:eastAsia="zh-CN"/>
        </w:rPr>
        <w:t>92.5</w:t>
      </w:r>
      <w:r>
        <w:rPr>
          <w:rFonts w:hint="eastAsia" w:ascii="仿宋_GB2312" w:hAnsi="仿宋_GB2312" w:eastAsia="仿宋_GB2312" w:cs="仿宋_GB2312"/>
          <w:sz w:val="32"/>
          <w:szCs w:val="32"/>
          <w:highlight w:val="none"/>
        </w:rPr>
        <w:t>万元。授予中小企业合同金额</w:t>
      </w:r>
      <w:r>
        <w:rPr>
          <w:rFonts w:hint="eastAsia" w:ascii="仿宋_GB2312" w:hAnsi="仿宋_GB2312" w:cs="仿宋_GB2312"/>
          <w:sz w:val="32"/>
          <w:szCs w:val="32"/>
          <w:highlight w:val="none"/>
          <w:lang w:val="en-US" w:eastAsia="zh-CN"/>
        </w:rPr>
        <w:t>97.3</w:t>
      </w:r>
      <w:r>
        <w:rPr>
          <w:rFonts w:hint="eastAsia" w:ascii="仿宋_GB2312" w:hAnsi="仿宋_GB2312" w:eastAsia="仿宋_GB2312" w:cs="仿宋_GB2312"/>
          <w:sz w:val="32"/>
          <w:szCs w:val="32"/>
          <w:highlight w:val="none"/>
        </w:rPr>
        <w:t>万元，占政府采购支出总额的</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%，其中：授予小微企业合同金额</w:t>
      </w:r>
      <w:r>
        <w:rPr>
          <w:rFonts w:hint="eastAsia" w:ascii="仿宋_GB2312" w:hAnsi="仿宋_GB2312" w:cs="仿宋_GB2312"/>
          <w:sz w:val="32"/>
          <w:szCs w:val="32"/>
          <w:highlight w:val="none"/>
          <w:lang w:val="en-US" w:eastAsia="zh-CN"/>
        </w:rPr>
        <w:t>97.3</w:t>
      </w:r>
      <w:r>
        <w:rPr>
          <w:rFonts w:hint="eastAsia" w:ascii="仿宋_GB2312" w:hAnsi="仿宋_GB2312" w:eastAsia="仿宋_GB2312" w:cs="仿宋_GB2312"/>
          <w:sz w:val="32"/>
          <w:szCs w:val="32"/>
          <w:highlight w:val="none"/>
        </w:rPr>
        <w:t>万元，占授予中小企业合同金额的</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%；货物采购授予中小企业合同金额占货物支出金额的</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%，工程采购授予中小企业合同金额占工程支出金额的</w:t>
      </w:r>
      <w:r>
        <w:rPr>
          <w:rFonts w:hint="eastAsia" w:ascii="仿宋_GB2312" w:hAnsi="仿宋_GB2312" w:cs="仿宋_GB2312"/>
          <w:sz w:val="32"/>
          <w:szCs w:val="32"/>
          <w:highlight w:val="none"/>
          <w:lang w:val="en-US" w:eastAsia="zh-CN"/>
        </w:rPr>
        <w:t>0</w:t>
      </w:r>
      <w:r>
        <w:rPr>
          <w:rFonts w:hint="eastAsia" w:ascii="仿宋_GB2312" w:hAnsi="仿宋_GB2312" w:eastAsia="仿宋_GB2312" w:cs="仿宋_GB2312"/>
          <w:sz w:val="32"/>
          <w:szCs w:val="32"/>
          <w:highlight w:val="none"/>
        </w:rPr>
        <w:t>%，服务采购授予中小企业合同金额占服务支出金额的</w:t>
      </w:r>
      <w:r>
        <w:rPr>
          <w:rFonts w:hint="eastAsia" w:ascii="仿宋_GB2312" w:hAnsi="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p>
    <w:p w14:paraId="4BB7062C">
      <w:pPr>
        <w:numPr>
          <w:ilvl w:val="0"/>
          <w:numId w:val="0"/>
        </w:numPr>
        <w:bidi w:val="0"/>
        <w:ind w:leftChars="200"/>
        <w:rPr>
          <w:rFonts w:hint="eastAsia" w:ascii="黑体" w:hAnsi="黑体" w:eastAsia="黑体" w:cs="黑体"/>
          <w:lang w:val="en-US" w:eastAsia="zh-CN"/>
        </w:rPr>
      </w:pPr>
      <w:r>
        <w:rPr>
          <w:rFonts w:hint="eastAsia" w:ascii="黑体" w:hAnsi="黑体" w:eastAsia="黑体" w:cs="黑体"/>
          <w:lang w:val="en-US" w:eastAsia="zh-CN"/>
        </w:rPr>
        <w:t>十二、国有资产占用情况说明</w:t>
      </w:r>
    </w:p>
    <w:p w14:paraId="4E1462A3">
      <w:pPr>
        <w:bidi w:val="0"/>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截至</w:t>
      </w:r>
      <w:r>
        <w:rPr>
          <w:rFonts w:hint="eastAsia" w:ascii="仿宋_GB2312" w:hAnsi="仿宋_GB2312" w:cs="仿宋_GB2312"/>
          <w:szCs w:val="32"/>
          <w:lang w:val="en-US" w:eastAsia="zh-CN"/>
        </w:rPr>
        <w:t>2023</w:t>
      </w:r>
      <w:r>
        <w:rPr>
          <w:rFonts w:hint="eastAsia" w:ascii="仿宋_GB2312" w:hAnsi="仿宋_GB2312" w:eastAsia="仿宋_GB2312" w:cs="仿宋_GB2312"/>
          <w:szCs w:val="32"/>
        </w:rPr>
        <w:t xml:space="preserve">年 12月31日，部门共有车辆 </w:t>
      </w:r>
      <w:r>
        <w:rPr>
          <w:rFonts w:hint="eastAsia" w:ascii="仿宋_GB2312" w:hAnsi="仿宋_GB2312" w:cs="仿宋_GB2312"/>
          <w:szCs w:val="32"/>
          <w:lang w:val="en-US" w:eastAsia="zh-CN"/>
        </w:rPr>
        <w:t>1</w:t>
      </w:r>
      <w:r>
        <w:rPr>
          <w:rFonts w:hint="eastAsia" w:ascii="仿宋_GB2312" w:hAnsi="仿宋_GB2312" w:eastAsia="仿宋_GB2312" w:cs="仿宋_GB2312"/>
          <w:szCs w:val="32"/>
        </w:rPr>
        <w:t xml:space="preserve"> 辆，其中，副省级及以上领导干部用车</w:t>
      </w:r>
      <w:r>
        <w:rPr>
          <w:rFonts w:hint="eastAsia" w:ascii="仿宋_GB2312" w:hAnsi="仿宋_GB2312" w:cs="仿宋_GB2312"/>
          <w:szCs w:val="32"/>
          <w:lang w:val="en-US" w:eastAsia="zh-CN"/>
        </w:rPr>
        <w:t>0</w:t>
      </w:r>
      <w:r>
        <w:rPr>
          <w:rFonts w:hint="eastAsia" w:ascii="仿宋_GB2312" w:hAnsi="仿宋_GB2312" w:eastAsia="仿宋_GB2312" w:cs="仿宋_GB2312"/>
          <w:szCs w:val="32"/>
        </w:rPr>
        <w:t xml:space="preserve"> 辆、主要领导干部用车</w:t>
      </w:r>
      <w:r>
        <w:rPr>
          <w:rFonts w:hint="eastAsia" w:ascii="仿宋_GB2312" w:hAnsi="仿宋_GB2312" w:cs="仿宋_GB2312"/>
          <w:szCs w:val="32"/>
          <w:lang w:val="en-US" w:eastAsia="zh-CN"/>
        </w:rPr>
        <w:t>0</w:t>
      </w:r>
      <w:r>
        <w:rPr>
          <w:rFonts w:hint="eastAsia" w:ascii="仿宋_GB2312" w:hAnsi="仿宋_GB2312" w:eastAsia="仿宋_GB2312" w:cs="仿宋_GB2312"/>
          <w:szCs w:val="32"/>
        </w:rPr>
        <w:t>辆、机要通信用车</w:t>
      </w:r>
      <w:r>
        <w:rPr>
          <w:rFonts w:hint="eastAsia" w:ascii="仿宋_GB2312" w:hAnsi="仿宋_GB2312" w:cs="仿宋_GB2312"/>
          <w:szCs w:val="32"/>
          <w:lang w:val="en-US" w:eastAsia="zh-CN"/>
        </w:rPr>
        <w:t>0</w:t>
      </w:r>
      <w:r>
        <w:rPr>
          <w:rFonts w:hint="eastAsia" w:ascii="仿宋_GB2312" w:hAnsi="仿宋_GB2312" w:eastAsia="仿宋_GB2312" w:cs="仿宋_GB2312"/>
          <w:szCs w:val="32"/>
        </w:rPr>
        <w:t>辆、应急保障用车</w:t>
      </w:r>
      <w:r>
        <w:rPr>
          <w:rFonts w:hint="eastAsia" w:ascii="仿宋_GB2312" w:hAnsi="仿宋_GB2312" w:cs="仿宋_GB2312"/>
          <w:szCs w:val="32"/>
          <w:lang w:val="en-US" w:eastAsia="zh-CN"/>
        </w:rPr>
        <w:t>0</w:t>
      </w:r>
      <w:r>
        <w:rPr>
          <w:rFonts w:hint="eastAsia" w:ascii="仿宋_GB2312" w:hAnsi="仿宋_GB2312" w:eastAsia="仿宋_GB2312" w:cs="仿宋_GB2312"/>
          <w:szCs w:val="32"/>
        </w:rPr>
        <w:t>辆、执法执勤用车</w:t>
      </w:r>
      <w:r>
        <w:rPr>
          <w:rFonts w:hint="eastAsia" w:ascii="仿宋_GB2312" w:hAnsi="仿宋_GB2312" w:cs="仿宋_GB2312"/>
          <w:szCs w:val="32"/>
          <w:lang w:val="en-US" w:eastAsia="zh-CN"/>
        </w:rPr>
        <w:t>0</w:t>
      </w:r>
      <w:r>
        <w:rPr>
          <w:rFonts w:hint="eastAsia" w:ascii="仿宋_GB2312" w:hAnsi="仿宋_GB2312" w:eastAsia="仿宋_GB2312" w:cs="仿宋_GB2312"/>
          <w:szCs w:val="32"/>
        </w:rPr>
        <w:t>辆、特种专业技术用车</w:t>
      </w:r>
      <w:r>
        <w:rPr>
          <w:rFonts w:hint="eastAsia" w:ascii="仿宋_GB2312" w:hAnsi="仿宋_GB2312" w:cs="仿宋_GB2312"/>
          <w:szCs w:val="32"/>
          <w:lang w:val="en-US" w:eastAsia="zh-CN"/>
        </w:rPr>
        <w:t>0</w:t>
      </w:r>
      <w:r>
        <w:rPr>
          <w:rFonts w:hint="eastAsia" w:ascii="仿宋_GB2312" w:hAnsi="仿宋_GB2312" w:eastAsia="仿宋_GB2312" w:cs="仿宋_GB2312"/>
          <w:szCs w:val="32"/>
        </w:rPr>
        <w:t>辆、其他用车</w:t>
      </w:r>
      <w:r>
        <w:rPr>
          <w:rFonts w:hint="eastAsia" w:ascii="仿宋_GB2312" w:hAnsi="仿宋_GB2312" w:cs="仿宋_GB2312"/>
          <w:szCs w:val="32"/>
          <w:lang w:val="en-US" w:eastAsia="zh-CN"/>
        </w:rPr>
        <w:t>1</w:t>
      </w:r>
      <w:r>
        <w:rPr>
          <w:rFonts w:hint="eastAsia" w:ascii="仿宋_GB2312" w:hAnsi="仿宋_GB2312" w:eastAsia="仿宋_GB2312" w:cs="仿宋_GB2312"/>
          <w:szCs w:val="32"/>
        </w:rPr>
        <w:t xml:space="preserve"> 辆，其他用车主要是</w:t>
      </w:r>
      <w:r>
        <w:rPr>
          <w:rFonts w:hint="eastAsia" w:ascii="仿宋_GB2312" w:hAnsi="仿宋_GB2312" w:cs="仿宋_GB2312"/>
          <w:szCs w:val="32"/>
          <w:lang w:eastAsia="zh-CN"/>
        </w:rPr>
        <w:t>因公车改革，已上交党政办，资产未处置</w:t>
      </w:r>
      <w:r>
        <w:rPr>
          <w:rFonts w:hint="eastAsia" w:ascii="仿宋_GB2312" w:hAnsi="仿宋_GB2312" w:eastAsia="仿宋_GB2312" w:cs="仿宋_GB2312"/>
          <w:szCs w:val="32"/>
        </w:rPr>
        <w:t>；单位价值 100万元以上设备（不含车辆）</w:t>
      </w:r>
      <w:r>
        <w:rPr>
          <w:rFonts w:hint="eastAsia" w:ascii="仿宋_GB2312" w:hAnsi="仿宋_GB2312" w:cs="仿宋_GB2312"/>
          <w:szCs w:val="32"/>
          <w:lang w:val="en-US" w:eastAsia="zh-CN"/>
        </w:rPr>
        <w:t>0</w:t>
      </w:r>
      <w:r>
        <w:rPr>
          <w:rFonts w:hint="eastAsia" w:ascii="仿宋_GB2312" w:hAnsi="仿宋_GB2312" w:eastAsia="仿宋_GB2312" w:cs="仿宋_GB2312"/>
          <w:szCs w:val="32"/>
        </w:rPr>
        <w:t>台（套）。</w:t>
      </w:r>
    </w:p>
    <w:p w14:paraId="0DA98EDF">
      <w:p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十三、预算绩效情况说明</w:t>
      </w:r>
    </w:p>
    <w:p w14:paraId="62D60A33">
      <w:pPr>
        <w:bidi w:val="0"/>
        <w:ind w:firstLine="640" w:firstLineChars="200"/>
        <w:rPr>
          <w:rFonts w:hint="eastAsia" w:ascii="楷体_GB2312" w:hAnsi="楷体_GB2312" w:eastAsia="楷体_GB2312" w:cs="楷体_GB2312"/>
          <w:lang w:eastAsia="zh-CN"/>
        </w:rPr>
      </w:pPr>
      <w:r>
        <w:rPr>
          <w:rFonts w:hint="eastAsia" w:ascii="楷体_GB2312" w:hAnsi="楷体_GB2312" w:eastAsia="楷体_GB2312" w:cs="楷体_GB2312"/>
          <w:lang w:val="en-US" w:eastAsia="zh-CN"/>
        </w:rPr>
        <w:t>(一)</w:t>
      </w:r>
      <w:r>
        <w:rPr>
          <w:rFonts w:hint="eastAsia" w:ascii="楷体_GB2312" w:hAnsi="楷体_GB2312" w:eastAsia="楷体_GB2312" w:cs="楷体_GB2312"/>
        </w:rPr>
        <w:t>预算绩效管理工作开展情况</w:t>
      </w:r>
      <w:r>
        <w:rPr>
          <w:rFonts w:hint="eastAsia" w:ascii="楷体_GB2312" w:hAnsi="楷体_GB2312" w:eastAsia="楷体_GB2312" w:cs="楷体_GB2312"/>
          <w:lang w:eastAsia="zh-CN"/>
        </w:rPr>
        <w:t>。</w:t>
      </w:r>
    </w:p>
    <w:p w14:paraId="3B829869">
      <w:pPr>
        <w:ind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lang w:val="en-US" w:eastAsia="zh-CN" w:bidi="ar-SA"/>
        </w:rPr>
        <w:t>根据预算绩效管理要求，本部门组织对2023年度一般公共预算项目支出全面开展绩效自评，共涉及项目8个，资金204.55万元，占一般公共预算项目支出总额的100％。从评价情况来看，2023年财政项目均按照要求完</w:t>
      </w:r>
      <w:r>
        <w:rPr>
          <w:rFonts w:hint="eastAsia" w:ascii="仿宋" w:hAnsi="仿宋" w:eastAsia="仿宋" w:cs="仿宋"/>
          <w:kern w:val="2"/>
          <w:sz w:val="32"/>
          <w:szCs w:val="32"/>
          <w:highlight w:val="none"/>
          <w:lang w:val="en-US" w:eastAsia="zh-CN" w:bidi="ar-SA"/>
        </w:rPr>
        <w:t>成，主要是预算绩效管理、</w:t>
      </w:r>
      <w:r>
        <w:rPr>
          <w:rFonts w:hint="eastAsia" w:ascii="仿宋_GB2312" w:hAnsi="宋体" w:eastAsia="仿宋_GB2312" w:cs="仿宋_GB2312"/>
          <w:kern w:val="0"/>
          <w:highlight w:val="none"/>
          <w:lang w:val="en-US" w:eastAsia="zh-CN"/>
        </w:rPr>
        <w:t>金融“早春行”活动</w:t>
      </w:r>
      <w:r>
        <w:rPr>
          <w:rFonts w:hint="eastAsia" w:ascii="仿宋" w:hAnsi="仿宋" w:eastAsia="仿宋" w:cs="仿宋"/>
          <w:kern w:val="2"/>
          <w:sz w:val="32"/>
          <w:szCs w:val="32"/>
          <w:highlight w:val="none"/>
          <w:lang w:val="en-US" w:eastAsia="zh-CN" w:bidi="ar-SA"/>
        </w:rPr>
        <w:t>、</w:t>
      </w:r>
      <w:r>
        <w:rPr>
          <w:rFonts w:hint="eastAsia" w:ascii="仿宋_GB2312" w:hAnsi="宋体" w:eastAsia="仿宋_GB2312" w:cs="仿宋_GB2312"/>
          <w:kern w:val="0"/>
          <w:highlight w:val="none"/>
          <w:lang w:val="en-US" w:eastAsia="zh-CN"/>
        </w:rPr>
        <w:t>一卡通突出问题专项治理</w:t>
      </w:r>
      <w:r>
        <w:rPr>
          <w:rFonts w:hint="eastAsia" w:ascii="仿宋" w:hAnsi="仿宋" w:eastAsia="仿宋" w:cs="仿宋"/>
          <w:kern w:val="2"/>
          <w:sz w:val="32"/>
          <w:szCs w:val="32"/>
          <w:highlight w:val="none"/>
          <w:lang w:val="en-US" w:eastAsia="zh-CN" w:bidi="ar-SA"/>
        </w:rPr>
        <w:t>、会计代理服务、资产编报服务、预算一体化、防范金融风险业务、</w:t>
      </w:r>
      <w:r>
        <w:rPr>
          <w:rFonts w:hint="eastAsia" w:ascii="仿宋_GB2312" w:hAnsi="宋体" w:cs="仿宋_GB2312"/>
          <w:kern w:val="0"/>
          <w:highlight w:val="none"/>
          <w:lang w:eastAsia="zh-CN"/>
        </w:rPr>
        <w:t>购置国产打印机</w:t>
      </w:r>
      <w:r>
        <w:rPr>
          <w:rFonts w:hint="eastAsia" w:ascii="仿宋" w:hAnsi="仿宋" w:eastAsia="仿宋" w:cs="仿宋"/>
          <w:kern w:val="2"/>
          <w:sz w:val="32"/>
          <w:szCs w:val="32"/>
          <w:highlight w:val="none"/>
          <w:lang w:val="en-US" w:eastAsia="zh-CN" w:bidi="ar-SA"/>
        </w:rPr>
        <w:t>等，项目手续齐全，资金支付按合同要求执行，整体评价较好。</w:t>
      </w:r>
    </w:p>
    <w:p w14:paraId="67E31707">
      <w:pPr>
        <w:pStyle w:val="7"/>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部门决算中项目绩效自评结果。</w:t>
      </w:r>
    </w:p>
    <w:p w14:paraId="7AEA5D6C">
      <w:pPr>
        <w:spacing w:line="560" w:lineRule="exact"/>
        <w:ind w:firstLine="640"/>
        <w:rPr>
          <w:rFonts w:hint="eastAsia" w:ascii="仿宋_GB2312" w:hAnsi="仿宋" w:eastAsia="仿宋_GB2312" w:cs="仿宋"/>
          <w:sz w:val="32"/>
          <w:szCs w:val="32"/>
        </w:rPr>
      </w:pPr>
      <w:r>
        <w:rPr>
          <w:rFonts w:hint="eastAsia" w:ascii="仿宋_GB2312" w:hAnsi="仿宋" w:cs="仿宋"/>
          <w:sz w:val="32"/>
          <w:szCs w:val="32"/>
          <w:lang w:eastAsia="zh-CN"/>
        </w:rPr>
        <w:t>预算绩效管理</w:t>
      </w:r>
      <w:r>
        <w:rPr>
          <w:rFonts w:hint="eastAsia" w:ascii="仿宋_GB2312" w:hAnsi="仿宋" w:eastAsia="仿宋_GB2312" w:cs="仿宋"/>
          <w:sz w:val="32"/>
          <w:szCs w:val="32"/>
        </w:rPr>
        <w:t>项目绩效自评综述：全年预算数为</w:t>
      </w:r>
      <w:r>
        <w:rPr>
          <w:rFonts w:hint="eastAsia" w:ascii="仿宋_GB2312" w:hAnsi="仿宋" w:cs="仿宋"/>
          <w:sz w:val="32"/>
          <w:szCs w:val="32"/>
          <w:lang w:val="en-US" w:eastAsia="zh-CN"/>
        </w:rPr>
        <w:t>77</w:t>
      </w:r>
      <w:r>
        <w:rPr>
          <w:rFonts w:hint="eastAsia" w:ascii="仿宋_GB2312" w:hAnsi="仿宋" w:eastAsia="仿宋_GB2312" w:cs="仿宋"/>
          <w:sz w:val="32"/>
          <w:szCs w:val="32"/>
        </w:rPr>
        <w:t>万元，执行数为</w:t>
      </w:r>
      <w:r>
        <w:rPr>
          <w:rFonts w:hint="eastAsia" w:ascii="仿宋_GB2312" w:hAnsi="仿宋" w:cs="仿宋"/>
          <w:sz w:val="32"/>
          <w:szCs w:val="32"/>
          <w:lang w:val="en-US" w:eastAsia="zh-CN"/>
        </w:rPr>
        <w:t>57</w:t>
      </w:r>
      <w:r>
        <w:rPr>
          <w:rFonts w:hint="eastAsia" w:ascii="仿宋_GB2312" w:hAnsi="仿宋" w:eastAsia="仿宋_GB2312" w:cs="仿宋"/>
          <w:sz w:val="32"/>
          <w:szCs w:val="32"/>
        </w:rPr>
        <w:t>万元，完成预算</w:t>
      </w:r>
      <w:r>
        <w:rPr>
          <w:rFonts w:hint="eastAsia" w:ascii="仿宋_GB2312" w:hAnsi="宋体" w:eastAsia="仿宋_GB2312" w:cs="Times New Roman"/>
          <w:kern w:val="0"/>
          <w:lang w:val="en-US" w:eastAsia="zh-CN"/>
        </w:rPr>
        <w:t>74.03%</w:t>
      </w:r>
      <w:r>
        <w:rPr>
          <w:rFonts w:hint="eastAsia" w:ascii="仿宋_GB2312" w:hAnsi="仿宋" w:eastAsia="仿宋_GB2312" w:cs="仿宋"/>
          <w:sz w:val="32"/>
          <w:szCs w:val="32"/>
        </w:rPr>
        <w:t>。主要产出和效益：一是</w:t>
      </w:r>
      <w:r>
        <w:rPr>
          <w:rFonts w:hint="eastAsia" w:ascii="仿宋_GB2312" w:hAnsi="仿宋" w:cs="仿宋"/>
          <w:sz w:val="32"/>
          <w:szCs w:val="32"/>
          <w:lang w:eastAsia="zh-CN"/>
        </w:rPr>
        <w:t>做好全区的绩效工作，提高资金使用效益</w:t>
      </w:r>
      <w:r>
        <w:rPr>
          <w:rFonts w:hint="eastAsia" w:ascii="仿宋_GB2312" w:hAnsi="仿宋" w:eastAsia="仿宋_GB2312" w:cs="仿宋"/>
          <w:sz w:val="32"/>
          <w:szCs w:val="32"/>
        </w:rPr>
        <w:t>；二是</w:t>
      </w:r>
      <w:r>
        <w:rPr>
          <w:rFonts w:hint="eastAsia" w:ascii="仿宋_GB2312" w:hAnsi="仿宋" w:cs="仿宋"/>
          <w:sz w:val="32"/>
          <w:szCs w:val="32"/>
          <w:lang w:eastAsia="zh-CN"/>
        </w:rPr>
        <w:t>加大预算绩效管理力度</w:t>
      </w:r>
      <w:r>
        <w:rPr>
          <w:rFonts w:hint="eastAsia" w:ascii="仿宋_GB2312" w:hAnsi="仿宋" w:eastAsia="仿宋_GB2312" w:cs="仿宋"/>
          <w:sz w:val="32"/>
          <w:szCs w:val="32"/>
        </w:rPr>
        <w:t>。下一步改进措施：</w:t>
      </w:r>
      <w:r>
        <w:rPr>
          <w:rFonts w:hint="eastAsia" w:ascii="仿宋_GB2312" w:hAnsi="仿宋" w:cs="仿宋"/>
          <w:sz w:val="32"/>
          <w:szCs w:val="32"/>
          <w:lang w:eastAsia="zh-CN"/>
        </w:rPr>
        <w:t>加强预算绩效管理水平，优化财政资源配置</w:t>
      </w:r>
      <w:r>
        <w:rPr>
          <w:rFonts w:hint="eastAsia" w:ascii="仿宋_GB2312" w:hAnsi="仿宋" w:eastAsia="仿宋_GB2312" w:cs="仿宋"/>
          <w:sz w:val="32"/>
          <w:szCs w:val="32"/>
        </w:rPr>
        <w:t>。</w:t>
      </w:r>
    </w:p>
    <w:p w14:paraId="0EB8A9DA">
      <w:pPr>
        <w:spacing w:line="560" w:lineRule="exact"/>
        <w:ind w:firstLine="640"/>
        <w:rPr>
          <w:rFonts w:hint="eastAsia" w:ascii="仿宋" w:hAnsi="仿宋" w:eastAsia="仿宋" w:cs="仿宋"/>
          <w:kern w:val="2"/>
          <w:sz w:val="32"/>
          <w:szCs w:val="32"/>
          <w:lang w:val="en-US" w:eastAsia="zh-CN" w:bidi="ar-SA"/>
        </w:rPr>
      </w:pPr>
      <w:r>
        <w:rPr>
          <w:rFonts w:hint="eastAsia" w:ascii="仿宋_GB2312" w:hAnsi="仿宋" w:cs="仿宋"/>
          <w:sz w:val="32"/>
          <w:szCs w:val="32"/>
          <w:lang w:eastAsia="zh-CN"/>
        </w:rPr>
        <w:t>会计代理服务</w:t>
      </w:r>
      <w:r>
        <w:rPr>
          <w:rFonts w:hint="eastAsia" w:ascii="仿宋_GB2312" w:hAnsi="仿宋" w:eastAsia="仿宋_GB2312" w:cs="仿宋"/>
          <w:sz w:val="32"/>
          <w:szCs w:val="32"/>
        </w:rPr>
        <w:t>项目绩效自评综述：全年预算数为</w:t>
      </w:r>
      <w:r>
        <w:rPr>
          <w:rFonts w:hint="eastAsia" w:ascii="仿宋_GB2312" w:hAnsi="仿宋" w:cs="仿宋"/>
          <w:sz w:val="32"/>
          <w:szCs w:val="32"/>
          <w:lang w:val="en-US" w:eastAsia="zh-CN"/>
        </w:rPr>
        <w:t>34.5</w:t>
      </w:r>
      <w:r>
        <w:rPr>
          <w:rFonts w:hint="eastAsia" w:ascii="仿宋_GB2312" w:hAnsi="仿宋" w:eastAsia="仿宋_GB2312" w:cs="仿宋"/>
          <w:sz w:val="32"/>
          <w:szCs w:val="32"/>
        </w:rPr>
        <w:t>万元，执行数为</w:t>
      </w:r>
      <w:r>
        <w:rPr>
          <w:rFonts w:hint="eastAsia" w:ascii="仿宋_GB2312" w:hAnsi="仿宋" w:cs="仿宋"/>
          <w:sz w:val="32"/>
          <w:szCs w:val="32"/>
          <w:lang w:val="en-US" w:eastAsia="zh-CN"/>
        </w:rPr>
        <w:t>34.5</w:t>
      </w:r>
      <w:r>
        <w:rPr>
          <w:rFonts w:hint="eastAsia" w:ascii="仿宋_GB2312" w:hAnsi="仿宋" w:eastAsia="仿宋_GB2312" w:cs="仿宋"/>
          <w:sz w:val="32"/>
          <w:szCs w:val="32"/>
        </w:rPr>
        <w:t>万元，完成预算</w:t>
      </w:r>
      <w:r>
        <w:rPr>
          <w:rFonts w:hint="eastAsia" w:ascii="仿宋_GB2312" w:hAnsi="仿宋" w:cs="仿宋"/>
          <w:sz w:val="32"/>
          <w:szCs w:val="32"/>
          <w:lang w:val="en-US" w:eastAsia="zh-CN"/>
        </w:rPr>
        <w:t>100</w:t>
      </w:r>
      <w:r>
        <w:rPr>
          <w:rFonts w:hint="eastAsia" w:ascii="仿宋_GB2312" w:hAnsi="仿宋" w:eastAsia="仿宋_GB2312" w:cs="仿宋"/>
          <w:sz w:val="32"/>
          <w:szCs w:val="32"/>
        </w:rPr>
        <w:t>％。主要产出和效益：一是</w:t>
      </w:r>
      <w:r>
        <w:rPr>
          <w:rFonts w:hint="eastAsia" w:ascii="仿宋" w:hAnsi="仿宋" w:eastAsia="仿宋" w:cs="仿宋"/>
          <w:kern w:val="2"/>
          <w:sz w:val="32"/>
          <w:szCs w:val="32"/>
          <w:lang w:val="en-US" w:eastAsia="zh-CN" w:bidi="ar-SA"/>
        </w:rPr>
        <w:t>为预算单位提供账务服务和报表服务，有效分析预算单位账务具体情况</w:t>
      </w:r>
      <w:r>
        <w:rPr>
          <w:rFonts w:hint="eastAsia" w:ascii="仿宋_GB2312" w:hAnsi="仿宋" w:eastAsia="仿宋_GB2312" w:cs="仿宋"/>
          <w:sz w:val="32"/>
          <w:szCs w:val="32"/>
        </w:rPr>
        <w:t>；二是</w:t>
      </w:r>
      <w:r>
        <w:rPr>
          <w:rFonts w:hint="eastAsia" w:ascii="仿宋" w:hAnsi="仿宋" w:eastAsia="仿宋" w:cs="仿宋"/>
          <w:kern w:val="2"/>
          <w:sz w:val="32"/>
          <w:szCs w:val="32"/>
          <w:lang w:val="en-US" w:eastAsia="zh-CN" w:bidi="ar-SA"/>
        </w:rPr>
        <w:t>有效完成单位账务处理，确保账务资料的完整性和准确性</w:t>
      </w:r>
      <w:r>
        <w:rPr>
          <w:rFonts w:hint="eastAsia" w:ascii="仿宋_GB2312" w:hAnsi="仿宋" w:eastAsia="仿宋_GB2312" w:cs="仿宋"/>
          <w:sz w:val="32"/>
          <w:szCs w:val="32"/>
        </w:rPr>
        <w:t>。下一步改进措施：</w:t>
      </w:r>
      <w:r>
        <w:rPr>
          <w:rFonts w:hint="eastAsia" w:ascii="仿宋" w:hAnsi="仿宋" w:eastAsia="仿宋" w:cs="仿宋"/>
          <w:kern w:val="2"/>
          <w:sz w:val="32"/>
          <w:szCs w:val="32"/>
          <w:lang w:val="en-US" w:eastAsia="zh-CN" w:bidi="ar-SA"/>
        </w:rPr>
        <w:t>进一步规范单位报账程序，使账务规范化、合理化。</w:t>
      </w:r>
    </w:p>
    <w:p w14:paraId="40BF0382">
      <w:pPr>
        <w:spacing w:line="560" w:lineRule="exact"/>
        <w:ind w:firstLine="640"/>
        <w:rPr>
          <w:rFonts w:hint="eastAsia" w:ascii="仿宋" w:hAnsi="仿宋" w:eastAsia="仿宋" w:cs="仿宋"/>
          <w:kern w:val="2"/>
          <w:sz w:val="32"/>
          <w:szCs w:val="32"/>
          <w:lang w:val="en-US" w:eastAsia="zh-CN" w:bidi="ar-SA"/>
        </w:rPr>
      </w:pPr>
      <w:r>
        <w:rPr>
          <w:rFonts w:hint="eastAsia" w:ascii="仿宋_GB2312" w:hAnsi="仿宋" w:cs="仿宋"/>
          <w:sz w:val="32"/>
          <w:szCs w:val="32"/>
          <w:lang w:eastAsia="zh-CN"/>
        </w:rPr>
        <w:t>资产编报服务</w:t>
      </w:r>
      <w:r>
        <w:rPr>
          <w:rFonts w:hint="eastAsia" w:ascii="仿宋_GB2312" w:hAnsi="仿宋" w:eastAsia="仿宋_GB2312" w:cs="仿宋"/>
          <w:sz w:val="32"/>
          <w:szCs w:val="32"/>
        </w:rPr>
        <w:t>项目绩效自评综述：全年预算数为</w:t>
      </w:r>
      <w:r>
        <w:rPr>
          <w:rFonts w:hint="eastAsia" w:ascii="仿宋_GB2312" w:hAnsi="仿宋" w:cs="仿宋"/>
          <w:sz w:val="32"/>
          <w:szCs w:val="32"/>
          <w:lang w:val="en-US" w:eastAsia="zh-CN"/>
        </w:rPr>
        <w:t>13</w:t>
      </w:r>
      <w:r>
        <w:rPr>
          <w:rFonts w:hint="eastAsia" w:ascii="仿宋_GB2312" w:hAnsi="仿宋" w:eastAsia="仿宋_GB2312" w:cs="仿宋"/>
          <w:sz w:val="32"/>
          <w:szCs w:val="32"/>
        </w:rPr>
        <w:t>万元，执行数</w:t>
      </w:r>
      <w:r>
        <w:rPr>
          <w:rFonts w:hint="eastAsia" w:ascii="仿宋_GB2312" w:hAnsi="仿宋" w:cs="仿宋"/>
          <w:sz w:val="32"/>
          <w:szCs w:val="32"/>
          <w:lang w:eastAsia="zh-CN"/>
        </w:rPr>
        <w:t>为</w:t>
      </w:r>
      <w:r>
        <w:rPr>
          <w:rFonts w:hint="eastAsia" w:ascii="仿宋_GB2312" w:hAnsi="仿宋" w:cs="仿宋"/>
          <w:sz w:val="32"/>
          <w:szCs w:val="32"/>
          <w:lang w:val="en-US" w:eastAsia="zh-CN"/>
        </w:rPr>
        <w:t>13</w:t>
      </w:r>
      <w:r>
        <w:rPr>
          <w:rFonts w:hint="eastAsia" w:ascii="仿宋_GB2312" w:hAnsi="仿宋" w:eastAsia="仿宋_GB2312" w:cs="仿宋"/>
          <w:sz w:val="32"/>
          <w:szCs w:val="32"/>
        </w:rPr>
        <w:t>万元，完成预算</w:t>
      </w:r>
      <w:r>
        <w:rPr>
          <w:rFonts w:hint="eastAsia" w:ascii="仿宋_GB2312" w:hAnsi="仿宋" w:cs="仿宋"/>
          <w:sz w:val="32"/>
          <w:szCs w:val="32"/>
          <w:lang w:val="en-US" w:eastAsia="zh-CN"/>
        </w:rPr>
        <w:t>100</w:t>
      </w:r>
      <w:r>
        <w:rPr>
          <w:rFonts w:hint="eastAsia" w:ascii="仿宋_GB2312" w:hAnsi="仿宋" w:eastAsia="仿宋_GB2312" w:cs="仿宋"/>
          <w:sz w:val="32"/>
          <w:szCs w:val="32"/>
        </w:rPr>
        <w:t>％。主要产出和效益：一是</w:t>
      </w:r>
      <w:r>
        <w:rPr>
          <w:rFonts w:hint="eastAsia" w:ascii="仿宋" w:hAnsi="仿宋" w:eastAsia="仿宋" w:cs="仿宋"/>
          <w:kern w:val="2"/>
          <w:sz w:val="32"/>
          <w:szCs w:val="32"/>
          <w:lang w:val="en-US" w:eastAsia="zh-CN" w:bidi="ar-SA"/>
        </w:rPr>
        <w:t>为预算单位提供资产报表服务，有效分析预算单位资产使用情况</w:t>
      </w:r>
      <w:r>
        <w:rPr>
          <w:rFonts w:hint="eastAsia" w:ascii="仿宋_GB2312" w:hAnsi="仿宋" w:eastAsia="仿宋_GB2312" w:cs="仿宋"/>
          <w:sz w:val="32"/>
          <w:szCs w:val="32"/>
        </w:rPr>
        <w:t>；二是</w:t>
      </w:r>
      <w:r>
        <w:rPr>
          <w:rFonts w:hint="eastAsia" w:ascii="仿宋" w:hAnsi="仿宋" w:eastAsia="仿宋" w:cs="仿宋"/>
          <w:kern w:val="2"/>
          <w:sz w:val="32"/>
          <w:szCs w:val="32"/>
          <w:lang w:val="en-US" w:eastAsia="zh-CN" w:bidi="ar-SA"/>
        </w:rPr>
        <w:t>我区资产情况提供依据，有效完成全区资产清查工作</w:t>
      </w:r>
      <w:r>
        <w:rPr>
          <w:rFonts w:hint="eastAsia" w:ascii="仿宋_GB2312" w:hAnsi="仿宋" w:eastAsia="仿宋_GB2312" w:cs="仿宋"/>
          <w:sz w:val="32"/>
          <w:szCs w:val="32"/>
        </w:rPr>
        <w:t>。发现的问题及原因：</w:t>
      </w:r>
      <w:r>
        <w:rPr>
          <w:rFonts w:hint="eastAsia" w:ascii="仿宋_GB2312" w:hAnsi="仿宋" w:cs="仿宋"/>
          <w:sz w:val="32"/>
          <w:szCs w:val="32"/>
          <w:lang w:eastAsia="zh-CN"/>
        </w:rPr>
        <w:t>预算单位的资产管理有待进一步加强</w:t>
      </w:r>
      <w:r>
        <w:rPr>
          <w:rFonts w:hint="eastAsia" w:ascii="仿宋_GB2312" w:hAnsi="仿宋" w:eastAsia="仿宋_GB2312" w:cs="仿宋"/>
          <w:sz w:val="32"/>
          <w:szCs w:val="32"/>
        </w:rPr>
        <w:t>。下一步改进措施：</w:t>
      </w:r>
      <w:r>
        <w:rPr>
          <w:rFonts w:hint="eastAsia" w:ascii="仿宋" w:hAnsi="仿宋" w:eastAsia="仿宋" w:cs="仿宋"/>
          <w:kern w:val="2"/>
          <w:sz w:val="32"/>
          <w:szCs w:val="32"/>
          <w:lang w:val="en-US" w:eastAsia="zh-CN" w:bidi="ar-SA"/>
        </w:rPr>
        <w:t>进一步规范单位资产管理，完善资产程序。</w:t>
      </w:r>
    </w:p>
    <w:p w14:paraId="702AD656">
      <w:pPr>
        <w:spacing w:line="560" w:lineRule="exact"/>
        <w:ind w:firstLine="640"/>
        <w:rPr>
          <w:rFonts w:hint="eastAsia" w:ascii="仿宋" w:hAnsi="仿宋" w:eastAsia="仿宋" w:cs="仿宋"/>
          <w:kern w:val="2"/>
          <w:sz w:val="32"/>
          <w:szCs w:val="32"/>
          <w:lang w:val="en-US" w:eastAsia="zh-CN" w:bidi="ar-SA"/>
        </w:rPr>
      </w:pPr>
      <w:r>
        <w:rPr>
          <w:rFonts w:hint="eastAsia" w:ascii="仿宋_GB2312" w:hAnsi="仿宋" w:cs="仿宋"/>
          <w:sz w:val="32"/>
          <w:szCs w:val="32"/>
          <w:lang w:eastAsia="zh-CN"/>
        </w:rPr>
        <w:t>预算一体化</w:t>
      </w:r>
      <w:r>
        <w:rPr>
          <w:rFonts w:hint="eastAsia" w:ascii="仿宋_GB2312" w:hAnsi="仿宋" w:eastAsia="仿宋_GB2312" w:cs="仿宋"/>
          <w:sz w:val="32"/>
          <w:szCs w:val="32"/>
        </w:rPr>
        <w:t>项目绩效自评综述：全年预算数为</w:t>
      </w:r>
      <w:r>
        <w:rPr>
          <w:rFonts w:hint="eastAsia" w:ascii="仿宋_GB2312" w:hAnsi="仿宋" w:cs="仿宋"/>
          <w:sz w:val="32"/>
          <w:szCs w:val="32"/>
          <w:lang w:val="en-US" w:eastAsia="zh-CN"/>
        </w:rPr>
        <w:t>68</w:t>
      </w:r>
      <w:r>
        <w:rPr>
          <w:rFonts w:hint="eastAsia" w:ascii="仿宋_GB2312" w:hAnsi="仿宋" w:eastAsia="仿宋_GB2312" w:cs="仿宋"/>
          <w:sz w:val="32"/>
          <w:szCs w:val="32"/>
        </w:rPr>
        <w:t>万元，执行数为</w:t>
      </w:r>
      <w:r>
        <w:rPr>
          <w:rFonts w:hint="eastAsia" w:ascii="仿宋_GB2312" w:hAnsi="仿宋" w:cs="仿宋"/>
          <w:sz w:val="32"/>
          <w:szCs w:val="32"/>
          <w:lang w:val="en-US" w:eastAsia="zh-CN"/>
        </w:rPr>
        <w:t>58.1</w:t>
      </w:r>
      <w:r>
        <w:rPr>
          <w:rFonts w:hint="eastAsia" w:ascii="仿宋_GB2312" w:hAnsi="仿宋" w:eastAsia="仿宋_GB2312" w:cs="仿宋"/>
          <w:sz w:val="32"/>
          <w:szCs w:val="32"/>
        </w:rPr>
        <w:t>万元，完成预算</w:t>
      </w:r>
      <w:r>
        <w:rPr>
          <w:rFonts w:hint="eastAsia" w:ascii="仿宋_GB2312" w:hAnsi="宋体" w:eastAsia="仿宋_GB2312" w:cs="Times New Roman"/>
          <w:kern w:val="0"/>
          <w:lang w:val="en-US" w:eastAsia="zh-CN"/>
        </w:rPr>
        <w:t>85.44%</w:t>
      </w:r>
      <w:r>
        <w:rPr>
          <w:rFonts w:hint="eastAsia" w:ascii="仿宋_GB2312" w:hAnsi="仿宋" w:eastAsia="仿宋_GB2312" w:cs="仿宋"/>
          <w:sz w:val="32"/>
          <w:szCs w:val="32"/>
        </w:rPr>
        <w:t>。主要产出和效益：</w:t>
      </w:r>
      <w:r>
        <w:rPr>
          <w:rFonts w:hint="eastAsia" w:ascii="仿宋_GB2312" w:hAnsi="仿宋" w:cs="仿宋"/>
          <w:sz w:val="32"/>
          <w:szCs w:val="32"/>
          <w:lang w:eastAsia="zh-CN"/>
        </w:rPr>
        <w:t>一是上线预算一体化系统，有效对预算单位的收支统一管理和分析；二是将财务业务政府采购、总预算会计、部门决算等统一管理，提高财务工作效率。</w:t>
      </w:r>
      <w:r>
        <w:rPr>
          <w:rFonts w:hint="eastAsia" w:ascii="仿宋_GB2312" w:hAnsi="仿宋" w:eastAsia="仿宋_GB2312" w:cs="仿宋"/>
          <w:sz w:val="32"/>
          <w:szCs w:val="32"/>
        </w:rPr>
        <w:t>发现的问题及原因：</w:t>
      </w:r>
      <w:r>
        <w:rPr>
          <w:rFonts w:hint="eastAsia" w:ascii="仿宋_GB2312" w:hAnsi="仿宋" w:cs="仿宋"/>
          <w:sz w:val="32"/>
          <w:szCs w:val="32"/>
          <w:lang w:eastAsia="zh-CN"/>
        </w:rPr>
        <w:t>预算一体化系统功能应进一步完善</w:t>
      </w:r>
      <w:r>
        <w:rPr>
          <w:rFonts w:hint="eastAsia" w:ascii="仿宋_GB2312" w:hAnsi="仿宋" w:eastAsia="仿宋_GB2312" w:cs="仿宋"/>
          <w:sz w:val="32"/>
          <w:szCs w:val="32"/>
        </w:rPr>
        <w:t>。下一步改进措施：</w:t>
      </w:r>
      <w:r>
        <w:rPr>
          <w:rFonts w:hint="eastAsia" w:ascii="仿宋_GB2312" w:hAnsi="仿宋" w:cs="仿宋"/>
          <w:sz w:val="32"/>
          <w:szCs w:val="32"/>
          <w:lang w:eastAsia="zh-CN"/>
        </w:rPr>
        <w:t>完善预算一体化模块功能</w:t>
      </w:r>
      <w:r>
        <w:rPr>
          <w:rFonts w:hint="eastAsia" w:ascii="仿宋" w:hAnsi="仿宋" w:eastAsia="仿宋" w:cs="仿宋"/>
          <w:kern w:val="2"/>
          <w:sz w:val="32"/>
          <w:szCs w:val="32"/>
          <w:lang w:val="en-US" w:eastAsia="zh-CN" w:bidi="ar-SA"/>
        </w:rPr>
        <w:t>。</w:t>
      </w:r>
    </w:p>
    <w:p w14:paraId="4DF6EAB9">
      <w:pPr>
        <w:spacing w:line="560" w:lineRule="exact"/>
        <w:ind w:firstLine="640"/>
        <w:rPr>
          <w:rFonts w:hint="eastAsia" w:ascii="仿宋_GB2312" w:hAnsi="仿宋" w:cs="仿宋"/>
          <w:sz w:val="32"/>
          <w:szCs w:val="32"/>
          <w:lang w:eastAsia="zh-CN"/>
        </w:rPr>
      </w:pPr>
      <w:r>
        <w:rPr>
          <w:rFonts w:hint="eastAsia" w:ascii="仿宋_GB2312" w:hAnsi="宋体" w:eastAsia="仿宋_GB2312" w:cs="仿宋_GB2312"/>
          <w:kern w:val="0"/>
          <w:lang w:val="en-US" w:eastAsia="zh-CN"/>
        </w:rPr>
        <w:t>国产打印机购置</w:t>
      </w:r>
      <w:r>
        <w:rPr>
          <w:rFonts w:hint="eastAsia" w:ascii="仿宋_GB2312" w:hAnsi="仿宋" w:eastAsia="仿宋_GB2312" w:cs="仿宋"/>
          <w:sz w:val="32"/>
          <w:szCs w:val="32"/>
        </w:rPr>
        <w:t>项目绩效自评综述：全年预算数为</w:t>
      </w:r>
      <w:r>
        <w:rPr>
          <w:rFonts w:hint="eastAsia" w:ascii="仿宋_GB2312" w:hAnsi="仿宋" w:cs="仿宋"/>
          <w:sz w:val="32"/>
          <w:szCs w:val="32"/>
          <w:lang w:val="en-US" w:eastAsia="zh-CN"/>
        </w:rPr>
        <w:t>4.5</w:t>
      </w:r>
      <w:r>
        <w:rPr>
          <w:rFonts w:hint="eastAsia" w:ascii="仿宋_GB2312" w:hAnsi="仿宋" w:eastAsia="仿宋_GB2312" w:cs="仿宋"/>
          <w:sz w:val="32"/>
          <w:szCs w:val="32"/>
        </w:rPr>
        <w:t>万元，执行数为</w:t>
      </w:r>
      <w:r>
        <w:rPr>
          <w:rFonts w:hint="eastAsia" w:ascii="仿宋_GB2312" w:hAnsi="仿宋" w:cs="仿宋"/>
          <w:sz w:val="32"/>
          <w:szCs w:val="32"/>
          <w:lang w:val="en-US" w:eastAsia="zh-CN"/>
        </w:rPr>
        <w:t>4.5</w:t>
      </w:r>
      <w:r>
        <w:rPr>
          <w:rFonts w:hint="eastAsia" w:ascii="仿宋_GB2312" w:hAnsi="仿宋" w:eastAsia="仿宋_GB2312" w:cs="仿宋"/>
          <w:sz w:val="32"/>
          <w:szCs w:val="32"/>
        </w:rPr>
        <w:t>万元，完成预算</w:t>
      </w:r>
      <w:r>
        <w:rPr>
          <w:rFonts w:hint="eastAsia" w:ascii="仿宋_GB2312" w:hAnsi="仿宋" w:cs="仿宋"/>
          <w:sz w:val="32"/>
          <w:szCs w:val="32"/>
          <w:lang w:val="en-US" w:eastAsia="zh-CN"/>
        </w:rPr>
        <w:t>100</w:t>
      </w:r>
      <w:r>
        <w:rPr>
          <w:rFonts w:hint="eastAsia" w:ascii="仿宋_GB2312" w:hAnsi="仿宋" w:eastAsia="仿宋_GB2312" w:cs="仿宋"/>
          <w:sz w:val="32"/>
          <w:szCs w:val="32"/>
        </w:rPr>
        <w:t>％。主要产出和效益：</w:t>
      </w:r>
      <w:r>
        <w:rPr>
          <w:rFonts w:hint="eastAsia" w:ascii="仿宋_GB2312" w:hAnsi="仿宋" w:cs="仿宋"/>
          <w:sz w:val="32"/>
          <w:szCs w:val="32"/>
          <w:lang w:eastAsia="zh-CN"/>
        </w:rPr>
        <w:t>做好单位打印工作。</w:t>
      </w:r>
    </w:p>
    <w:p w14:paraId="2842B5CE">
      <w:pPr>
        <w:spacing w:line="560" w:lineRule="exact"/>
        <w:ind w:firstLine="640"/>
        <w:rPr>
          <w:rFonts w:hint="eastAsia" w:ascii="仿宋_GB2312" w:hAnsi="仿宋" w:cs="仿宋"/>
          <w:sz w:val="32"/>
          <w:szCs w:val="32"/>
          <w:lang w:eastAsia="zh-CN"/>
        </w:rPr>
      </w:pPr>
      <w:r>
        <w:rPr>
          <w:rFonts w:hint="eastAsia" w:ascii="仿宋_GB2312" w:hAnsi="仿宋" w:cs="仿宋"/>
          <w:sz w:val="32"/>
          <w:szCs w:val="32"/>
          <w:lang w:val="en-US" w:eastAsia="zh-CN"/>
        </w:rPr>
        <w:t>防范金融风险项目绩</w:t>
      </w:r>
      <w:r>
        <w:rPr>
          <w:rFonts w:hint="eastAsia" w:ascii="仿宋_GB2312" w:hAnsi="仿宋" w:cs="仿宋"/>
          <w:sz w:val="32"/>
          <w:szCs w:val="32"/>
          <w:lang w:eastAsia="zh-CN"/>
        </w:rPr>
        <w:t>效自评综述：全年预算数为</w:t>
      </w:r>
      <w:r>
        <w:rPr>
          <w:rFonts w:hint="eastAsia" w:ascii="仿宋_GB2312" w:hAnsi="仿宋" w:cs="仿宋"/>
          <w:sz w:val="32"/>
          <w:szCs w:val="32"/>
          <w:lang w:val="en-US" w:eastAsia="zh-CN"/>
        </w:rPr>
        <w:t>2.25</w:t>
      </w:r>
      <w:r>
        <w:rPr>
          <w:rFonts w:hint="eastAsia" w:ascii="仿宋_GB2312" w:hAnsi="仿宋" w:cs="仿宋"/>
          <w:sz w:val="32"/>
          <w:szCs w:val="32"/>
          <w:lang w:eastAsia="zh-CN"/>
        </w:rPr>
        <w:t>万元，执行数为</w:t>
      </w:r>
      <w:r>
        <w:rPr>
          <w:rFonts w:hint="eastAsia" w:ascii="仿宋_GB2312" w:hAnsi="仿宋" w:cs="仿宋"/>
          <w:sz w:val="32"/>
          <w:szCs w:val="32"/>
          <w:lang w:val="en-US" w:eastAsia="zh-CN"/>
        </w:rPr>
        <w:t>2.25</w:t>
      </w:r>
      <w:r>
        <w:rPr>
          <w:rFonts w:hint="eastAsia" w:ascii="仿宋_GB2312" w:hAnsi="仿宋" w:cs="仿宋"/>
          <w:sz w:val="32"/>
          <w:szCs w:val="32"/>
          <w:lang w:eastAsia="zh-CN"/>
        </w:rPr>
        <w:t>万元，完成预算</w:t>
      </w:r>
      <w:r>
        <w:rPr>
          <w:rFonts w:hint="eastAsia" w:ascii="仿宋_GB2312" w:hAnsi="仿宋" w:cs="仿宋"/>
          <w:sz w:val="32"/>
          <w:szCs w:val="32"/>
          <w:lang w:val="en-US" w:eastAsia="zh-CN"/>
        </w:rPr>
        <w:t>100</w:t>
      </w:r>
      <w:r>
        <w:rPr>
          <w:rFonts w:hint="eastAsia" w:ascii="仿宋_GB2312" w:hAnsi="仿宋" w:cs="仿宋"/>
          <w:sz w:val="32"/>
          <w:szCs w:val="32"/>
          <w:lang w:eastAsia="zh-CN"/>
        </w:rPr>
        <w:t>％。主要产出和效益：一是举办宣传活动、制定宣传资料，大力宣传金融风险知识；二是增加群众防范金融风险意识。发现的问题及原因：宣传力度应进一步加强。下一步改进措施：采取多渠道、多形式宣传方式，提高群众对金融风险防范知识的认识水平。</w:t>
      </w:r>
    </w:p>
    <w:p w14:paraId="395FE673">
      <w:pPr>
        <w:spacing w:line="560" w:lineRule="exact"/>
        <w:ind w:firstLine="640"/>
        <w:rPr>
          <w:rFonts w:hint="eastAsia" w:ascii="仿宋_GB2312" w:hAnsi="仿宋" w:cs="仿宋"/>
          <w:sz w:val="32"/>
          <w:szCs w:val="32"/>
          <w:lang w:eastAsia="zh-CN"/>
        </w:rPr>
      </w:pPr>
      <w:r>
        <w:rPr>
          <w:rFonts w:hint="eastAsia" w:ascii="仿宋_GB2312" w:hAnsi="宋体" w:eastAsia="仿宋_GB2312" w:cs="仿宋_GB2312"/>
          <w:kern w:val="0"/>
          <w:lang w:val="en-US" w:eastAsia="zh-CN"/>
        </w:rPr>
        <w:t>一卡通突出问题专项治理</w:t>
      </w:r>
      <w:r>
        <w:rPr>
          <w:rFonts w:hint="eastAsia" w:ascii="仿宋_GB2312" w:hAnsi="仿宋" w:cs="仿宋"/>
          <w:sz w:val="32"/>
          <w:szCs w:val="32"/>
          <w:lang w:val="en-US" w:eastAsia="zh-CN"/>
        </w:rPr>
        <w:t>项目绩</w:t>
      </w:r>
      <w:r>
        <w:rPr>
          <w:rFonts w:hint="eastAsia" w:ascii="仿宋_GB2312" w:hAnsi="仿宋" w:cs="仿宋"/>
          <w:sz w:val="32"/>
          <w:szCs w:val="32"/>
          <w:lang w:eastAsia="zh-CN"/>
        </w:rPr>
        <w:t>效自评综述：全年预算数为</w:t>
      </w:r>
      <w:r>
        <w:rPr>
          <w:rFonts w:hint="eastAsia" w:ascii="仿宋_GB2312" w:hAnsi="仿宋" w:cs="仿宋"/>
          <w:sz w:val="32"/>
          <w:szCs w:val="32"/>
          <w:lang w:val="en-US" w:eastAsia="zh-CN"/>
        </w:rPr>
        <w:t>3</w:t>
      </w:r>
      <w:r>
        <w:rPr>
          <w:rFonts w:hint="eastAsia" w:ascii="仿宋_GB2312" w:hAnsi="仿宋" w:cs="仿宋"/>
          <w:sz w:val="32"/>
          <w:szCs w:val="32"/>
          <w:lang w:eastAsia="zh-CN"/>
        </w:rPr>
        <w:t>万元，执行数为</w:t>
      </w:r>
      <w:r>
        <w:rPr>
          <w:rFonts w:hint="eastAsia" w:ascii="仿宋_GB2312" w:hAnsi="仿宋" w:cs="仿宋"/>
          <w:sz w:val="32"/>
          <w:szCs w:val="32"/>
          <w:lang w:val="en-US" w:eastAsia="zh-CN"/>
        </w:rPr>
        <w:t>3</w:t>
      </w:r>
      <w:r>
        <w:rPr>
          <w:rFonts w:hint="eastAsia" w:ascii="仿宋_GB2312" w:hAnsi="仿宋" w:cs="仿宋"/>
          <w:sz w:val="32"/>
          <w:szCs w:val="32"/>
          <w:lang w:eastAsia="zh-CN"/>
        </w:rPr>
        <w:t>万元，完成预算</w:t>
      </w:r>
      <w:r>
        <w:rPr>
          <w:rFonts w:hint="eastAsia" w:ascii="仿宋_GB2312" w:hAnsi="仿宋" w:cs="仿宋"/>
          <w:sz w:val="32"/>
          <w:szCs w:val="32"/>
          <w:lang w:val="en-US" w:eastAsia="zh-CN"/>
        </w:rPr>
        <w:t>100</w:t>
      </w:r>
      <w:r>
        <w:rPr>
          <w:rFonts w:hint="eastAsia" w:ascii="仿宋_GB2312" w:hAnsi="仿宋" w:cs="仿宋"/>
          <w:sz w:val="32"/>
          <w:szCs w:val="32"/>
          <w:lang w:eastAsia="zh-CN"/>
        </w:rPr>
        <w:t>％。主要产出和效益：一是对一卡通问题进行检查，清理不合理发放人群；二是保证一卡通资金使用的规范性，加强财政资金使用效率。发现的问题及原因：一卡通专项资金管理不规范。下一步改进措施：加大资金监管力度，提高资金使用效率，进一步落实惠民政策，提高群众满意度。</w:t>
      </w:r>
    </w:p>
    <w:p w14:paraId="47EF96DE">
      <w:pPr>
        <w:spacing w:line="560" w:lineRule="exact"/>
        <w:ind w:firstLine="640"/>
        <w:rPr>
          <w:rFonts w:hint="eastAsia" w:ascii="仿宋_GB2312" w:hAnsi="仿宋" w:cs="仿宋"/>
          <w:sz w:val="32"/>
          <w:szCs w:val="32"/>
          <w:lang w:eastAsia="zh-CN"/>
        </w:rPr>
      </w:pPr>
      <w:r>
        <w:rPr>
          <w:rFonts w:hint="eastAsia" w:ascii="仿宋_GB2312" w:hAnsi="宋体" w:eastAsia="仿宋_GB2312" w:cs="仿宋_GB2312"/>
          <w:kern w:val="0"/>
          <w:lang w:val="en-US" w:eastAsia="zh-CN"/>
        </w:rPr>
        <w:t>金融“早春行”活动</w:t>
      </w:r>
      <w:r>
        <w:rPr>
          <w:rFonts w:hint="eastAsia" w:ascii="仿宋_GB2312" w:hAnsi="仿宋" w:eastAsia="仿宋_GB2312" w:cs="仿宋"/>
          <w:sz w:val="32"/>
          <w:szCs w:val="32"/>
        </w:rPr>
        <w:t>项目绩效自评综述：全年预算数为</w:t>
      </w:r>
      <w:r>
        <w:rPr>
          <w:rFonts w:hint="eastAsia" w:ascii="仿宋_GB2312" w:hAnsi="仿宋" w:cs="仿宋"/>
          <w:sz w:val="32"/>
          <w:szCs w:val="32"/>
          <w:lang w:val="en-US" w:eastAsia="zh-CN"/>
        </w:rPr>
        <w:t>32.2</w:t>
      </w:r>
      <w:r>
        <w:rPr>
          <w:rFonts w:hint="eastAsia" w:ascii="仿宋_GB2312" w:hAnsi="仿宋" w:eastAsia="仿宋_GB2312" w:cs="仿宋"/>
          <w:sz w:val="32"/>
          <w:szCs w:val="32"/>
        </w:rPr>
        <w:t>万元，执行数为</w:t>
      </w:r>
      <w:r>
        <w:rPr>
          <w:rFonts w:hint="eastAsia" w:ascii="仿宋_GB2312" w:hAnsi="仿宋" w:cs="仿宋"/>
          <w:sz w:val="32"/>
          <w:szCs w:val="32"/>
          <w:lang w:val="en-US" w:eastAsia="zh-CN"/>
        </w:rPr>
        <w:t>32.2</w:t>
      </w:r>
      <w:r>
        <w:rPr>
          <w:rFonts w:hint="eastAsia" w:ascii="仿宋_GB2312" w:hAnsi="仿宋" w:eastAsia="仿宋_GB2312" w:cs="仿宋"/>
          <w:sz w:val="32"/>
          <w:szCs w:val="32"/>
        </w:rPr>
        <w:t>万元，完成预算</w:t>
      </w:r>
      <w:r>
        <w:rPr>
          <w:rFonts w:hint="eastAsia" w:ascii="仿宋_GB2312" w:hAnsi="仿宋" w:cs="仿宋"/>
          <w:sz w:val="32"/>
          <w:szCs w:val="32"/>
          <w:lang w:val="en-US" w:eastAsia="zh-CN"/>
        </w:rPr>
        <w:t>100</w:t>
      </w:r>
      <w:r>
        <w:rPr>
          <w:rFonts w:hint="eastAsia" w:ascii="仿宋_GB2312" w:hAnsi="仿宋" w:eastAsia="仿宋_GB2312" w:cs="仿宋"/>
          <w:sz w:val="32"/>
          <w:szCs w:val="32"/>
        </w:rPr>
        <w:t>％。主要产出和效益：积极协调，主动策划，将全省“金融早春行”活动落户葛店。通过此次</w:t>
      </w:r>
      <w:r>
        <w:rPr>
          <w:rFonts w:hint="eastAsia" w:ascii="仿宋_GB2312" w:hAnsi="仿宋" w:cs="仿宋"/>
          <w:sz w:val="32"/>
          <w:szCs w:val="32"/>
          <w:lang w:eastAsia="zh-CN"/>
        </w:rPr>
        <w:t>活动为</w:t>
      </w:r>
      <w:r>
        <w:rPr>
          <w:rFonts w:hint="eastAsia" w:ascii="仿宋_GB2312" w:hAnsi="仿宋" w:eastAsia="仿宋_GB2312" w:cs="仿宋"/>
          <w:sz w:val="32"/>
          <w:szCs w:val="32"/>
        </w:rPr>
        <w:t>开发区营造了良好的融资氛围，签订融资合作协议，释放“金融活水”。</w:t>
      </w:r>
    </w:p>
    <w:p w14:paraId="2991C0EA">
      <w:pPr>
        <w:spacing w:line="560" w:lineRule="exact"/>
        <w:ind w:firstLine="640"/>
        <w:rPr>
          <w:rFonts w:hint="eastAsia" w:ascii="楷体_GB2312" w:hAnsi="楷体_GB2312" w:eastAsia="楷体_GB2312" w:cs="楷体_GB2312"/>
          <w:bCs/>
          <w:sz w:val="32"/>
          <w:szCs w:val="32"/>
          <w:lang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bCs/>
          <w:sz w:val="32"/>
          <w:szCs w:val="32"/>
        </w:rPr>
        <w:t>绩效评价结果应用情况</w:t>
      </w:r>
      <w:r>
        <w:rPr>
          <w:rFonts w:hint="eastAsia" w:ascii="楷体_GB2312" w:hAnsi="楷体_GB2312" w:eastAsia="楷体_GB2312" w:cs="楷体_GB2312"/>
          <w:bCs/>
          <w:sz w:val="32"/>
          <w:szCs w:val="32"/>
          <w:lang w:eastAsia="zh-CN"/>
        </w:rPr>
        <w:t>。</w:t>
      </w:r>
    </w:p>
    <w:p w14:paraId="4D83CA99">
      <w:pPr>
        <w:ind w:firstLine="640" w:firstLineChars="200"/>
        <w:rPr>
          <w:rFonts w:hint="eastAsia" w:ascii="仿宋" w:hAnsi="仿宋" w:eastAsia="仿宋" w:cs="仿宋"/>
          <w:i w:val="0"/>
          <w:iCs w:val="0"/>
          <w:caps w:val="0"/>
          <w:color w:val="333333"/>
          <w:spacing w:val="0"/>
          <w:sz w:val="32"/>
          <w:szCs w:val="32"/>
          <w:shd w:val="clear" w:color="auto" w:fill="FFFFFF"/>
          <w:lang w:eastAsia="zh-CN"/>
        </w:rPr>
      </w:pPr>
      <w:r>
        <w:rPr>
          <w:rFonts w:hint="eastAsia" w:ascii="仿宋" w:hAnsi="仿宋" w:eastAsia="仿宋" w:cs="仿宋"/>
          <w:kern w:val="2"/>
          <w:sz w:val="32"/>
          <w:szCs w:val="32"/>
          <w:lang w:val="en-US" w:eastAsia="zh-CN" w:bidi="ar-SA"/>
        </w:rPr>
        <w:t>通过绩效评价结果情况，对本部门的整体预算项目支出进行了具体分析，加强项目规划，提高资金使用效益，为预算提供有效依据，确保单位项目资金合法、合规使用，加强项目管理，对财政会计、审计、资产等业务做到流程规范，资金拨付及时，实现效益最大化。</w:t>
      </w:r>
    </w:p>
    <w:p w14:paraId="2F38F580">
      <w:pPr>
        <w:bidi w:val="0"/>
        <w:ind w:firstLine="640" w:firstLineChars="200"/>
        <w:rPr>
          <w:rFonts w:hint="eastAsia" w:ascii="黑体" w:hAnsi="黑体" w:eastAsia="黑体" w:cs="黑体"/>
          <w:lang w:val="en-US" w:eastAsia="zh-CN"/>
        </w:rPr>
      </w:pPr>
      <w:r>
        <w:rPr>
          <w:rFonts w:hint="eastAsia" w:ascii="黑体" w:hAnsi="黑体" w:eastAsia="黑体" w:cs="黑体"/>
          <w:lang w:val="en-US" w:eastAsia="zh-CN"/>
        </w:rPr>
        <w:t>十四、专项支出、转移支付支出情况说明</w:t>
      </w:r>
    </w:p>
    <w:p w14:paraId="32A25AC6">
      <w:pPr>
        <w:spacing w:line="560" w:lineRule="exact"/>
        <w:ind w:firstLine="640"/>
        <w:rPr>
          <w:rFonts w:hint="eastAsia" w:ascii="仿宋_GB2312" w:hAnsi="仿宋" w:cs="仿宋"/>
          <w:sz w:val="32"/>
          <w:szCs w:val="32"/>
          <w:highlight w:val="none"/>
          <w:lang w:val="en-US" w:eastAsia="zh-CN"/>
        </w:rPr>
      </w:pPr>
      <w:r>
        <w:rPr>
          <w:rFonts w:hint="eastAsia" w:ascii="仿宋_GB2312" w:hAnsi="仿宋" w:cs="仿宋"/>
          <w:sz w:val="32"/>
          <w:szCs w:val="32"/>
          <w:highlight w:val="none"/>
          <w:lang w:val="en-US" w:eastAsia="zh-CN"/>
        </w:rPr>
        <w:t>本单位2023年无专项支出、转移支付支出。</w:t>
      </w:r>
    </w:p>
    <w:p w14:paraId="60433925">
      <w:pPr>
        <w:pStyle w:val="2"/>
        <w:ind w:left="0" w:leftChars="0" w:firstLine="0" w:firstLineChars="0"/>
        <w:rPr>
          <w:rFonts w:hint="default"/>
          <w:lang w:val="en-US" w:eastAsia="zh-CN"/>
        </w:rPr>
      </w:pPr>
    </w:p>
    <w:p w14:paraId="127726EF">
      <w:pPr>
        <w:numPr>
          <w:ilvl w:val="0"/>
          <w:numId w:val="2"/>
        </w:numPr>
        <w:spacing w:line="560" w:lineRule="exact"/>
        <w:ind w:firstLine="64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其他需要说明的情况</w:t>
      </w:r>
    </w:p>
    <w:p w14:paraId="526E32EE">
      <w:pPr>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无其他需要说明的情况。 </w:t>
      </w:r>
    </w:p>
    <w:p w14:paraId="5AB0CFB4">
      <w:pPr>
        <w:spacing w:line="560" w:lineRule="exact"/>
        <w:ind w:firstLine="640"/>
        <w:jc w:val="center"/>
        <w:rPr>
          <w:rFonts w:hint="eastAsia" w:ascii="黑体" w:hAnsi="黑体" w:eastAsia="黑体" w:cs="黑体"/>
          <w:sz w:val="32"/>
          <w:szCs w:val="32"/>
          <w:lang w:val="en-US" w:eastAsia="zh-CN"/>
        </w:rPr>
      </w:pPr>
    </w:p>
    <w:p w14:paraId="4CF76306">
      <w:pPr>
        <w:spacing w:line="560" w:lineRule="exact"/>
        <w:ind w:firstLine="64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第五部分  名词解释</w:t>
      </w:r>
    </w:p>
    <w:p w14:paraId="117A8D82">
      <w:pPr>
        <w:spacing w:line="560" w:lineRule="exact"/>
        <w:ind w:firstLine="640"/>
        <w:rPr>
          <w:rFonts w:hint="eastAsia" w:ascii="仿宋_GB2312" w:eastAsia="仿宋_GB2312"/>
          <w:bCs/>
          <w:kern w:val="44"/>
          <w:sz w:val="32"/>
          <w:szCs w:val="32"/>
          <w:highlight w:val="none"/>
          <w:lang w:eastAsia="zh-CN"/>
        </w:rPr>
      </w:pPr>
      <w:r>
        <w:rPr>
          <w:rFonts w:hint="eastAsia" w:ascii="仿宋_GB2312" w:hAnsi="仿宋" w:eastAsia="仿宋_GB2312" w:cs="仿宋"/>
          <w:sz w:val="32"/>
          <w:szCs w:val="32"/>
        </w:rPr>
        <w:t>(一)一般公共预算财政拨款收入：</w:t>
      </w:r>
      <w:r>
        <w:rPr>
          <w:rFonts w:hint="default" w:ascii="仿宋_GB2312" w:hAnsi="仿宋" w:eastAsia="仿宋_GB2312" w:cs="仿宋"/>
          <w:sz w:val="32"/>
          <w:szCs w:val="32"/>
        </w:rPr>
        <w:t>指</w:t>
      </w:r>
      <w:r>
        <w:rPr>
          <w:rFonts w:hint="eastAsia" w:ascii="仿宋_GB2312" w:hAnsi="仿宋" w:cs="仿宋"/>
          <w:sz w:val="32"/>
          <w:szCs w:val="32"/>
          <w:lang w:eastAsia="zh-CN"/>
        </w:rPr>
        <w:t>省</w:t>
      </w:r>
      <w:r>
        <w:rPr>
          <w:rFonts w:hint="eastAsia" w:ascii="仿宋_GB2312" w:eastAsia="仿宋_GB2312"/>
          <w:bCs/>
          <w:kern w:val="44"/>
          <w:sz w:val="32"/>
          <w:szCs w:val="32"/>
          <w:highlight w:val="none"/>
          <w:lang w:eastAsia="zh-CN"/>
        </w:rPr>
        <w:t>级</w:t>
      </w:r>
      <w:r>
        <w:rPr>
          <w:rFonts w:hint="default" w:ascii="仿宋_GB2312" w:eastAsia="仿宋_GB2312"/>
          <w:bCs/>
          <w:kern w:val="44"/>
          <w:sz w:val="32"/>
          <w:szCs w:val="32"/>
          <w:highlight w:val="none"/>
        </w:rPr>
        <w:t>财政</w:t>
      </w:r>
      <w:r>
        <w:rPr>
          <w:rFonts w:hint="eastAsia" w:ascii="仿宋_GB2312" w:eastAsia="仿宋_GB2312"/>
          <w:bCs/>
          <w:kern w:val="44"/>
          <w:sz w:val="32"/>
          <w:szCs w:val="32"/>
          <w:highlight w:val="none"/>
        </w:rPr>
        <w:t>一般公共预算</w:t>
      </w:r>
      <w:r>
        <w:rPr>
          <w:rFonts w:hint="default" w:ascii="仿宋_GB2312" w:eastAsia="仿宋_GB2312"/>
          <w:bCs/>
          <w:kern w:val="44"/>
          <w:sz w:val="32"/>
          <w:szCs w:val="32"/>
          <w:highlight w:val="none"/>
        </w:rPr>
        <w:t>当年拨付的</w:t>
      </w:r>
      <w:r>
        <w:rPr>
          <w:rFonts w:hint="eastAsia" w:ascii="仿宋_GB2312" w:eastAsia="仿宋_GB2312"/>
          <w:bCs/>
          <w:kern w:val="44"/>
          <w:sz w:val="32"/>
          <w:szCs w:val="32"/>
          <w:highlight w:val="none"/>
          <w:lang w:eastAsia="zh-CN"/>
        </w:rPr>
        <w:t>资金。</w:t>
      </w:r>
    </w:p>
    <w:p w14:paraId="11CE2272">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二</w:t>
      </w:r>
      <w:r>
        <w:rPr>
          <w:rFonts w:hint="eastAsia" w:ascii="仿宋_GB2312" w:eastAsia="仿宋_GB2312"/>
          <w:bCs/>
          <w:kern w:val="44"/>
          <w:sz w:val="32"/>
          <w:szCs w:val="32"/>
          <w:highlight w:val="none"/>
        </w:rPr>
        <w:t>)政府性基金预算财政拨款收入：</w:t>
      </w:r>
      <w:r>
        <w:rPr>
          <w:rFonts w:hint="default" w:ascii="仿宋_GB2312" w:eastAsia="仿宋_GB2312"/>
          <w:bCs/>
          <w:kern w:val="44"/>
          <w:sz w:val="32"/>
          <w:szCs w:val="32"/>
          <w:highlight w:val="none"/>
        </w:rPr>
        <w:t>指</w:t>
      </w:r>
      <w:r>
        <w:rPr>
          <w:rFonts w:hint="eastAsia" w:ascii="仿宋_GB2312"/>
          <w:bCs/>
          <w:kern w:val="44"/>
          <w:sz w:val="32"/>
          <w:szCs w:val="32"/>
          <w:highlight w:val="none"/>
          <w:lang w:eastAsia="zh-CN"/>
        </w:rPr>
        <w:t>省</w:t>
      </w:r>
      <w:r>
        <w:rPr>
          <w:rFonts w:hint="eastAsia" w:ascii="仿宋_GB2312" w:eastAsia="仿宋_GB2312"/>
          <w:bCs/>
          <w:kern w:val="44"/>
          <w:sz w:val="32"/>
          <w:szCs w:val="32"/>
          <w:highlight w:val="none"/>
          <w:lang w:eastAsia="zh-CN"/>
        </w:rPr>
        <w:t>级</w:t>
      </w:r>
      <w:r>
        <w:rPr>
          <w:rFonts w:hint="default" w:ascii="仿宋_GB2312" w:eastAsia="仿宋_GB2312"/>
          <w:bCs/>
          <w:kern w:val="44"/>
          <w:sz w:val="32"/>
          <w:szCs w:val="32"/>
          <w:highlight w:val="none"/>
        </w:rPr>
        <w:t>财政</w:t>
      </w:r>
      <w:r>
        <w:rPr>
          <w:rFonts w:hint="eastAsia" w:ascii="仿宋_GB2312" w:eastAsia="仿宋_GB2312"/>
          <w:bCs/>
          <w:kern w:val="44"/>
          <w:sz w:val="32"/>
          <w:szCs w:val="32"/>
          <w:highlight w:val="none"/>
        </w:rPr>
        <w:t>政府性基金预算</w:t>
      </w:r>
      <w:r>
        <w:rPr>
          <w:rFonts w:hint="default" w:ascii="仿宋_GB2312" w:eastAsia="仿宋_GB2312"/>
          <w:bCs/>
          <w:kern w:val="44"/>
          <w:sz w:val="32"/>
          <w:szCs w:val="32"/>
          <w:highlight w:val="none"/>
        </w:rPr>
        <w:t>当年拨付的</w:t>
      </w:r>
      <w:r>
        <w:rPr>
          <w:rFonts w:hint="eastAsia" w:ascii="仿宋_GB2312" w:eastAsia="仿宋_GB2312"/>
          <w:bCs/>
          <w:kern w:val="44"/>
          <w:sz w:val="32"/>
          <w:szCs w:val="32"/>
          <w:highlight w:val="none"/>
          <w:lang w:eastAsia="zh-CN"/>
        </w:rPr>
        <w:t>资金。</w:t>
      </w:r>
    </w:p>
    <w:p w14:paraId="5BA2EFD6">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三</w:t>
      </w: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国有资本经营</w:t>
      </w:r>
      <w:r>
        <w:rPr>
          <w:rFonts w:hint="eastAsia" w:ascii="仿宋_GB2312" w:eastAsia="仿宋_GB2312"/>
          <w:bCs/>
          <w:kern w:val="44"/>
          <w:sz w:val="32"/>
          <w:szCs w:val="32"/>
          <w:highlight w:val="none"/>
        </w:rPr>
        <w:t>预算财政拨款收入：指</w:t>
      </w:r>
      <w:r>
        <w:rPr>
          <w:rFonts w:hint="eastAsia" w:ascii="仿宋_GB2312"/>
          <w:bCs/>
          <w:kern w:val="44"/>
          <w:sz w:val="32"/>
          <w:szCs w:val="32"/>
          <w:highlight w:val="none"/>
          <w:lang w:eastAsia="zh-CN"/>
        </w:rPr>
        <w:t>省</w:t>
      </w:r>
      <w:r>
        <w:rPr>
          <w:rFonts w:hint="eastAsia" w:ascii="仿宋_GB2312" w:eastAsia="仿宋_GB2312"/>
          <w:bCs/>
          <w:kern w:val="44"/>
          <w:sz w:val="32"/>
          <w:szCs w:val="32"/>
          <w:highlight w:val="none"/>
        </w:rPr>
        <w:t>级财政</w:t>
      </w:r>
      <w:r>
        <w:rPr>
          <w:rFonts w:hint="eastAsia" w:ascii="仿宋_GB2312" w:eastAsia="仿宋_GB2312"/>
          <w:bCs/>
          <w:kern w:val="44"/>
          <w:sz w:val="32"/>
          <w:szCs w:val="32"/>
          <w:highlight w:val="none"/>
          <w:lang w:eastAsia="zh-CN"/>
        </w:rPr>
        <w:t>国有资本经营</w:t>
      </w:r>
      <w:r>
        <w:rPr>
          <w:rFonts w:hint="eastAsia" w:ascii="仿宋_GB2312" w:eastAsia="仿宋_GB2312"/>
          <w:bCs/>
          <w:kern w:val="44"/>
          <w:sz w:val="32"/>
          <w:szCs w:val="32"/>
          <w:highlight w:val="none"/>
        </w:rPr>
        <w:t>预算当年拨付的资金。</w:t>
      </w:r>
    </w:p>
    <w:p w14:paraId="7EA6CA9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四</w:t>
      </w:r>
      <w:r>
        <w:rPr>
          <w:rFonts w:hint="eastAsia" w:ascii="仿宋_GB2312" w:eastAsia="仿宋_GB2312"/>
          <w:bCs/>
          <w:kern w:val="44"/>
          <w:sz w:val="32"/>
          <w:szCs w:val="32"/>
          <w:highlight w:val="none"/>
        </w:rPr>
        <w:t>)上级补助收入：指从</w:t>
      </w:r>
      <w:r>
        <w:rPr>
          <w:rFonts w:hint="eastAsia" w:ascii="仿宋_GB2312" w:hAnsi="宋体" w:eastAsia="仿宋_GB2312"/>
          <w:sz w:val="32"/>
          <w:szCs w:val="32"/>
          <w:highlight w:val="none"/>
        </w:rPr>
        <w:t>事业单位</w:t>
      </w:r>
      <w:r>
        <w:rPr>
          <w:rFonts w:hint="eastAsia" w:ascii="仿宋_GB2312" w:eastAsia="仿宋_GB2312"/>
          <w:bCs/>
          <w:kern w:val="44"/>
          <w:sz w:val="32"/>
          <w:szCs w:val="32"/>
          <w:highlight w:val="none"/>
        </w:rPr>
        <w:t>主管部门和上级单位取得的非财政补助收入。</w:t>
      </w:r>
    </w:p>
    <w:p w14:paraId="0955AD04">
      <w:pPr>
        <w:pageBreakBefore w:val="0"/>
        <w:widowControl w:val="0"/>
        <w:kinsoku/>
        <w:wordWrap/>
        <w:overflowPunct/>
        <w:topLinePunct w:val="0"/>
        <w:bidi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五</w:t>
      </w:r>
      <w:r>
        <w:rPr>
          <w:rFonts w:hint="eastAsia" w:ascii="仿宋_GB2312" w:eastAsia="仿宋_GB2312"/>
          <w:bCs/>
          <w:kern w:val="44"/>
          <w:sz w:val="32"/>
          <w:szCs w:val="32"/>
          <w:highlight w:val="none"/>
        </w:rPr>
        <w:t>)事业收入：指事业单位开展专业业务活动及其辅助活动取得的收入。</w:t>
      </w:r>
    </w:p>
    <w:p w14:paraId="694616EA">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六</w:t>
      </w:r>
      <w:r>
        <w:rPr>
          <w:rFonts w:hint="eastAsia" w:ascii="仿宋_GB2312" w:eastAsia="仿宋_GB2312"/>
          <w:bCs/>
          <w:kern w:val="44"/>
          <w:sz w:val="32"/>
          <w:szCs w:val="32"/>
          <w:highlight w:val="none"/>
        </w:rPr>
        <w:t>)经营收入：指事业单位在专业业务活动及其辅助活动之外开展非独立核算经营活动取得的收入。</w:t>
      </w:r>
    </w:p>
    <w:p w14:paraId="0A861277">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宋体" w:eastAsia="仿宋_GB2312"/>
          <w:sz w:val="32"/>
          <w:szCs w:val="32"/>
          <w:highlight w:val="none"/>
          <w:lang w:eastAsia="zh-CN"/>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七</w:t>
      </w:r>
      <w:r>
        <w:rPr>
          <w:rFonts w:hint="eastAsia" w:ascii="仿宋_GB2312" w:eastAsia="仿宋_GB2312"/>
          <w:bCs/>
          <w:kern w:val="44"/>
          <w:sz w:val="32"/>
          <w:szCs w:val="32"/>
          <w:highlight w:val="none"/>
        </w:rPr>
        <w:t>)其他收入：指</w:t>
      </w:r>
      <w:r>
        <w:rPr>
          <w:rFonts w:hint="eastAsia" w:ascii="仿宋_GB2312" w:hAnsi="宋体" w:eastAsia="仿宋_GB2312"/>
          <w:sz w:val="32"/>
          <w:szCs w:val="32"/>
          <w:highlight w:val="none"/>
        </w:rPr>
        <w:t>单位取得的除</w:t>
      </w:r>
      <w:r>
        <w:rPr>
          <w:rFonts w:hint="eastAsia" w:ascii="仿宋_GB2312" w:hAnsi="宋体" w:eastAsia="仿宋_GB2312"/>
          <w:sz w:val="32"/>
          <w:szCs w:val="32"/>
          <w:highlight w:val="none"/>
          <w:lang w:eastAsia="zh-CN"/>
        </w:rPr>
        <w:t>上述“一般公共预算财政拨款收入”、“</w:t>
      </w:r>
      <w:r>
        <w:rPr>
          <w:rFonts w:hint="eastAsia" w:ascii="仿宋_GB2312" w:hAnsi="宋体" w:eastAsia="仿宋_GB2312"/>
          <w:sz w:val="32"/>
          <w:szCs w:val="32"/>
          <w:highlight w:val="none"/>
        </w:rPr>
        <w:t>政府性基金</w:t>
      </w:r>
      <w:r>
        <w:rPr>
          <w:rFonts w:hint="eastAsia" w:ascii="仿宋_GB2312" w:eastAsia="仿宋_GB2312"/>
          <w:spacing w:val="6"/>
          <w:sz w:val="32"/>
          <w:szCs w:val="32"/>
          <w:highlight w:val="none"/>
        </w:rPr>
        <w:t>预算</w:t>
      </w:r>
      <w:r>
        <w:rPr>
          <w:rFonts w:hint="eastAsia" w:ascii="仿宋_GB2312" w:eastAsia="仿宋_GB2312"/>
          <w:bCs/>
          <w:kern w:val="44"/>
          <w:sz w:val="32"/>
          <w:szCs w:val="32"/>
          <w:highlight w:val="none"/>
        </w:rPr>
        <w:t>财政拨款收入</w:t>
      </w:r>
      <w:r>
        <w:rPr>
          <w:rFonts w:hint="eastAsia" w:ascii="仿宋_GB2312" w:hAnsi="宋体" w:eastAsia="仿宋_GB2312"/>
          <w:sz w:val="32"/>
          <w:szCs w:val="32"/>
          <w:highlight w:val="none"/>
          <w:lang w:eastAsia="zh-CN"/>
        </w:rPr>
        <w:t>”、“</w:t>
      </w:r>
      <w:r>
        <w:rPr>
          <w:rFonts w:hint="eastAsia" w:ascii="仿宋_GB2312" w:eastAsia="仿宋_GB2312"/>
          <w:bCs/>
          <w:kern w:val="44"/>
          <w:sz w:val="32"/>
          <w:szCs w:val="32"/>
          <w:lang w:eastAsia="zh-CN"/>
        </w:rPr>
        <w:t>国有资本经营</w:t>
      </w:r>
      <w:r>
        <w:rPr>
          <w:rFonts w:hint="eastAsia" w:ascii="仿宋_GB2312" w:eastAsia="仿宋_GB2312"/>
          <w:bCs/>
          <w:kern w:val="44"/>
          <w:sz w:val="32"/>
          <w:szCs w:val="32"/>
        </w:rPr>
        <w:t>预算财政拨款收入</w:t>
      </w:r>
      <w:r>
        <w:rPr>
          <w:rFonts w:hint="eastAsia" w:ascii="仿宋_GB2312" w:hAnsi="宋体" w:eastAsia="仿宋_GB2312"/>
          <w:sz w:val="32"/>
          <w:szCs w:val="32"/>
          <w:highlight w:val="none"/>
          <w:lang w:eastAsia="zh-CN"/>
        </w:rPr>
        <w:t>”、“</w:t>
      </w:r>
      <w:r>
        <w:rPr>
          <w:rFonts w:hint="eastAsia" w:ascii="仿宋_GB2312" w:eastAsia="仿宋_GB2312"/>
          <w:bCs/>
          <w:kern w:val="44"/>
          <w:sz w:val="32"/>
          <w:szCs w:val="32"/>
          <w:highlight w:val="none"/>
        </w:rPr>
        <w:t>上级补助收入</w:t>
      </w:r>
      <w:r>
        <w:rPr>
          <w:rFonts w:hint="eastAsia" w:ascii="仿宋_GB2312" w:hAnsi="宋体" w:eastAsia="仿宋_GB2312"/>
          <w:sz w:val="32"/>
          <w:szCs w:val="32"/>
          <w:highlight w:val="none"/>
          <w:lang w:eastAsia="zh-CN"/>
        </w:rPr>
        <w:t>”、“事业收入”、“经营收入”等</w:t>
      </w:r>
      <w:r>
        <w:rPr>
          <w:rFonts w:hint="eastAsia" w:ascii="仿宋_GB2312" w:hAnsi="宋体" w:eastAsia="仿宋_GB2312"/>
          <w:sz w:val="32"/>
          <w:szCs w:val="32"/>
          <w:highlight w:val="none"/>
        </w:rPr>
        <w:t>收入以外的各项收入</w:t>
      </w:r>
      <w:r>
        <w:rPr>
          <w:rFonts w:hint="eastAsia" w:ascii="仿宋_GB2312" w:hAnsi="宋体" w:eastAsia="仿宋_GB2312"/>
          <w:sz w:val="32"/>
          <w:szCs w:val="32"/>
          <w:highlight w:val="none"/>
          <w:lang w:eastAsia="zh-CN"/>
        </w:rPr>
        <w:t>。</w:t>
      </w:r>
    </w:p>
    <w:p w14:paraId="6734671A">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FangSong_GB2312" w:hAnsi="FangSong_GB2312" w:eastAsia="FangSong_GB2312"/>
          <w:color w:val="000000"/>
          <w:sz w:val="32"/>
          <w:lang w:eastAsia="zh-CN"/>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八</w:t>
      </w: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使用非财政拨款结余</w:t>
      </w:r>
      <w:r>
        <w:rPr>
          <w:rFonts w:hint="eastAsia" w:ascii="仿宋_GB2312" w:eastAsia="仿宋_GB2312"/>
          <w:bCs/>
          <w:kern w:val="44"/>
          <w:sz w:val="32"/>
          <w:szCs w:val="32"/>
          <w:highlight w:val="none"/>
        </w:rPr>
        <w:t>：</w:t>
      </w:r>
      <w:r>
        <w:rPr>
          <w:rFonts w:hint="default" w:ascii="FangSong_GB2312" w:hAnsi="FangSong_GB2312" w:eastAsia="FangSong_GB2312"/>
          <w:color w:val="000000"/>
          <w:sz w:val="32"/>
        </w:rPr>
        <w:t>指事业单位</w:t>
      </w:r>
      <w:r>
        <w:rPr>
          <w:rFonts w:hint="eastAsia" w:ascii="FangSong_GB2312" w:hAnsi="FangSong_GB2312" w:eastAsia="FangSong_GB2312"/>
          <w:color w:val="000000"/>
          <w:sz w:val="32"/>
          <w:lang w:eastAsia="zh-CN"/>
        </w:rPr>
        <w:t>使用以前年度积累的非财政拨款结余弥补当年收支差额的金额。</w:t>
      </w:r>
    </w:p>
    <w:p w14:paraId="6B76DB92">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九</w:t>
      </w:r>
      <w:r>
        <w:rPr>
          <w:rFonts w:hint="eastAsia" w:ascii="仿宋_GB2312" w:eastAsia="仿宋_GB2312"/>
          <w:bCs/>
          <w:kern w:val="44"/>
          <w:sz w:val="32"/>
          <w:szCs w:val="32"/>
          <w:highlight w:val="none"/>
        </w:rPr>
        <w:t>)年初结转和结余：</w:t>
      </w:r>
      <w:r>
        <w:rPr>
          <w:rFonts w:hint="default" w:ascii="FangSong_GB2312" w:hAnsi="FangSong_GB2312" w:eastAsia="FangSong_GB2312"/>
          <w:color w:val="000000"/>
          <w:sz w:val="32"/>
        </w:rPr>
        <w:t>指</w:t>
      </w:r>
      <w:r>
        <w:rPr>
          <w:rFonts w:hint="eastAsia" w:ascii="FangSong_GB2312" w:hAnsi="FangSong_GB2312" w:eastAsia="FangSong_GB2312"/>
          <w:color w:val="000000"/>
          <w:sz w:val="32"/>
          <w:lang w:eastAsia="zh-CN"/>
        </w:rPr>
        <w:t>单位</w:t>
      </w:r>
      <w:r>
        <w:rPr>
          <w:rFonts w:hint="default" w:ascii="FangSong_GB2312" w:hAnsi="FangSong_GB2312" w:eastAsia="FangSong_GB2312"/>
          <w:color w:val="000000"/>
          <w:sz w:val="32"/>
        </w:rPr>
        <w:t>以前年度</w:t>
      </w:r>
      <w:r>
        <w:rPr>
          <w:rFonts w:hint="eastAsia" w:ascii="FangSong_GB2312" w:hAnsi="FangSong_GB2312" w:eastAsia="FangSong_GB2312"/>
          <w:color w:val="000000"/>
          <w:sz w:val="32"/>
          <w:lang w:eastAsia="zh-CN"/>
        </w:rPr>
        <w:t>尚未完成</w:t>
      </w:r>
      <w:r>
        <w:rPr>
          <w:rFonts w:hint="default" w:ascii="FangSong_GB2312" w:hAnsi="FangSong_GB2312" w:eastAsia="FangSong_GB2312"/>
          <w:color w:val="000000"/>
          <w:sz w:val="32"/>
        </w:rPr>
        <w:t>、结转到本年仍按原规定用途继续使用的资金</w:t>
      </w:r>
      <w:r>
        <w:rPr>
          <w:rFonts w:hint="eastAsia" w:ascii="FangSong_GB2312" w:hAnsi="FangSong_GB2312" w:eastAsia="FangSong_GB2312"/>
          <w:color w:val="000000"/>
          <w:sz w:val="32"/>
          <w:lang w:eastAsia="zh-CN"/>
        </w:rPr>
        <w:t>，或项目已完成等产生的结余资金</w:t>
      </w:r>
      <w:r>
        <w:rPr>
          <w:rFonts w:hint="default" w:ascii="FangSong_GB2312" w:hAnsi="FangSong_GB2312" w:eastAsia="FangSong_GB2312"/>
          <w:color w:val="000000"/>
          <w:sz w:val="32"/>
        </w:rPr>
        <w:t>。</w:t>
      </w:r>
    </w:p>
    <w:p w14:paraId="707B5199">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十</w:t>
      </w:r>
      <w:r>
        <w:rPr>
          <w:rFonts w:hint="eastAsia" w:ascii="仿宋_GB2312" w:eastAsia="仿宋_GB2312"/>
          <w:bCs/>
          <w:kern w:val="44"/>
          <w:sz w:val="32"/>
          <w:szCs w:val="32"/>
          <w:highlight w:val="none"/>
        </w:rPr>
        <w:t>)本部门使用的支出功能分类科目(到项级)</w:t>
      </w:r>
    </w:p>
    <w:p w14:paraId="03BA0CA3">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bCs/>
          <w:kern w:val="44"/>
          <w:sz w:val="32"/>
          <w:szCs w:val="32"/>
          <w:highlight w:val="yellow"/>
          <w:lang w:val="en-US" w:eastAsia="zh-CN"/>
        </w:rPr>
      </w:pPr>
      <w:r>
        <w:rPr>
          <w:rFonts w:hint="eastAsia" w:ascii="仿宋_GB2312" w:hAnsi="仿宋_GB2312" w:eastAsia="仿宋_GB2312" w:cs="仿宋_GB2312"/>
          <w:bCs/>
          <w:kern w:val="44"/>
          <w:sz w:val="32"/>
          <w:szCs w:val="32"/>
          <w:highlight w:val="none"/>
        </w:rPr>
        <w:t>1.一般公共服务支出(类)</w:t>
      </w:r>
      <w:r>
        <w:rPr>
          <w:rFonts w:hint="eastAsia" w:ascii="仿宋_GB2312" w:hAnsi="仿宋_GB2312" w:cs="仿宋_GB2312"/>
          <w:bCs/>
          <w:kern w:val="44"/>
          <w:sz w:val="32"/>
          <w:szCs w:val="32"/>
          <w:highlight w:val="none"/>
          <w:lang w:eastAsia="zh-CN"/>
        </w:rPr>
        <w:t>财政事务（款）行政运行（项）</w:t>
      </w:r>
      <w:r>
        <w:rPr>
          <w:rFonts w:hint="eastAsia" w:ascii="仿宋_GB2312" w:hAnsi="仿宋_GB2312" w:cs="仿宋_GB2312"/>
          <w:bCs/>
          <w:kern w:val="44"/>
          <w:sz w:val="32"/>
          <w:szCs w:val="32"/>
          <w:highlight w:val="none"/>
          <w:lang w:val="en-US" w:eastAsia="zh-CN"/>
        </w:rPr>
        <w:t>:反映行政单位（包括实行公务员管理的事业单位）的基本支出。</w:t>
      </w:r>
    </w:p>
    <w:p w14:paraId="4FE0967B">
      <w:pPr>
        <w:pStyle w:val="6"/>
        <w:pageBreakBefore w:val="0"/>
        <w:widowControl w:val="0"/>
        <w:kinsoku/>
        <w:wordWrap/>
        <w:overflowPunct/>
        <w:topLinePunct w:val="0"/>
        <w:bidi w:val="0"/>
        <w:snapToGrid w:val="0"/>
        <w:spacing w:line="360" w:lineRule="auto"/>
        <w:ind w:firstLine="640" w:firstLineChars="200"/>
        <w:jc w:val="both"/>
        <w:textAlignment w:val="auto"/>
        <w:rPr>
          <w:rFonts w:hint="eastAsia" w:ascii="仿宋_GB2312" w:hAnsi="仿宋_GB2312" w:cs="仿宋_GB2312"/>
          <w:bCs/>
          <w:kern w:val="44"/>
          <w:sz w:val="32"/>
          <w:szCs w:val="32"/>
          <w:highlight w:val="none"/>
          <w:lang w:eastAsia="zh-CN"/>
        </w:rPr>
      </w:pPr>
      <w:r>
        <w:rPr>
          <w:rFonts w:hint="eastAsia" w:ascii="仿宋_GB2312" w:hAnsi="仿宋_GB2312" w:eastAsia="仿宋_GB2312" w:cs="仿宋_GB2312"/>
          <w:bCs/>
          <w:color w:val="auto"/>
          <w:kern w:val="44"/>
          <w:sz w:val="32"/>
          <w:szCs w:val="32"/>
          <w:highlight w:val="none"/>
        </w:rPr>
        <w:t>2.</w:t>
      </w:r>
      <w:r>
        <w:rPr>
          <w:rFonts w:hint="eastAsia" w:ascii="仿宋_GB2312" w:hAnsi="仿宋_GB2312" w:eastAsia="仿宋_GB2312" w:cs="仿宋_GB2312"/>
          <w:bCs/>
          <w:kern w:val="44"/>
          <w:sz w:val="32"/>
          <w:szCs w:val="32"/>
          <w:highlight w:val="none"/>
        </w:rPr>
        <w:t>一般公共服务支出(类)</w:t>
      </w:r>
      <w:r>
        <w:rPr>
          <w:rFonts w:hint="eastAsia" w:ascii="仿宋_GB2312" w:hAnsi="仿宋_GB2312" w:cs="仿宋_GB2312"/>
          <w:bCs/>
          <w:kern w:val="44"/>
          <w:sz w:val="32"/>
          <w:szCs w:val="32"/>
          <w:highlight w:val="none"/>
          <w:lang w:eastAsia="zh-CN"/>
        </w:rPr>
        <w:t>财政事务（款）一般行政管理事务</w:t>
      </w:r>
      <w:r>
        <w:rPr>
          <w:rFonts w:hint="eastAsia" w:hAnsi="仿宋_GB2312" w:cs="仿宋_GB2312"/>
          <w:bCs/>
          <w:kern w:val="44"/>
          <w:sz w:val="32"/>
          <w:szCs w:val="32"/>
          <w:highlight w:val="none"/>
          <w:lang w:eastAsia="zh-CN"/>
        </w:rPr>
        <w:t>（</w:t>
      </w:r>
      <w:r>
        <w:rPr>
          <w:rFonts w:hint="eastAsia" w:ascii="仿宋_GB2312" w:hAnsi="仿宋_GB2312" w:cs="仿宋_GB2312"/>
          <w:bCs/>
          <w:kern w:val="44"/>
          <w:sz w:val="32"/>
          <w:szCs w:val="32"/>
          <w:highlight w:val="none"/>
          <w:lang w:eastAsia="zh-CN"/>
        </w:rPr>
        <w:t>项）</w:t>
      </w:r>
      <w:r>
        <w:rPr>
          <w:rFonts w:hint="eastAsia" w:hAnsi="仿宋_GB2312" w:cs="仿宋_GB2312"/>
          <w:bCs/>
          <w:kern w:val="44"/>
          <w:sz w:val="32"/>
          <w:szCs w:val="32"/>
          <w:highlight w:val="none"/>
          <w:lang w:eastAsia="zh-CN"/>
        </w:rPr>
        <w:t>：</w:t>
      </w:r>
      <w:r>
        <w:rPr>
          <w:rFonts w:hint="eastAsia" w:ascii="仿宋_GB2312" w:hAnsi="仿宋_GB2312" w:cs="仿宋_GB2312"/>
          <w:bCs/>
          <w:kern w:val="44"/>
          <w:sz w:val="32"/>
          <w:szCs w:val="32"/>
          <w:highlight w:val="none"/>
          <w:lang w:val="en-US" w:eastAsia="zh-CN"/>
        </w:rPr>
        <w:t>反映行政单位（包括实行公务员管理的事业单位）</w:t>
      </w:r>
      <w:r>
        <w:rPr>
          <w:rFonts w:hint="eastAsia" w:hAnsi="仿宋_GB2312" w:cs="仿宋_GB2312"/>
          <w:bCs/>
          <w:kern w:val="44"/>
          <w:sz w:val="32"/>
          <w:szCs w:val="32"/>
          <w:highlight w:val="none"/>
          <w:lang w:val="en-US" w:eastAsia="zh-CN"/>
        </w:rPr>
        <w:t>未单独设置项级科目的其他项目</w:t>
      </w:r>
      <w:r>
        <w:rPr>
          <w:rFonts w:hint="eastAsia" w:ascii="仿宋_GB2312" w:hAnsi="仿宋_GB2312" w:cs="仿宋_GB2312"/>
          <w:bCs/>
          <w:kern w:val="44"/>
          <w:sz w:val="32"/>
          <w:szCs w:val="32"/>
          <w:highlight w:val="none"/>
          <w:lang w:val="en-US" w:eastAsia="zh-CN"/>
        </w:rPr>
        <w:t>支出</w:t>
      </w:r>
      <w:r>
        <w:rPr>
          <w:rFonts w:hint="eastAsia" w:hAnsi="仿宋_GB2312" w:cs="仿宋_GB2312"/>
          <w:bCs/>
          <w:kern w:val="44"/>
          <w:sz w:val="32"/>
          <w:szCs w:val="32"/>
          <w:highlight w:val="none"/>
          <w:lang w:val="en-US" w:eastAsia="zh-CN"/>
        </w:rPr>
        <w:t>。</w:t>
      </w:r>
    </w:p>
    <w:p w14:paraId="15526DDD">
      <w:pPr>
        <w:pStyle w:val="6"/>
        <w:pageBreakBefore w:val="0"/>
        <w:widowControl w:val="0"/>
        <w:kinsoku/>
        <w:wordWrap/>
        <w:overflowPunct/>
        <w:topLinePunct w:val="0"/>
        <w:bidi w:val="0"/>
        <w:snapToGrid w:val="0"/>
        <w:spacing w:line="360" w:lineRule="auto"/>
        <w:ind w:firstLine="640" w:firstLineChars="200"/>
        <w:jc w:val="both"/>
        <w:textAlignment w:val="auto"/>
        <w:rPr>
          <w:rFonts w:hint="eastAsia" w:hAnsi="仿宋_GB2312" w:cs="仿宋_GB2312"/>
          <w:bCs/>
          <w:kern w:val="44"/>
          <w:sz w:val="32"/>
          <w:szCs w:val="32"/>
          <w:highlight w:val="none"/>
          <w:lang w:eastAsia="zh-CN"/>
        </w:rPr>
      </w:pPr>
      <w:r>
        <w:rPr>
          <w:rFonts w:hint="eastAsia" w:hAnsi="仿宋_GB2312" w:cs="仿宋_GB2312"/>
          <w:bCs/>
          <w:kern w:val="44"/>
          <w:sz w:val="32"/>
          <w:szCs w:val="32"/>
          <w:highlight w:val="none"/>
          <w:lang w:val="en-US" w:eastAsia="zh-CN"/>
        </w:rPr>
        <w:t>3.</w:t>
      </w:r>
      <w:r>
        <w:rPr>
          <w:rFonts w:hint="eastAsia" w:ascii="仿宋_GB2312" w:hAnsi="仿宋_GB2312" w:eastAsia="仿宋_GB2312" w:cs="仿宋_GB2312"/>
          <w:bCs/>
          <w:kern w:val="44"/>
          <w:sz w:val="32"/>
          <w:szCs w:val="32"/>
          <w:highlight w:val="none"/>
        </w:rPr>
        <w:t> 一般公共服务支出(类)</w:t>
      </w:r>
      <w:r>
        <w:rPr>
          <w:rFonts w:hint="eastAsia" w:ascii="仿宋_GB2312" w:hAnsi="仿宋_GB2312" w:cs="仿宋_GB2312"/>
          <w:bCs/>
          <w:kern w:val="44"/>
          <w:sz w:val="32"/>
          <w:szCs w:val="32"/>
          <w:highlight w:val="none"/>
          <w:lang w:eastAsia="zh-CN"/>
        </w:rPr>
        <w:t>财政事务（款）预算改革业务</w:t>
      </w:r>
      <w:r>
        <w:rPr>
          <w:rFonts w:hint="eastAsia" w:hAnsi="仿宋_GB2312" w:cs="仿宋_GB2312"/>
          <w:bCs/>
          <w:kern w:val="44"/>
          <w:sz w:val="32"/>
          <w:szCs w:val="32"/>
          <w:highlight w:val="none"/>
          <w:lang w:eastAsia="zh-CN"/>
        </w:rPr>
        <w:t>（</w:t>
      </w:r>
      <w:r>
        <w:rPr>
          <w:rFonts w:hint="eastAsia" w:ascii="仿宋_GB2312" w:hAnsi="仿宋_GB2312" w:cs="仿宋_GB2312"/>
          <w:bCs/>
          <w:kern w:val="44"/>
          <w:sz w:val="32"/>
          <w:szCs w:val="32"/>
          <w:highlight w:val="none"/>
          <w:lang w:eastAsia="zh-CN"/>
        </w:rPr>
        <w:t>项）</w:t>
      </w:r>
      <w:r>
        <w:rPr>
          <w:rFonts w:hint="eastAsia" w:hAnsi="仿宋_GB2312" w:cs="仿宋_GB2312"/>
          <w:bCs/>
          <w:kern w:val="44"/>
          <w:sz w:val="32"/>
          <w:szCs w:val="32"/>
          <w:highlight w:val="none"/>
          <w:lang w:eastAsia="zh-CN"/>
        </w:rPr>
        <w:t>：反映财政部门用于预算改革方面的支出。</w:t>
      </w:r>
    </w:p>
    <w:p w14:paraId="7C5B6B9B">
      <w:pPr>
        <w:pStyle w:val="6"/>
        <w:pageBreakBefore w:val="0"/>
        <w:widowControl w:val="0"/>
        <w:kinsoku/>
        <w:wordWrap/>
        <w:overflowPunct/>
        <w:topLinePunct w:val="0"/>
        <w:bidi w:val="0"/>
        <w:snapToGrid w:val="0"/>
        <w:spacing w:line="360" w:lineRule="auto"/>
        <w:ind w:firstLine="640" w:firstLineChars="200"/>
        <w:jc w:val="both"/>
        <w:textAlignment w:val="auto"/>
        <w:rPr>
          <w:rFonts w:hint="eastAsia" w:ascii="仿宋_GB2312" w:hAnsi="仿宋_GB2312" w:cs="仿宋_GB2312"/>
          <w:bCs/>
          <w:kern w:val="44"/>
          <w:sz w:val="32"/>
          <w:szCs w:val="32"/>
          <w:highlight w:val="none"/>
          <w:lang w:eastAsia="zh-CN"/>
        </w:rPr>
      </w:pPr>
      <w:r>
        <w:rPr>
          <w:rFonts w:hint="eastAsia" w:hAnsi="仿宋_GB2312" w:cs="仿宋_GB2312"/>
          <w:bCs/>
          <w:kern w:val="44"/>
          <w:sz w:val="32"/>
          <w:szCs w:val="32"/>
          <w:highlight w:val="none"/>
          <w:lang w:val="en-US" w:eastAsia="zh-CN"/>
        </w:rPr>
        <w:t>4.</w:t>
      </w:r>
      <w:r>
        <w:rPr>
          <w:rFonts w:hint="eastAsia" w:ascii="仿宋_GB2312" w:hAnsi="仿宋_GB2312" w:eastAsia="仿宋_GB2312" w:cs="仿宋_GB2312"/>
          <w:bCs/>
          <w:kern w:val="44"/>
          <w:sz w:val="32"/>
          <w:szCs w:val="32"/>
          <w:highlight w:val="none"/>
        </w:rPr>
        <w:t>一般公共服务支出(类)</w:t>
      </w:r>
      <w:r>
        <w:rPr>
          <w:rFonts w:hint="eastAsia" w:ascii="仿宋_GB2312" w:hAnsi="仿宋_GB2312" w:cs="仿宋_GB2312"/>
          <w:bCs/>
          <w:kern w:val="44"/>
          <w:sz w:val="32"/>
          <w:szCs w:val="32"/>
          <w:highlight w:val="none"/>
          <w:lang w:eastAsia="zh-CN"/>
        </w:rPr>
        <w:t>财政事务（款）财政国库业务</w:t>
      </w:r>
      <w:r>
        <w:rPr>
          <w:rFonts w:hint="eastAsia" w:hAnsi="仿宋_GB2312" w:cs="仿宋_GB2312"/>
          <w:bCs/>
          <w:kern w:val="44"/>
          <w:sz w:val="32"/>
          <w:szCs w:val="32"/>
          <w:highlight w:val="none"/>
          <w:lang w:eastAsia="zh-CN"/>
        </w:rPr>
        <w:t>（</w:t>
      </w:r>
      <w:r>
        <w:rPr>
          <w:rFonts w:hint="eastAsia" w:ascii="仿宋_GB2312" w:hAnsi="仿宋_GB2312" w:cs="仿宋_GB2312"/>
          <w:bCs/>
          <w:kern w:val="44"/>
          <w:sz w:val="32"/>
          <w:szCs w:val="32"/>
          <w:highlight w:val="none"/>
          <w:lang w:eastAsia="zh-CN"/>
        </w:rPr>
        <w:t>项）</w:t>
      </w:r>
      <w:r>
        <w:rPr>
          <w:rFonts w:hint="eastAsia" w:hAnsi="仿宋_GB2312" w:cs="仿宋_GB2312"/>
          <w:bCs/>
          <w:kern w:val="44"/>
          <w:sz w:val="32"/>
          <w:szCs w:val="32"/>
          <w:highlight w:val="none"/>
          <w:lang w:eastAsia="zh-CN"/>
        </w:rPr>
        <w:t>：反映财政部门用于财政国库集中收付业务方面的支出。</w:t>
      </w:r>
    </w:p>
    <w:p w14:paraId="50D1E2B1">
      <w:pPr>
        <w:pStyle w:val="6"/>
        <w:pageBreakBefore w:val="0"/>
        <w:widowControl w:val="0"/>
        <w:kinsoku/>
        <w:wordWrap/>
        <w:overflowPunct/>
        <w:topLinePunct w:val="0"/>
        <w:bidi w:val="0"/>
        <w:snapToGrid w:val="0"/>
        <w:spacing w:line="360" w:lineRule="auto"/>
        <w:ind w:left="640" w:leftChars="200" w:firstLine="0" w:firstLineChars="0"/>
        <w:jc w:val="both"/>
        <w:textAlignment w:val="auto"/>
        <w:rPr>
          <w:rFonts w:hint="eastAsia" w:ascii="仿宋_GB2312" w:hAnsi="仿宋_GB2312" w:cs="仿宋_GB2312"/>
          <w:bCs/>
          <w:kern w:val="44"/>
          <w:sz w:val="32"/>
          <w:szCs w:val="32"/>
          <w:highlight w:val="none"/>
          <w:lang w:eastAsia="zh-CN"/>
        </w:rPr>
      </w:pPr>
      <w:r>
        <w:rPr>
          <w:rFonts w:hint="eastAsia" w:hAnsi="仿宋_GB2312" w:cs="仿宋_GB2312"/>
          <w:bCs/>
          <w:kern w:val="44"/>
          <w:sz w:val="32"/>
          <w:szCs w:val="32"/>
          <w:highlight w:val="none"/>
          <w:lang w:val="en-US" w:eastAsia="zh-CN"/>
        </w:rPr>
        <w:t>5.</w:t>
      </w:r>
      <w:r>
        <w:rPr>
          <w:rFonts w:hint="eastAsia" w:ascii="仿宋_GB2312" w:hAnsi="仿宋_GB2312" w:eastAsia="仿宋_GB2312" w:cs="仿宋_GB2312"/>
          <w:bCs/>
          <w:kern w:val="44"/>
          <w:sz w:val="32"/>
          <w:szCs w:val="32"/>
          <w:highlight w:val="none"/>
        </w:rPr>
        <w:t>一般公共服务支出(类)</w:t>
      </w:r>
      <w:r>
        <w:rPr>
          <w:rFonts w:hint="eastAsia" w:ascii="仿宋_GB2312" w:hAnsi="仿宋_GB2312" w:cs="仿宋_GB2312"/>
          <w:bCs/>
          <w:kern w:val="44"/>
          <w:sz w:val="32"/>
          <w:szCs w:val="32"/>
          <w:highlight w:val="none"/>
          <w:lang w:eastAsia="zh-CN"/>
        </w:rPr>
        <w:t>财政事务（款）信息化建设</w:t>
      </w:r>
    </w:p>
    <w:p w14:paraId="3EA606FC">
      <w:pPr>
        <w:pStyle w:val="6"/>
        <w:pageBreakBefore w:val="0"/>
        <w:widowControl w:val="0"/>
        <w:kinsoku/>
        <w:wordWrap/>
        <w:overflowPunct/>
        <w:topLinePunct w:val="0"/>
        <w:bidi w:val="0"/>
        <w:snapToGrid w:val="0"/>
        <w:spacing w:line="360" w:lineRule="auto"/>
        <w:jc w:val="both"/>
        <w:textAlignment w:val="auto"/>
        <w:rPr>
          <w:rFonts w:hint="eastAsia" w:hAnsi="仿宋_GB2312" w:cs="仿宋_GB2312"/>
          <w:bCs/>
          <w:kern w:val="44"/>
          <w:sz w:val="32"/>
          <w:szCs w:val="32"/>
          <w:highlight w:val="none"/>
          <w:lang w:eastAsia="zh-CN"/>
        </w:rPr>
      </w:pPr>
      <w:r>
        <w:rPr>
          <w:rFonts w:hint="eastAsia" w:hAnsi="仿宋_GB2312" w:cs="仿宋_GB2312"/>
          <w:bCs/>
          <w:kern w:val="44"/>
          <w:sz w:val="32"/>
          <w:szCs w:val="32"/>
          <w:highlight w:val="none"/>
          <w:lang w:eastAsia="zh-CN"/>
        </w:rPr>
        <w:t>（</w:t>
      </w:r>
      <w:r>
        <w:rPr>
          <w:rFonts w:hint="eastAsia" w:ascii="仿宋_GB2312" w:hAnsi="仿宋_GB2312" w:cs="仿宋_GB2312"/>
          <w:bCs/>
          <w:kern w:val="44"/>
          <w:sz w:val="32"/>
          <w:szCs w:val="32"/>
          <w:highlight w:val="none"/>
          <w:lang w:eastAsia="zh-CN"/>
        </w:rPr>
        <w:t>项）</w:t>
      </w:r>
      <w:r>
        <w:rPr>
          <w:rFonts w:hint="eastAsia" w:hAnsi="仿宋_GB2312" w:cs="仿宋_GB2312"/>
          <w:bCs/>
          <w:kern w:val="44"/>
          <w:sz w:val="32"/>
          <w:szCs w:val="32"/>
          <w:highlight w:val="none"/>
          <w:lang w:eastAsia="zh-CN"/>
        </w:rPr>
        <w:t>：反映财政部门用于信息化建设方面的支出。</w:t>
      </w:r>
    </w:p>
    <w:p w14:paraId="304BC5AD">
      <w:pPr>
        <w:pStyle w:val="6"/>
        <w:pageBreakBefore w:val="0"/>
        <w:widowControl w:val="0"/>
        <w:kinsoku/>
        <w:wordWrap/>
        <w:overflowPunct/>
        <w:topLinePunct w:val="0"/>
        <w:bidi w:val="0"/>
        <w:snapToGrid w:val="0"/>
        <w:spacing w:line="360" w:lineRule="auto"/>
        <w:ind w:firstLine="640" w:firstLineChars="200"/>
        <w:jc w:val="both"/>
        <w:textAlignment w:val="auto"/>
        <w:rPr>
          <w:rFonts w:hint="eastAsia" w:ascii="仿宋_GB2312" w:hAnsi="仿宋_GB2312" w:cs="仿宋_GB2312"/>
          <w:bCs/>
          <w:kern w:val="44"/>
          <w:sz w:val="32"/>
          <w:szCs w:val="32"/>
          <w:highlight w:val="none"/>
          <w:lang w:eastAsia="zh-CN"/>
        </w:rPr>
      </w:pPr>
      <w:r>
        <w:rPr>
          <w:rFonts w:hint="eastAsia" w:hAnsi="仿宋_GB2312" w:cs="仿宋_GB2312"/>
          <w:bCs/>
          <w:kern w:val="44"/>
          <w:sz w:val="32"/>
          <w:szCs w:val="32"/>
          <w:highlight w:val="none"/>
          <w:lang w:val="en-US" w:eastAsia="zh-CN"/>
        </w:rPr>
        <w:t>6.</w:t>
      </w:r>
      <w:r>
        <w:rPr>
          <w:rFonts w:hint="eastAsia" w:ascii="仿宋_GB2312" w:hAnsi="仿宋_GB2312" w:eastAsia="仿宋_GB2312" w:cs="仿宋_GB2312"/>
          <w:bCs/>
          <w:kern w:val="44"/>
          <w:sz w:val="32"/>
          <w:szCs w:val="32"/>
          <w:highlight w:val="none"/>
        </w:rPr>
        <w:t>一般公共服务支出(类)</w:t>
      </w:r>
      <w:r>
        <w:rPr>
          <w:rFonts w:hint="eastAsia" w:ascii="仿宋_GB2312" w:hAnsi="仿宋_GB2312" w:cs="仿宋_GB2312"/>
          <w:bCs/>
          <w:kern w:val="44"/>
          <w:sz w:val="32"/>
          <w:szCs w:val="32"/>
          <w:highlight w:val="none"/>
          <w:lang w:eastAsia="zh-CN"/>
        </w:rPr>
        <w:t>财政事务（款）财政委托业务</w:t>
      </w:r>
    </w:p>
    <w:p w14:paraId="446F4C5D">
      <w:pPr>
        <w:pStyle w:val="6"/>
        <w:pageBreakBefore w:val="0"/>
        <w:widowControl w:val="0"/>
        <w:kinsoku/>
        <w:wordWrap/>
        <w:overflowPunct/>
        <w:topLinePunct w:val="0"/>
        <w:bidi w:val="0"/>
        <w:snapToGrid w:val="0"/>
        <w:spacing w:line="360" w:lineRule="auto"/>
        <w:jc w:val="both"/>
        <w:textAlignment w:val="auto"/>
        <w:rPr>
          <w:rFonts w:hint="eastAsia" w:ascii="仿宋_GB2312" w:hAnsi="仿宋_GB2312" w:cs="仿宋_GB2312"/>
          <w:bCs/>
          <w:kern w:val="44"/>
          <w:sz w:val="32"/>
          <w:szCs w:val="32"/>
          <w:highlight w:val="yellow"/>
          <w:lang w:eastAsia="zh-CN"/>
        </w:rPr>
      </w:pPr>
      <w:r>
        <w:rPr>
          <w:rFonts w:hint="eastAsia" w:ascii="仿宋_GB2312" w:hAnsi="仿宋_GB2312" w:cs="仿宋_GB2312"/>
          <w:bCs/>
          <w:kern w:val="44"/>
          <w:sz w:val="32"/>
          <w:szCs w:val="32"/>
          <w:highlight w:val="none"/>
          <w:lang w:eastAsia="zh-CN"/>
        </w:rPr>
        <w:t>支出</w:t>
      </w:r>
      <w:r>
        <w:rPr>
          <w:rFonts w:hint="eastAsia" w:hAnsi="仿宋_GB2312" w:cs="仿宋_GB2312"/>
          <w:bCs/>
          <w:kern w:val="44"/>
          <w:sz w:val="32"/>
          <w:szCs w:val="32"/>
          <w:highlight w:val="none"/>
          <w:lang w:eastAsia="zh-CN"/>
        </w:rPr>
        <w:t>（</w:t>
      </w:r>
      <w:r>
        <w:rPr>
          <w:rFonts w:hint="eastAsia" w:ascii="仿宋_GB2312" w:hAnsi="仿宋_GB2312" w:cs="仿宋_GB2312"/>
          <w:bCs/>
          <w:kern w:val="44"/>
          <w:sz w:val="32"/>
          <w:szCs w:val="32"/>
          <w:highlight w:val="none"/>
          <w:lang w:eastAsia="zh-CN"/>
        </w:rPr>
        <w:t>项）</w:t>
      </w:r>
      <w:r>
        <w:rPr>
          <w:rFonts w:hint="eastAsia" w:hAnsi="仿宋_GB2312" w:cs="仿宋_GB2312"/>
          <w:bCs/>
          <w:kern w:val="44"/>
          <w:sz w:val="32"/>
          <w:szCs w:val="32"/>
          <w:highlight w:val="none"/>
          <w:lang w:eastAsia="zh-CN"/>
        </w:rPr>
        <w:t>：反映财政委托评审机构进行财政投资评审和委托建设银行等机构代理业务发生的支出。</w:t>
      </w:r>
    </w:p>
    <w:p w14:paraId="30FD6220">
      <w:pPr>
        <w:pStyle w:val="6"/>
        <w:pageBreakBefore w:val="0"/>
        <w:widowControl w:val="0"/>
        <w:numPr>
          <w:ilvl w:val="0"/>
          <w:numId w:val="0"/>
        </w:numPr>
        <w:kinsoku/>
        <w:wordWrap/>
        <w:overflowPunct/>
        <w:topLinePunct w:val="0"/>
        <w:bidi w:val="0"/>
        <w:snapToGrid w:val="0"/>
        <w:spacing w:line="360" w:lineRule="auto"/>
        <w:ind w:firstLine="640" w:firstLineChars="200"/>
        <w:jc w:val="both"/>
        <w:textAlignment w:val="auto"/>
        <w:rPr>
          <w:rFonts w:hint="eastAsia" w:ascii="仿宋_GB2312" w:hAnsi="仿宋_GB2312" w:cs="仿宋_GB2312"/>
          <w:bCs/>
          <w:kern w:val="44"/>
          <w:sz w:val="32"/>
          <w:szCs w:val="32"/>
          <w:highlight w:val="none"/>
          <w:lang w:eastAsia="zh-CN"/>
        </w:rPr>
      </w:pPr>
      <w:r>
        <w:rPr>
          <w:rFonts w:hint="eastAsia" w:hAnsi="仿宋_GB2312" w:cs="仿宋_GB2312"/>
          <w:bCs/>
          <w:kern w:val="44"/>
          <w:sz w:val="32"/>
          <w:szCs w:val="32"/>
          <w:highlight w:val="none"/>
          <w:lang w:val="en-US" w:eastAsia="zh-CN"/>
        </w:rPr>
        <w:t>7.</w:t>
      </w:r>
      <w:r>
        <w:rPr>
          <w:rFonts w:hint="eastAsia" w:ascii="仿宋_GB2312" w:hAnsi="仿宋_GB2312" w:eastAsia="仿宋_GB2312" w:cs="仿宋_GB2312"/>
          <w:bCs/>
          <w:kern w:val="44"/>
          <w:sz w:val="32"/>
          <w:szCs w:val="32"/>
          <w:highlight w:val="none"/>
        </w:rPr>
        <w:t>一般公共服务支出(类)</w:t>
      </w:r>
      <w:r>
        <w:rPr>
          <w:rFonts w:hint="eastAsia" w:ascii="仿宋_GB2312" w:hAnsi="仿宋_GB2312" w:cs="仿宋_GB2312"/>
          <w:bCs/>
          <w:kern w:val="44"/>
          <w:sz w:val="32"/>
          <w:szCs w:val="32"/>
          <w:highlight w:val="none"/>
          <w:lang w:eastAsia="zh-CN"/>
        </w:rPr>
        <w:t>财政事务（款）其他财政事务支出</w:t>
      </w:r>
      <w:r>
        <w:rPr>
          <w:rFonts w:hint="eastAsia" w:hAnsi="仿宋_GB2312" w:cs="仿宋_GB2312"/>
          <w:bCs/>
          <w:kern w:val="44"/>
          <w:sz w:val="32"/>
          <w:szCs w:val="32"/>
          <w:highlight w:val="none"/>
          <w:lang w:eastAsia="zh-CN"/>
        </w:rPr>
        <w:t>（</w:t>
      </w:r>
      <w:r>
        <w:rPr>
          <w:rFonts w:hint="eastAsia" w:ascii="仿宋_GB2312" w:hAnsi="仿宋_GB2312" w:cs="仿宋_GB2312"/>
          <w:bCs/>
          <w:kern w:val="44"/>
          <w:sz w:val="32"/>
          <w:szCs w:val="32"/>
          <w:highlight w:val="none"/>
          <w:lang w:eastAsia="zh-CN"/>
        </w:rPr>
        <w:t>项）</w:t>
      </w:r>
      <w:r>
        <w:rPr>
          <w:rFonts w:hint="eastAsia" w:hAnsi="仿宋_GB2312" w:cs="仿宋_GB2312"/>
          <w:bCs/>
          <w:kern w:val="44"/>
          <w:sz w:val="32"/>
          <w:szCs w:val="32"/>
          <w:highlight w:val="none"/>
          <w:lang w:eastAsia="zh-CN"/>
        </w:rPr>
        <w:t>：反映除上述项目以外其他财政事务方面的支出。</w:t>
      </w:r>
    </w:p>
    <w:p w14:paraId="38219A95">
      <w:pPr>
        <w:pStyle w:val="6"/>
        <w:pageBreakBefore w:val="0"/>
        <w:widowControl w:val="0"/>
        <w:numPr>
          <w:ilvl w:val="0"/>
          <w:numId w:val="0"/>
        </w:numPr>
        <w:kinsoku/>
        <w:wordWrap/>
        <w:overflowPunct/>
        <w:topLinePunct w:val="0"/>
        <w:bidi w:val="0"/>
        <w:snapToGrid w:val="0"/>
        <w:spacing w:line="360" w:lineRule="auto"/>
        <w:ind w:firstLine="640" w:firstLineChars="200"/>
        <w:jc w:val="both"/>
        <w:textAlignment w:val="auto"/>
        <w:rPr>
          <w:rFonts w:hint="eastAsia" w:hAnsi="仿宋_GB2312" w:cs="仿宋_GB2312"/>
          <w:bCs/>
          <w:kern w:val="44"/>
          <w:sz w:val="32"/>
          <w:szCs w:val="32"/>
          <w:highlight w:val="none"/>
          <w:lang w:eastAsia="zh-CN"/>
        </w:rPr>
      </w:pPr>
      <w:r>
        <w:rPr>
          <w:rFonts w:hint="eastAsia" w:hAnsi="仿宋_GB2312" w:cs="仿宋_GB2312"/>
          <w:bCs/>
          <w:kern w:val="44"/>
          <w:sz w:val="32"/>
          <w:szCs w:val="32"/>
          <w:highlight w:val="none"/>
          <w:lang w:val="en-US" w:eastAsia="zh-CN"/>
        </w:rPr>
        <w:t>8.</w:t>
      </w:r>
      <w:r>
        <w:rPr>
          <w:rFonts w:hint="eastAsia" w:hAnsi="仿宋_GB2312" w:cs="仿宋_GB2312"/>
          <w:bCs/>
          <w:kern w:val="44"/>
          <w:sz w:val="32"/>
          <w:szCs w:val="32"/>
          <w:highlight w:val="none"/>
          <w:lang w:eastAsia="zh-CN"/>
        </w:rPr>
        <w:t>社会保障和就业</w:t>
      </w:r>
      <w:r>
        <w:rPr>
          <w:rFonts w:hint="eastAsia" w:ascii="仿宋_GB2312" w:hAnsi="仿宋_GB2312" w:eastAsia="仿宋_GB2312" w:cs="仿宋_GB2312"/>
          <w:bCs/>
          <w:kern w:val="44"/>
          <w:sz w:val="32"/>
          <w:szCs w:val="32"/>
          <w:highlight w:val="none"/>
        </w:rPr>
        <w:t>支出(类)</w:t>
      </w:r>
      <w:r>
        <w:rPr>
          <w:rFonts w:hint="eastAsia" w:hAnsi="仿宋_GB2312" w:cs="仿宋_GB2312"/>
          <w:bCs/>
          <w:kern w:val="44"/>
          <w:sz w:val="32"/>
          <w:szCs w:val="32"/>
          <w:highlight w:val="none"/>
          <w:lang w:eastAsia="zh-CN"/>
        </w:rPr>
        <w:t>行政事业单位养老支出</w:t>
      </w:r>
      <w:r>
        <w:rPr>
          <w:rFonts w:hint="eastAsia" w:ascii="仿宋_GB2312" w:hAnsi="仿宋_GB2312" w:cs="仿宋_GB2312"/>
          <w:bCs/>
          <w:kern w:val="44"/>
          <w:sz w:val="32"/>
          <w:szCs w:val="32"/>
          <w:highlight w:val="none"/>
          <w:lang w:eastAsia="zh-CN"/>
        </w:rPr>
        <w:t>（款）</w:t>
      </w:r>
      <w:r>
        <w:rPr>
          <w:rFonts w:hint="eastAsia" w:hAnsi="仿宋_GB2312" w:cs="仿宋_GB2312"/>
          <w:bCs/>
          <w:kern w:val="44"/>
          <w:sz w:val="32"/>
          <w:szCs w:val="32"/>
          <w:highlight w:val="none"/>
          <w:lang w:eastAsia="zh-CN"/>
        </w:rPr>
        <w:t>机关事业单位基本养老保险缴费支出（</w:t>
      </w:r>
      <w:r>
        <w:rPr>
          <w:rFonts w:hint="eastAsia" w:ascii="仿宋_GB2312" w:hAnsi="仿宋_GB2312" w:cs="仿宋_GB2312"/>
          <w:bCs/>
          <w:kern w:val="44"/>
          <w:sz w:val="32"/>
          <w:szCs w:val="32"/>
          <w:highlight w:val="none"/>
          <w:lang w:eastAsia="zh-CN"/>
        </w:rPr>
        <w:t>项）</w:t>
      </w:r>
      <w:r>
        <w:rPr>
          <w:rFonts w:hint="eastAsia" w:hAnsi="仿宋_GB2312" w:cs="仿宋_GB2312"/>
          <w:bCs/>
          <w:kern w:val="44"/>
          <w:sz w:val="32"/>
          <w:szCs w:val="32"/>
          <w:highlight w:val="none"/>
          <w:lang w:eastAsia="zh-CN"/>
        </w:rPr>
        <w:t>：反映机关事业单位实施养老保险制度由单位缴纳的基本养老保险费支出。</w:t>
      </w:r>
    </w:p>
    <w:p w14:paraId="760FA300">
      <w:pPr>
        <w:pStyle w:val="6"/>
        <w:pageBreakBefore w:val="0"/>
        <w:widowControl w:val="0"/>
        <w:kinsoku/>
        <w:wordWrap/>
        <w:overflowPunct/>
        <w:topLinePunct w:val="0"/>
        <w:bidi w:val="0"/>
        <w:snapToGrid w:val="0"/>
        <w:spacing w:line="360" w:lineRule="auto"/>
        <w:ind w:firstLine="640" w:firstLineChars="200"/>
        <w:jc w:val="both"/>
        <w:textAlignment w:val="auto"/>
        <w:rPr>
          <w:rFonts w:hint="eastAsia" w:hAnsi="仿宋_GB2312" w:cs="仿宋_GB2312"/>
          <w:bCs/>
          <w:kern w:val="44"/>
          <w:sz w:val="32"/>
          <w:szCs w:val="32"/>
          <w:highlight w:val="none"/>
          <w:lang w:eastAsia="zh-CN"/>
        </w:rPr>
      </w:pPr>
      <w:r>
        <w:rPr>
          <w:rFonts w:hint="eastAsia" w:hAnsi="仿宋_GB2312" w:cs="仿宋_GB2312"/>
          <w:bCs/>
          <w:kern w:val="44"/>
          <w:sz w:val="32"/>
          <w:szCs w:val="32"/>
          <w:highlight w:val="none"/>
          <w:lang w:val="en-US" w:eastAsia="zh-CN"/>
        </w:rPr>
        <w:t>9.</w:t>
      </w:r>
      <w:r>
        <w:rPr>
          <w:rFonts w:hint="eastAsia" w:hAnsi="仿宋_GB2312" w:cs="仿宋_GB2312"/>
          <w:bCs/>
          <w:kern w:val="44"/>
          <w:sz w:val="32"/>
          <w:szCs w:val="32"/>
          <w:highlight w:val="none"/>
          <w:lang w:eastAsia="zh-CN"/>
        </w:rPr>
        <w:t>卫生健康</w:t>
      </w:r>
      <w:r>
        <w:rPr>
          <w:rFonts w:hint="eastAsia" w:ascii="仿宋_GB2312" w:hAnsi="仿宋_GB2312" w:eastAsia="仿宋_GB2312" w:cs="仿宋_GB2312"/>
          <w:bCs/>
          <w:kern w:val="44"/>
          <w:sz w:val="32"/>
          <w:szCs w:val="32"/>
          <w:highlight w:val="none"/>
        </w:rPr>
        <w:t>支出(类)</w:t>
      </w:r>
      <w:r>
        <w:rPr>
          <w:rFonts w:hint="eastAsia" w:hAnsi="仿宋_GB2312" w:cs="仿宋_GB2312"/>
          <w:bCs/>
          <w:kern w:val="44"/>
          <w:sz w:val="32"/>
          <w:szCs w:val="32"/>
          <w:highlight w:val="none"/>
          <w:lang w:eastAsia="zh-CN"/>
        </w:rPr>
        <w:t>行政事业单位医疗</w:t>
      </w:r>
      <w:r>
        <w:rPr>
          <w:rFonts w:hint="eastAsia" w:ascii="仿宋_GB2312" w:hAnsi="仿宋_GB2312" w:cs="仿宋_GB2312"/>
          <w:bCs/>
          <w:kern w:val="44"/>
          <w:sz w:val="32"/>
          <w:szCs w:val="32"/>
          <w:highlight w:val="none"/>
          <w:lang w:eastAsia="zh-CN"/>
        </w:rPr>
        <w:t>（款）</w:t>
      </w:r>
      <w:r>
        <w:rPr>
          <w:rFonts w:hint="eastAsia" w:hAnsi="仿宋_GB2312" w:cs="仿宋_GB2312"/>
          <w:bCs/>
          <w:kern w:val="44"/>
          <w:sz w:val="32"/>
          <w:szCs w:val="32"/>
          <w:highlight w:val="none"/>
          <w:lang w:eastAsia="zh-CN"/>
        </w:rPr>
        <w:t>行政单位医疗（</w:t>
      </w:r>
      <w:r>
        <w:rPr>
          <w:rFonts w:hint="eastAsia" w:ascii="仿宋_GB2312" w:hAnsi="仿宋_GB2312" w:cs="仿宋_GB2312"/>
          <w:bCs/>
          <w:kern w:val="44"/>
          <w:sz w:val="32"/>
          <w:szCs w:val="32"/>
          <w:highlight w:val="none"/>
          <w:lang w:eastAsia="zh-CN"/>
        </w:rPr>
        <w:t>项）</w:t>
      </w:r>
      <w:r>
        <w:rPr>
          <w:rFonts w:hint="eastAsia" w:hAnsi="仿宋_GB2312" w:cs="仿宋_GB2312"/>
          <w:bCs/>
          <w:kern w:val="44"/>
          <w:sz w:val="32"/>
          <w:szCs w:val="32"/>
          <w:highlight w:val="none"/>
          <w:lang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14:paraId="19D7AF9C">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sz w:val="32"/>
          <w:szCs w:val="32"/>
          <w:highlight w:val="yellow"/>
          <w:lang w:eastAsia="zh-CN"/>
        </w:rPr>
      </w:pPr>
      <w:r>
        <w:rPr>
          <w:rFonts w:hint="eastAsia" w:hAnsi="仿宋_GB2312" w:cs="仿宋_GB2312"/>
          <w:bCs/>
          <w:kern w:val="44"/>
          <w:sz w:val="32"/>
          <w:szCs w:val="32"/>
          <w:highlight w:val="none"/>
          <w:lang w:val="en-US" w:eastAsia="zh-CN"/>
        </w:rPr>
        <w:t>10.</w:t>
      </w:r>
      <w:r>
        <w:rPr>
          <w:rFonts w:hint="eastAsia" w:hAnsi="仿宋_GB2312" w:cs="仿宋_GB2312"/>
          <w:bCs/>
          <w:kern w:val="44"/>
          <w:sz w:val="32"/>
          <w:szCs w:val="32"/>
          <w:highlight w:val="none"/>
          <w:lang w:eastAsia="zh-CN"/>
        </w:rPr>
        <w:t>住房保障支出</w:t>
      </w:r>
      <w:r>
        <w:rPr>
          <w:rFonts w:hint="eastAsia" w:ascii="仿宋_GB2312" w:hAnsi="仿宋_GB2312" w:eastAsia="仿宋_GB2312" w:cs="仿宋_GB2312"/>
          <w:bCs/>
          <w:kern w:val="44"/>
          <w:sz w:val="32"/>
          <w:szCs w:val="32"/>
          <w:highlight w:val="none"/>
        </w:rPr>
        <w:t>(类)</w:t>
      </w:r>
      <w:r>
        <w:rPr>
          <w:rFonts w:hint="eastAsia" w:hAnsi="仿宋_GB2312" w:cs="仿宋_GB2312"/>
          <w:bCs/>
          <w:kern w:val="44"/>
          <w:sz w:val="32"/>
          <w:szCs w:val="32"/>
          <w:highlight w:val="none"/>
          <w:lang w:eastAsia="zh-CN"/>
        </w:rPr>
        <w:t>住房改革支出</w:t>
      </w:r>
      <w:r>
        <w:rPr>
          <w:rFonts w:hint="eastAsia" w:ascii="仿宋_GB2312" w:hAnsi="仿宋_GB2312" w:cs="仿宋_GB2312"/>
          <w:bCs/>
          <w:kern w:val="44"/>
          <w:sz w:val="32"/>
          <w:szCs w:val="32"/>
          <w:highlight w:val="none"/>
          <w:lang w:eastAsia="zh-CN"/>
        </w:rPr>
        <w:t>（款）</w:t>
      </w:r>
      <w:r>
        <w:rPr>
          <w:rFonts w:hint="eastAsia" w:hAnsi="仿宋_GB2312" w:cs="仿宋_GB2312"/>
          <w:bCs/>
          <w:kern w:val="44"/>
          <w:sz w:val="32"/>
          <w:szCs w:val="32"/>
          <w:highlight w:val="none"/>
          <w:lang w:eastAsia="zh-CN"/>
        </w:rPr>
        <w:t>住房公积金（</w:t>
      </w:r>
      <w:r>
        <w:rPr>
          <w:rFonts w:hint="eastAsia" w:ascii="仿宋_GB2312" w:hAnsi="仿宋_GB2312" w:cs="仿宋_GB2312"/>
          <w:bCs/>
          <w:kern w:val="44"/>
          <w:sz w:val="32"/>
          <w:szCs w:val="32"/>
          <w:highlight w:val="none"/>
          <w:lang w:eastAsia="zh-CN"/>
        </w:rPr>
        <w:t>项）：反映行政事业单位按人力资源和社会保障部、财政部规定的基本工资和津贴补贴以及规定比例为职工缴纳的住房公积金。</w:t>
      </w:r>
    </w:p>
    <w:p w14:paraId="686371D1">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(十</w:t>
      </w:r>
      <w:r>
        <w:rPr>
          <w:rFonts w:hint="eastAsia" w:ascii="仿宋_GB2312" w:eastAsia="仿宋_GB2312"/>
          <w:bCs/>
          <w:kern w:val="44"/>
          <w:sz w:val="32"/>
          <w:szCs w:val="32"/>
          <w:highlight w:val="none"/>
          <w:lang w:eastAsia="zh-CN"/>
        </w:rPr>
        <w:t>一</w:t>
      </w:r>
      <w:r>
        <w:rPr>
          <w:rFonts w:hint="eastAsia" w:ascii="仿宋_GB2312" w:eastAsia="仿宋_GB2312"/>
          <w:bCs/>
          <w:kern w:val="44"/>
          <w:sz w:val="32"/>
          <w:szCs w:val="32"/>
          <w:highlight w:val="none"/>
        </w:rPr>
        <w:t>)结余分配：指事业单位按照会计制度规定缴纳</w:t>
      </w:r>
      <w:r>
        <w:rPr>
          <w:rFonts w:hint="eastAsia" w:ascii="仿宋_GB2312" w:eastAsia="仿宋_GB2312"/>
          <w:bCs/>
          <w:kern w:val="44"/>
          <w:sz w:val="32"/>
          <w:szCs w:val="32"/>
          <w:highlight w:val="none"/>
          <w:lang w:eastAsia="zh-CN"/>
        </w:rPr>
        <w:t>的企业</w:t>
      </w:r>
      <w:r>
        <w:rPr>
          <w:rFonts w:hint="eastAsia" w:ascii="仿宋_GB2312" w:eastAsia="仿宋_GB2312"/>
          <w:bCs/>
          <w:kern w:val="44"/>
          <w:sz w:val="32"/>
          <w:szCs w:val="32"/>
          <w:highlight w:val="none"/>
        </w:rPr>
        <w:t>所得税</w:t>
      </w:r>
      <w:r>
        <w:rPr>
          <w:rFonts w:hint="eastAsia" w:ascii="仿宋_GB2312" w:eastAsia="仿宋_GB2312"/>
          <w:bCs/>
          <w:kern w:val="44"/>
          <w:sz w:val="32"/>
          <w:szCs w:val="32"/>
          <w:highlight w:val="none"/>
          <w:lang w:eastAsia="zh-CN"/>
        </w:rPr>
        <w:t>、提取的专用结余以及转入非财政拨款结余的金额</w:t>
      </w:r>
      <w:r>
        <w:rPr>
          <w:rFonts w:hint="eastAsia" w:ascii="仿宋_GB2312" w:eastAsia="仿宋_GB2312"/>
          <w:bCs/>
          <w:kern w:val="44"/>
          <w:sz w:val="32"/>
          <w:szCs w:val="32"/>
          <w:highlight w:val="none"/>
        </w:rPr>
        <w:t>等。</w:t>
      </w:r>
    </w:p>
    <w:p w14:paraId="2D942680">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szCs w:val="32"/>
          <w:highlight w:val="none"/>
        </w:rPr>
      </w:pPr>
      <w:r>
        <w:rPr>
          <w:rFonts w:hint="eastAsia" w:ascii="仿宋_GB2312" w:eastAsia="仿宋_GB2312"/>
          <w:bCs/>
          <w:kern w:val="44"/>
          <w:sz w:val="32"/>
          <w:szCs w:val="32"/>
          <w:highlight w:val="none"/>
        </w:rPr>
        <w:t>(十</w:t>
      </w:r>
      <w:r>
        <w:rPr>
          <w:rFonts w:hint="eastAsia" w:ascii="仿宋_GB2312" w:eastAsia="仿宋_GB2312"/>
          <w:bCs/>
          <w:kern w:val="44"/>
          <w:sz w:val="32"/>
          <w:szCs w:val="32"/>
          <w:highlight w:val="none"/>
          <w:lang w:eastAsia="zh-CN"/>
        </w:rPr>
        <w:t>二</w:t>
      </w:r>
      <w:r>
        <w:rPr>
          <w:rFonts w:hint="eastAsia" w:ascii="仿宋_GB2312" w:eastAsia="仿宋_GB2312"/>
          <w:bCs/>
          <w:kern w:val="44"/>
          <w:sz w:val="32"/>
          <w:szCs w:val="32"/>
          <w:highlight w:val="none"/>
        </w:rPr>
        <w:t>)年末结转和结余：指单位</w:t>
      </w:r>
      <w:r>
        <w:rPr>
          <w:rFonts w:hint="eastAsia" w:ascii="仿宋_GB2312" w:eastAsia="仿宋_GB2312"/>
          <w:bCs/>
          <w:kern w:val="44"/>
          <w:sz w:val="32"/>
          <w:szCs w:val="32"/>
          <w:highlight w:val="none"/>
          <w:lang w:eastAsia="zh-CN"/>
        </w:rPr>
        <w:t>按有关规定结转到下年或以后年度继续使用的资金</w:t>
      </w:r>
      <w:r>
        <w:rPr>
          <w:rFonts w:hint="eastAsia" w:ascii="仿宋_GB2312" w:eastAsia="仿宋_GB2312"/>
          <w:bCs/>
          <w:kern w:val="44"/>
          <w:sz w:val="32"/>
          <w:szCs w:val="32"/>
          <w:highlight w:val="none"/>
        </w:rPr>
        <w:t>，或项目已完成等产生的结余资金。</w:t>
      </w:r>
    </w:p>
    <w:p w14:paraId="226D17AB">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(十</w:t>
      </w:r>
      <w:r>
        <w:rPr>
          <w:rFonts w:hint="eastAsia" w:ascii="仿宋_GB2312" w:eastAsia="仿宋_GB2312"/>
          <w:bCs/>
          <w:kern w:val="44"/>
          <w:sz w:val="32"/>
          <w:szCs w:val="32"/>
          <w:highlight w:val="none"/>
          <w:lang w:eastAsia="zh-CN"/>
        </w:rPr>
        <w:t>三</w:t>
      </w:r>
      <w:r>
        <w:rPr>
          <w:rFonts w:hint="eastAsia" w:ascii="仿宋_GB2312" w:eastAsia="仿宋_GB2312"/>
          <w:bCs/>
          <w:kern w:val="44"/>
          <w:sz w:val="32"/>
          <w:szCs w:val="32"/>
          <w:highlight w:val="none"/>
        </w:rPr>
        <w:t>)基本支出：指为保障机构正常运转、完成日常工作任务而发生的</w:t>
      </w:r>
      <w:r>
        <w:rPr>
          <w:rFonts w:ascii="仿宋_GB2312" w:eastAsia="仿宋_GB2312"/>
          <w:bCs/>
          <w:kern w:val="44"/>
          <w:sz w:val="32"/>
          <w:szCs w:val="32"/>
          <w:highlight w:val="none"/>
        </w:rPr>
        <w:t>人员支出和公用支出</w:t>
      </w:r>
      <w:r>
        <w:rPr>
          <w:rFonts w:hint="eastAsia" w:ascii="仿宋_GB2312" w:eastAsia="仿宋_GB2312"/>
          <w:bCs/>
          <w:kern w:val="44"/>
          <w:sz w:val="32"/>
          <w:szCs w:val="32"/>
          <w:highlight w:val="none"/>
        </w:rPr>
        <w:t>。</w:t>
      </w:r>
    </w:p>
    <w:p w14:paraId="52B6E846">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FangSong_GB2312" w:hAnsi="FangSong_GB2312" w:eastAsia="FangSong_GB2312"/>
          <w:color w:val="000000"/>
          <w:sz w:val="32"/>
          <w:szCs w:val="22"/>
        </w:rPr>
      </w:pPr>
      <w:r>
        <w:rPr>
          <w:rFonts w:hint="eastAsia" w:ascii="FangSong_GB2312" w:hAnsi="FangSong_GB2312" w:eastAsia="FangSong_GB2312"/>
          <w:color w:val="000000"/>
          <w:sz w:val="32"/>
          <w:szCs w:val="22"/>
        </w:rPr>
        <w:t>(十</w:t>
      </w:r>
      <w:r>
        <w:rPr>
          <w:rFonts w:hint="eastAsia" w:ascii="FangSong_GB2312" w:hAnsi="FangSong_GB2312" w:eastAsia="FangSong_GB2312"/>
          <w:color w:val="000000"/>
          <w:sz w:val="32"/>
          <w:szCs w:val="22"/>
          <w:lang w:eastAsia="zh-CN"/>
        </w:rPr>
        <w:t>四</w:t>
      </w:r>
      <w:r>
        <w:rPr>
          <w:rFonts w:hint="eastAsia" w:ascii="FangSong_GB2312" w:hAnsi="FangSong_GB2312" w:eastAsia="FangSong_GB2312"/>
          <w:color w:val="000000"/>
          <w:sz w:val="32"/>
          <w:szCs w:val="22"/>
        </w:rPr>
        <w:t>)项目支出：指在基本支出之外为完成特定行政任务或事业发展目标所发生的支出。</w:t>
      </w:r>
    </w:p>
    <w:p w14:paraId="66CFD36D">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w:t>
      </w:r>
      <w:r>
        <w:rPr>
          <w:rFonts w:hint="eastAsia" w:ascii="仿宋_GB2312" w:eastAsia="仿宋_GB2312"/>
          <w:bCs/>
          <w:kern w:val="44"/>
          <w:sz w:val="32"/>
          <w:szCs w:val="32"/>
          <w:highlight w:val="none"/>
        </w:rPr>
        <w:t>经营支出：指事业单位在专业活动及辅助活动之外开展非独立核算经营活动发生的支出。</w:t>
      </w:r>
    </w:p>
    <w:p w14:paraId="0BECDB13">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sz w:val="32"/>
          <w:szCs w:val="32"/>
          <w:highlight w:val="yellow"/>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六</w:t>
      </w:r>
      <w:r>
        <w:rPr>
          <w:rFonts w:hint="eastAsia" w:ascii="仿宋_GB2312" w:eastAsia="仿宋_GB2312"/>
          <w:sz w:val="32"/>
          <w:szCs w:val="32"/>
          <w:highlight w:val="none"/>
        </w:rPr>
        <w:t>)“三公”经费：</w:t>
      </w:r>
      <w:r>
        <w:rPr>
          <w:rFonts w:hint="eastAsia" w:ascii="仿宋_GB2312" w:eastAsia="仿宋_GB2312"/>
          <w:sz w:val="32"/>
          <w:szCs w:val="32"/>
          <w:highlight w:val="none"/>
          <w:lang w:eastAsia="zh-CN"/>
        </w:rPr>
        <w:t>纳入</w:t>
      </w:r>
      <w:r>
        <w:rPr>
          <w:rFonts w:hint="eastAsia" w:ascii="仿宋_GB2312"/>
          <w:sz w:val="32"/>
          <w:szCs w:val="32"/>
          <w:highlight w:val="none"/>
          <w:lang w:eastAsia="zh-CN"/>
        </w:rPr>
        <w:t>省级</w:t>
      </w:r>
      <w:r>
        <w:rPr>
          <w:rFonts w:hint="eastAsia" w:ascii="仿宋_GB2312" w:eastAsia="仿宋_GB2312"/>
          <w:sz w:val="32"/>
          <w:szCs w:val="32"/>
          <w:highlight w:val="none"/>
          <w:lang w:eastAsia="zh-CN"/>
        </w:rPr>
        <w:t>财政</w:t>
      </w:r>
      <w:r>
        <w:rPr>
          <w:rFonts w:hint="eastAsia" w:ascii="仿宋_GB2312"/>
          <w:sz w:val="32"/>
          <w:szCs w:val="32"/>
          <w:highlight w:val="none"/>
          <w:lang w:eastAsia="zh-CN"/>
        </w:rPr>
        <w:t>预决算</w:t>
      </w:r>
      <w:r>
        <w:rPr>
          <w:rFonts w:hint="eastAsia" w:ascii="仿宋_GB2312" w:eastAsia="仿宋_GB2312"/>
          <w:sz w:val="32"/>
          <w:szCs w:val="32"/>
          <w:highlight w:val="none"/>
          <w:lang w:eastAsia="zh-CN"/>
        </w:rPr>
        <w:t>管理的</w:t>
      </w:r>
      <w:r>
        <w:rPr>
          <w:rFonts w:hint="eastAsia" w:ascii="仿宋_GB2312" w:eastAsia="仿宋_GB2312"/>
          <w:sz w:val="32"/>
          <w:szCs w:val="32"/>
          <w:highlight w:val="none"/>
        </w:rPr>
        <w:t>“三公”经费</w:t>
      </w:r>
      <w:r>
        <w:rPr>
          <w:rFonts w:hint="eastAsia" w:ascii="仿宋_GB2312" w:eastAsia="仿宋_GB2312"/>
          <w:sz w:val="32"/>
          <w:szCs w:val="32"/>
          <w:highlight w:val="none"/>
          <w:lang w:eastAsia="zh-CN"/>
        </w:rPr>
        <w:t>，是</w:t>
      </w:r>
      <w:r>
        <w:rPr>
          <w:rFonts w:hint="eastAsia" w:ascii="仿宋_GB2312" w:eastAsia="仿宋_GB2312"/>
          <w:sz w:val="32"/>
          <w:szCs w:val="32"/>
          <w:highlight w:val="none"/>
        </w:rPr>
        <w:t>指</w:t>
      </w:r>
      <w:r>
        <w:rPr>
          <w:rFonts w:hint="eastAsia" w:ascii="仿宋_GB2312"/>
          <w:sz w:val="32"/>
          <w:szCs w:val="32"/>
          <w:highlight w:val="none"/>
          <w:lang w:eastAsia="zh-CN"/>
        </w:rPr>
        <w:t>省</w:t>
      </w:r>
      <w:r>
        <w:rPr>
          <w:rFonts w:hint="eastAsia" w:ascii="仿宋_GB2312" w:eastAsia="仿宋_GB2312"/>
          <w:sz w:val="32"/>
          <w:szCs w:val="32"/>
          <w:highlight w:val="none"/>
          <w:lang w:eastAsia="zh-CN"/>
        </w:rPr>
        <w:t>直部门</w:t>
      </w:r>
      <w:r>
        <w:rPr>
          <w:rFonts w:hint="eastAsia" w:ascii="仿宋_GB2312" w:eastAsia="仿宋_GB2312"/>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eastAsia="仿宋_GB2312"/>
          <w:sz w:val="32"/>
          <w:szCs w:val="32"/>
          <w:highlight w:val="none"/>
          <w:lang w:eastAsia="zh-CN"/>
        </w:rPr>
        <w:t>、牌照费</w:t>
      </w:r>
      <w:r>
        <w:rPr>
          <w:rFonts w:hint="eastAsia" w:ascii="仿宋_GB2312" w:eastAsia="仿宋_GB2312"/>
          <w:sz w:val="32"/>
          <w:szCs w:val="32"/>
          <w:highlight w:val="none"/>
        </w:rPr>
        <w:t>)及燃料费、维修费、过桥过路费、保险费、安全奖励费用等支出；公务接待费反映单位按规定开支的各类公务接待(含外宾接待)费用。</w:t>
      </w:r>
    </w:p>
    <w:p w14:paraId="66CB9DEA">
      <w:pPr>
        <w:pageBreakBefore w:val="0"/>
        <w:widowControl w:val="0"/>
        <w:kinsoku/>
        <w:wordWrap/>
        <w:overflowPunct/>
        <w:topLinePunct w:val="0"/>
        <w:bidi w:val="0"/>
        <w:snapToGrid w:val="0"/>
        <w:spacing w:line="360" w:lineRule="auto"/>
        <w:ind w:firstLine="640" w:firstLineChars="200"/>
        <w:textAlignment w:val="auto"/>
        <w:rPr>
          <w:rFonts w:hint="eastAsia" w:ascii="仿宋_GB2312" w:eastAsia="仿宋_GB2312"/>
          <w:sz w:val="32"/>
          <w:szCs w:val="32"/>
          <w:highlight w:val="yellow"/>
          <w:lang w:eastAsia="zh-CN"/>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七</w:t>
      </w:r>
      <w:r>
        <w:rPr>
          <w:rFonts w:hint="eastAsia" w:ascii="仿宋_GB2312" w:eastAsia="仿宋_GB2312"/>
          <w:sz w:val="32"/>
          <w:szCs w:val="32"/>
          <w:highlight w:val="none"/>
        </w:rPr>
        <w:t>)机关运行经费：指为保障行政单位（</w:t>
      </w:r>
      <w:r>
        <w:rPr>
          <w:rFonts w:hint="eastAsia" w:ascii="仿宋_GB2312" w:eastAsia="仿宋_GB2312"/>
          <w:sz w:val="32"/>
          <w:szCs w:val="32"/>
          <w:highlight w:val="none"/>
          <w:lang w:eastAsia="zh-CN"/>
        </w:rPr>
        <w:t>包括</w:t>
      </w:r>
      <w:r>
        <w:rPr>
          <w:rFonts w:hint="eastAsia" w:ascii="仿宋_GB2312" w:eastAsia="仿宋_GB2312"/>
          <w:sz w:val="32"/>
          <w:szCs w:val="32"/>
          <w:highlight w:val="none"/>
        </w:rPr>
        <w:t>参照公务员法管理的事业单位）运行用于购买货物和服务的各项资金，</w:t>
      </w:r>
      <w:r>
        <w:rPr>
          <w:rFonts w:ascii="仿宋_GB2312" w:eastAsia="仿宋_GB2312"/>
          <w:sz w:val="32"/>
          <w:szCs w:val="32"/>
          <w:highlight w:val="none"/>
        </w:rPr>
        <w:t>包括办公</w:t>
      </w:r>
      <w:r>
        <w:rPr>
          <w:rFonts w:hint="eastAsia" w:ascii="仿宋_GB2312" w:eastAsia="仿宋_GB2312"/>
          <w:sz w:val="32"/>
          <w:szCs w:val="32"/>
          <w:highlight w:val="none"/>
          <w:lang w:eastAsia="zh-CN"/>
        </w:rPr>
        <w:t>费、</w:t>
      </w:r>
      <w:r>
        <w:rPr>
          <w:rFonts w:ascii="仿宋_GB2312" w:eastAsia="仿宋_GB2312"/>
          <w:sz w:val="32"/>
          <w:szCs w:val="32"/>
          <w:highlight w:val="none"/>
        </w:rPr>
        <w:t>印刷费、邮电费、差旅费、会议费、福利费、日常维修费、专用材料及一般设备购置费、办公用房水电费、</w:t>
      </w:r>
      <w:r>
        <w:rPr>
          <w:rFonts w:hint="eastAsia" w:ascii="仿宋_GB2312" w:eastAsia="仿宋_GB2312"/>
          <w:sz w:val="32"/>
          <w:szCs w:val="32"/>
          <w:highlight w:val="none"/>
        </w:rPr>
        <w:t>办公用房取暖费、</w:t>
      </w:r>
      <w:r>
        <w:rPr>
          <w:rFonts w:ascii="仿宋_GB2312" w:eastAsia="仿宋_GB2312"/>
          <w:sz w:val="32"/>
          <w:szCs w:val="32"/>
          <w:highlight w:val="none"/>
        </w:rPr>
        <w:t>办公用房物业管理费、公务用车运行维护费以及其他费用。</w:t>
      </w:r>
    </w:p>
    <w:p w14:paraId="20A3BDD4">
      <w:pPr>
        <w:pageBreakBefore w:val="0"/>
        <w:widowControl w:val="0"/>
        <w:kinsoku/>
        <w:wordWrap/>
        <w:overflowPunct/>
        <w:topLinePunct w:val="0"/>
        <w:bidi w:val="0"/>
        <w:spacing w:line="360" w:lineRule="auto"/>
        <w:ind w:firstLine="64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八</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其他专用名词。</w:t>
      </w:r>
    </w:p>
    <w:p w14:paraId="5327965F">
      <w:pPr>
        <w:pStyle w:val="7"/>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本部门无其他专用名词。</w:t>
      </w:r>
    </w:p>
    <w:p w14:paraId="6C901A5B">
      <w:pPr>
        <w:pStyle w:val="7"/>
        <w:rPr>
          <w:rFonts w:hint="eastAsia" w:ascii="黑体" w:hAnsi="黑体" w:eastAsia="黑体" w:cs="黑体"/>
          <w:sz w:val="32"/>
          <w:szCs w:val="32"/>
          <w:lang w:val="en-US" w:eastAsia="zh-CN"/>
        </w:rPr>
      </w:pPr>
    </w:p>
    <w:p w14:paraId="48D48888">
      <w:pPr>
        <w:pStyle w:val="7"/>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第六部分  附件</w:t>
      </w:r>
    </w:p>
    <w:p w14:paraId="39832915">
      <w:pPr>
        <w:jc w:val="center"/>
        <w:rPr>
          <w:rFonts w:hint="eastAsia" w:ascii="方正小标宋_GBK" w:hAnsi="仿宋" w:eastAsia="方正小标宋_GBK" w:cs="方正小标宋_GBK"/>
          <w:sz w:val="36"/>
          <w:szCs w:val="36"/>
          <w:lang w:val="en-US" w:eastAsia="zh-CN"/>
        </w:rPr>
      </w:pPr>
    </w:p>
    <w:p w14:paraId="4461F94E">
      <w:pPr>
        <w:jc w:val="center"/>
        <w:rPr>
          <w:rFonts w:hint="eastAsia" w:ascii="宋体" w:hAnsi="宋体" w:eastAsia="宋体" w:cs="宋体"/>
          <w:b w:val="0"/>
          <w:bCs w:val="0"/>
          <w:color w:val="auto"/>
          <w:kern w:val="0"/>
          <w:sz w:val="30"/>
          <w:szCs w:val="30"/>
        </w:rPr>
      </w:pPr>
      <w:r>
        <w:rPr>
          <w:rFonts w:hint="eastAsia" w:ascii="方正小标宋_GBK" w:hAnsi="仿宋" w:eastAsia="方正小标宋_GBK" w:cs="方正小标宋_GBK"/>
          <w:sz w:val="36"/>
          <w:szCs w:val="36"/>
          <w:lang w:val="en-US" w:eastAsia="zh-CN"/>
        </w:rPr>
        <w:t>2023</w:t>
      </w:r>
      <w:r>
        <w:rPr>
          <w:rFonts w:hint="eastAsia" w:ascii="方正小标宋_GBK" w:hAnsi="仿宋" w:eastAsia="方正小标宋_GBK" w:cs="方正小标宋_GBK"/>
          <w:sz w:val="36"/>
          <w:szCs w:val="36"/>
        </w:rPr>
        <w:t>年</w:t>
      </w:r>
      <w:r>
        <w:rPr>
          <w:rFonts w:hint="eastAsia" w:ascii="方正小标宋_GBK" w:hAnsi="仿宋" w:eastAsia="方正小标宋_GBK" w:cs="方正小标宋_GBK"/>
          <w:sz w:val="36"/>
          <w:szCs w:val="36"/>
          <w:lang w:val="en-US" w:eastAsia="zh-CN"/>
        </w:rPr>
        <w:t>度</w:t>
      </w:r>
      <w:r>
        <w:rPr>
          <w:rFonts w:hint="eastAsia" w:ascii="方正小标宋_GBK" w:hAnsi="仿宋" w:eastAsia="方正小标宋_GBK" w:cs="方正小标宋_GBK"/>
          <w:sz w:val="36"/>
          <w:szCs w:val="36"/>
          <w:lang w:eastAsia="zh-CN"/>
        </w:rPr>
        <w:t>葛店开发区财政金融局</w:t>
      </w:r>
      <w:r>
        <w:rPr>
          <w:rFonts w:hint="eastAsia" w:ascii="方正小标宋_GBK" w:hAnsi="仿宋" w:eastAsia="方正小标宋_GBK" w:cs="方正小标宋_GBK"/>
          <w:sz w:val="36"/>
          <w:szCs w:val="36"/>
        </w:rPr>
        <w:t>整体绩效自评结果</w:t>
      </w:r>
    </w:p>
    <w:p w14:paraId="77D65AC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基本情况</w:t>
      </w:r>
    </w:p>
    <w:p w14:paraId="2E3575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rPr>
      </w:pPr>
      <w:r>
        <w:rPr>
          <w:rFonts w:hint="eastAsia" w:ascii="Times New Roman" w:hAnsi="Times New Roman" w:eastAsia="仿宋" w:cs="Times New Roman"/>
          <w:color w:val="000000"/>
          <w:sz w:val="32"/>
          <w:szCs w:val="32"/>
          <w:highlight w:val="none"/>
          <w:lang w:val="en-US" w:eastAsia="zh-CN"/>
        </w:rPr>
        <w:t>2023年以来，鄂州葛店经济技术开发区财政金融审计局在工委、管委会的坚强领导下，财政金融审计局严格按照</w:t>
      </w:r>
      <w:r>
        <w:rPr>
          <w:rFonts w:hint="eastAsia" w:ascii="Times New Roman" w:hAnsi="Times New Roman" w:eastAsia="仿宋" w:cs="Times New Roman"/>
          <w:color w:val="000000"/>
          <w:sz w:val="32"/>
          <w:szCs w:val="32"/>
          <w:highlight w:val="none"/>
          <w:lang w:eastAsia="zh-CN"/>
        </w:rPr>
        <w:t>中央、省、市各项决策部署</w:t>
      </w:r>
      <w:r>
        <w:rPr>
          <w:rFonts w:hint="eastAsia" w:ascii="Times New Roman" w:hAnsi="Times New Roman" w:eastAsia="仿宋" w:cs="Times New Roman"/>
          <w:color w:val="000000"/>
          <w:sz w:val="32"/>
          <w:szCs w:val="32"/>
          <w:highlight w:val="none"/>
          <w:lang w:val="en-US" w:eastAsia="zh-CN"/>
        </w:rPr>
        <w:t>，认真贯彻落实区三级干部会议精神，紧盯全年目标任务，全力做好财政收支计划编制、财政管理工作、国库管理工作、国有资产管理和监督、预算部门的财务收支情况管理和监督等相关各项工作，</w:t>
      </w:r>
      <w:r>
        <w:rPr>
          <w:rFonts w:hint="eastAsia" w:ascii="仿宋" w:hAnsi="仿宋" w:eastAsia="仿宋" w:cs="仿宋"/>
          <w:sz w:val="32"/>
          <w:szCs w:val="32"/>
          <w:lang w:val="en-US" w:eastAsia="zh-CN"/>
        </w:rPr>
        <w:t>紧紧围绕经开区的发展战略和决策部署，强化政治担当，凝心聚力抓落实，实干笃行开新局，为经开区高质量发展提供坚实财力保障</w:t>
      </w:r>
      <w:r>
        <w:rPr>
          <w:rFonts w:hint="eastAsia" w:ascii="Times New Roman" w:hAnsi="Times New Roman" w:eastAsia="仿宋" w:cs="Times New Roman"/>
          <w:color w:val="000000"/>
          <w:sz w:val="32"/>
          <w:szCs w:val="32"/>
          <w:highlight w:val="none"/>
          <w:lang w:val="en-US" w:eastAsia="zh-CN"/>
        </w:rPr>
        <w:t>。2023年预算安排1,185.86万元，财政下达预算指标547.98万元，决算支出477.04万元，其中：基本支出272.49万元、项目支出204.55万元；资金来源为一般公共预算财政拨款资金。</w:t>
      </w:r>
    </w:p>
    <w:p w14:paraId="7ECEB8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部门自评工作开展情况</w:t>
      </w:r>
    </w:p>
    <w:p w14:paraId="7ECBB0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根据葛店经开区财政金融审计局《关于做好2023年度绩效自评工作的通知》（鄂葛财发〔2024〕3号）文，区财政金融审计局成立了绩效评价自评小组，编制了绩效自评工作方案，确定了绩效自评的范围和内容等事项。具体开展情况如下：</w:t>
      </w:r>
    </w:p>
    <w:p w14:paraId="09A16B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（一）成立部门自评小组</w:t>
      </w:r>
    </w:p>
    <w:p w14:paraId="24C5C39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本次绩效自评小组由区财政金融审计局朱丽芳和各业务单位预算负责人组成，其中朱丽芳为主要负责人，按照对接区财政金融审计局以及各业务单位，同时区财金局自评通知的文件要求时间节点完成所有项目自评、部门整体自评以及部门整体自评报告的撰写。</w:t>
      </w:r>
    </w:p>
    <w:p w14:paraId="53FA47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（二）绩效评价自评范围和内容</w:t>
      </w:r>
    </w:p>
    <w:p w14:paraId="6B8715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1.部门自评范围</w:t>
      </w:r>
    </w:p>
    <w:p w14:paraId="00D528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对本部门2023年度整体绩效情况开展自评。</w:t>
      </w:r>
    </w:p>
    <w:p w14:paraId="7F0993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2.部门自评内容</w:t>
      </w:r>
    </w:p>
    <w:p w14:paraId="1AF14F9D">
      <w:pPr>
        <w:spacing w:line="59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主要围绕部门和单位职责、行业发展规划，以预算资金管理为主线，统筹考虑资产和业务活动，从运行成本、管理效率、履职效能、社会效应、可持续发展能力和服务对象满意度等方面，衡量部门整体及核心业务实施效果，侧重于提高部门整体绩效水平。</w:t>
      </w:r>
    </w:p>
    <w:p w14:paraId="5FE952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（三）绩效自评工作开展情况</w:t>
      </w:r>
    </w:p>
    <w:p w14:paraId="6A29FC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1.收集绩效管理信息。我单位对照部门整体支出绩效目标，以绩效目标执行情况及资金使用情况为重点收集了单位业务资料及单位决算数据等绩效信息资料。</w:t>
      </w:r>
    </w:p>
    <w:p w14:paraId="5AD374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2.分析相关绩效信息资料。我单位在收集上述绩效信息的基础上，逐个对部门整体支出绩效目标完成情况进行了核对，并对存在未完成的绩效目标任务进行了原因分析及下一步改进措施说明。</w:t>
      </w:r>
    </w:p>
    <w:p w14:paraId="1123F3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3.填报自评表及撰写报告。我单位在分析前述绩效管理信息的基础上，填报《部门整体支出绩效自评表》，并根据自评表内容撰写形成本报告内容。</w:t>
      </w:r>
    </w:p>
    <w:p w14:paraId="06F486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部门整体绩效目标完成情况</w:t>
      </w:r>
    </w:p>
    <w:p w14:paraId="7CACE3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b/>
          <w:bCs/>
          <w:sz w:val="32"/>
          <w:szCs w:val="32"/>
        </w:rPr>
      </w:pPr>
      <w:r>
        <w:rPr>
          <w:rFonts w:hint="eastAsia" w:ascii="仿宋_GB2312" w:hAnsi="仿宋" w:eastAsia="仿宋_GB2312" w:cs="仿宋_GB2312"/>
          <w:b/>
          <w:bCs/>
          <w:sz w:val="32"/>
          <w:szCs w:val="32"/>
          <w:lang w:eastAsia="zh-CN"/>
        </w:rPr>
        <w:t>（</w:t>
      </w:r>
      <w:r>
        <w:rPr>
          <w:rFonts w:hint="eastAsia" w:ascii="仿宋_GB2312" w:hAnsi="仿宋" w:eastAsia="仿宋_GB2312" w:cs="仿宋_GB2312"/>
          <w:b/>
          <w:bCs/>
          <w:sz w:val="32"/>
          <w:szCs w:val="32"/>
          <w:lang w:val="en-US" w:eastAsia="zh-CN"/>
        </w:rPr>
        <w:t>一）</w:t>
      </w:r>
      <w:r>
        <w:rPr>
          <w:rFonts w:hint="eastAsia" w:ascii="仿宋_GB2312" w:hAnsi="仿宋" w:eastAsia="仿宋_GB2312" w:cs="仿宋_GB2312"/>
          <w:b/>
          <w:bCs/>
          <w:sz w:val="32"/>
          <w:szCs w:val="32"/>
        </w:rPr>
        <w:t>运行成本指标完成情况</w:t>
      </w:r>
    </w:p>
    <w:p w14:paraId="5749DE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评价小组从公用经费控制、在职人员控制、项目支出成本控制等方面对运行成本指标完成情况进行分析。</w:t>
      </w:r>
    </w:p>
    <w:p w14:paraId="23A9A8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1.公用经费控制指标分析</w:t>
      </w:r>
    </w:p>
    <w:p w14:paraId="02D54B1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（1）公用经费控制率</w:t>
      </w:r>
    </w:p>
    <w:p w14:paraId="0FF156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2023年部门公用经费</w:t>
      </w:r>
      <w:r>
        <w:rPr>
          <w:rFonts w:hint="eastAsia" w:ascii="仿宋_GB2312" w:hAnsi="仿宋" w:eastAsia="仿宋_GB2312" w:cs="仿宋_GB2312"/>
          <w:sz w:val="32"/>
          <w:szCs w:val="32"/>
          <w:highlight w:val="none"/>
          <w:lang w:val="en-US" w:eastAsia="zh-CN"/>
        </w:rPr>
        <w:t>预算20.05万元</w:t>
      </w:r>
      <w:r>
        <w:rPr>
          <w:rFonts w:hint="eastAsia" w:ascii="仿宋_GB2312" w:hAnsi="仿宋" w:eastAsia="仿宋_GB2312" w:cs="仿宋_GB2312"/>
          <w:sz w:val="32"/>
          <w:szCs w:val="32"/>
          <w:lang w:val="en-US" w:eastAsia="zh-CN"/>
        </w:rPr>
        <w:t>，实际支出14.01万元，则公用经费控制率为69.88%，达到了年初目标。</w:t>
      </w:r>
    </w:p>
    <w:p w14:paraId="4B146E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2.在职人员控制指标分析</w:t>
      </w:r>
    </w:p>
    <w:p w14:paraId="790C6ED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（1）在职人员控制率</w:t>
      </w:r>
    </w:p>
    <w:p w14:paraId="7765D83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 w:eastAsia="仿宋_GB2312" w:cs="仿宋_GB2312"/>
          <w:sz w:val="32"/>
          <w:szCs w:val="32"/>
          <w:highlight w:val="yellow"/>
          <w:lang w:val="en-US" w:eastAsia="zh-CN"/>
        </w:rPr>
      </w:pP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highlight w:val="none"/>
          <w:lang w:val="en-US" w:eastAsia="zh-CN"/>
        </w:rPr>
        <w:t xml:space="preserve"> 截至2023年12月31日，单位行政编</w:t>
      </w:r>
      <w:r>
        <w:rPr>
          <w:rFonts w:hint="eastAsia" w:ascii="仿宋_GB2312" w:hAnsi="仿宋" w:cs="仿宋_GB2312"/>
          <w:sz w:val="32"/>
          <w:szCs w:val="32"/>
          <w:highlight w:val="none"/>
          <w:lang w:val="en-US" w:eastAsia="zh-CN"/>
        </w:rPr>
        <w:t>4</w:t>
      </w:r>
      <w:r>
        <w:rPr>
          <w:rFonts w:hint="eastAsia" w:ascii="仿宋_GB2312" w:hAnsi="仿宋" w:eastAsia="仿宋_GB2312" w:cs="仿宋_GB2312"/>
          <w:sz w:val="32"/>
          <w:szCs w:val="32"/>
          <w:highlight w:val="none"/>
          <w:lang w:val="en-US" w:eastAsia="zh-CN"/>
        </w:rPr>
        <w:t>人，</w:t>
      </w:r>
      <w:r>
        <w:rPr>
          <w:rFonts w:hint="eastAsia" w:ascii="仿宋_GB2312" w:hAnsi="仿宋" w:cs="仿宋_GB2312"/>
          <w:sz w:val="32"/>
          <w:szCs w:val="32"/>
          <w:highlight w:val="none"/>
          <w:lang w:val="en-US" w:eastAsia="zh-CN"/>
        </w:rPr>
        <w:t>工勤编2人，</w:t>
      </w:r>
      <w:r>
        <w:rPr>
          <w:rFonts w:hint="eastAsia" w:ascii="仿宋_GB2312" w:hAnsi="仿宋" w:eastAsia="仿宋_GB2312" w:cs="仿宋_GB2312"/>
          <w:sz w:val="32"/>
          <w:szCs w:val="32"/>
          <w:highlight w:val="none"/>
          <w:lang w:val="en-US" w:eastAsia="zh-CN"/>
        </w:rPr>
        <w:t>事业编2人，</w:t>
      </w:r>
      <w:r>
        <w:rPr>
          <w:rFonts w:hint="eastAsia" w:ascii="仿宋_GB2312" w:hAnsi="仿宋" w:cs="仿宋_GB2312"/>
          <w:sz w:val="32"/>
          <w:szCs w:val="32"/>
          <w:highlight w:val="none"/>
          <w:lang w:val="en-US" w:eastAsia="zh-CN"/>
        </w:rPr>
        <w:t>政府雇员3人，</w:t>
      </w:r>
      <w:r>
        <w:rPr>
          <w:rFonts w:hint="eastAsia" w:ascii="仿宋_GB2312" w:hAnsi="仿宋" w:eastAsia="仿宋_GB2312" w:cs="仿宋_GB2312"/>
          <w:sz w:val="32"/>
          <w:szCs w:val="32"/>
          <w:highlight w:val="none"/>
          <w:lang w:val="en-US" w:eastAsia="zh-CN"/>
        </w:rPr>
        <w:t>退休人员</w:t>
      </w:r>
      <w:r>
        <w:rPr>
          <w:rFonts w:hint="eastAsia" w:ascii="仿宋_GB2312" w:hAnsi="仿宋" w:cs="仿宋_GB2312"/>
          <w:sz w:val="32"/>
          <w:szCs w:val="32"/>
          <w:highlight w:val="none"/>
          <w:lang w:val="en-US" w:eastAsia="zh-CN"/>
        </w:rPr>
        <w:t>3</w:t>
      </w:r>
      <w:r>
        <w:rPr>
          <w:rFonts w:hint="eastAsia" w:ascii="仿宋_GB2312" w:hAnsi="仿宋" w:eastAsia="仿宋_GB2312" w:cs="仿宋_GB2312"/>
          <w:sz w:val="32"/>
          <w:szCs w:val="32"/>
          <w:highlight w:val="none"/>
          <w:lang w:val="en-US" w:eastAsia="zh-CN"/>
        </w:rPr>
        <w:t>人。年末实际在职人员</w:t>
      </w:r>
      <w:r>
        <w:rPr>
          <w:rFonts w:hint="eastAsia" w:ascii="仿宋_GB2312" w:hAnsi="仿宋" w:cs="仿宋_GB2312"/>
          <w:sz w:val="32"/>
          <w:szCs w:val="32"/>
          <w:highlight w:val="none"/>
          <w:lang w:val="en-US" w:eastAsia="zh-CN"/>
        </w:rPr>
        <w:t>8</w:t>
      </w:r>
      <w:r>
        <w:rPr>
          <w:rFonts w:hint="eastAsia" w:ascii="仿宋_GB2312" w:hAnsi="仿宋" w:eastAsia="仿宋_GB2312" w:cs="仿宋_GB2312"/>
          <w:sz w:val="32"/>
          <w:szCs w:val="32"/>
          <w:highlight w:val="none"/>
          <w:lang w:val="en-US" w:eastAsia="zh-CN"/>
        </w:rPr>
        <w:t>人，其他人员</w:t>
      </w:r>
      <w:r>
        <w:rPr>
          <w:rFonts w:hint="eastAsia" w:ascii="仿宋_GB2312" w:hAnsi="仿宋" w:cs="仿宋_GB2312"/>
          <w:sz w:val="32"/>
          <w:szCs w:val="32"/>
          <w:highlight w:val="none"/>
          <w:lang w:val="en-US" w:eastAsia="zh-CN"/>
        </w:rPr>
        <w:t>3</w:t>
      </w:r>
      <w:r>
        <w:rPr>
          <w:rFonts w:hint="eastAsia" w:ascii="仿宋_GB2312" w:hAnsi="仿宋" w:eastAsia="仿宋_GB2312" w:cs="仿宋_GB2312"/>
          <w:sz w:val="32"/>
          <w:szCs w:val="32"/>
          <w:highlight w:val="none"/>
          <w:lang w:val="en-US" w:eastAsia="zh-CN"/>
        </w:rPr>
        <w:t>人，控制率在100%以内，达到了年初目标。</w:t>
      </w:r>
    </w:p>
    <w:p w14:paraId="7FF422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3.项目支出成本控制指标分析</w:t>
      </w:r>
    </w:p>
    <w:p w14:paraId="353B05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（1）会议费控制率</w:t>
      </w:r>
    </w:p>
    <w:p w14:paraId="6A3BA4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2023年单位未编制会议费预算，且未发生会议费支出，控制率在100%以内，达到了年初目标。</w:t>
      </w:r>
    </w:p>
    <w:p w14:paraId="7DA07B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（2）三公经费变动率</w:t>
      </w:r>
    </w:p>
    <w:p w14:paraId="72D96F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2023年单位未编制三公经费预算，且未发生三公经费支出，控制率在0%以内，达到了年初目标。</w:t>
      </w:r>
    </w:p>
    <w:p w14:paraId="0461D0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b/>
          <w:bCs/>
          <w:sz w:val="32"/>
          <w:szCs w:val="32"/>
        </w:rPr>
      </w:pPr>
      <w:r>
        <w:rPr>
          <w:rFonts w:hint="eastAsia" w:ascii="仿宋_GB2312" w:hAnsi="仿宋" w:eastAsia="仿宋_GB2312" w:cs="仿宋_GB2312"/>
          <w:b/>
          <w:bCs/>
          <w:sz w:val="32"/>
          <w:szCs w:val="32"/>
          <w:lang w:val="en-US" w:eastAsia="zh-CN"/>
        </w:rPr>
        <w:t>（二）</w:t>
      </w:r>
      <w:r>
        <w:rPr>
          <w:rFonts w:hint="eastAsia" w:ascii="仿宋_GB2312" w:hAnsi="仿宋" w:eastAsia="仿宋_GB2312" w:cs="仿宋_GB2312"/>
          <w:b/>
          <w:bCs/>
          <w:sz w:val="32"/>
          <w:szCs w:val="32"/>
        </w:rPr>
        <w:t>管理效率指标完成情况</w:t>
      </w:r>
    </w:p>
    <w:p w14:paraId="1E1EF9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评价小组从战略管理、预算编制、预算执行、绩效管理、资产管理、财务管理等方面对管理效率指标完成情况进行分析。</w:t>
      </w:r>
    </w:p>
    <w:p w14:paraId="5F9E6A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1.战略管理指标分析</w:t>
      </w:r>
    </w:p>
    <w:p w14:paraId="0524E9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（1）中长期规划相符性</w:t>
      </w:r>
    </w:p>
    <w:p w14:paraId="10653B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2023年单位未编制中长期规划。</w:t>
      </w:r>
    </w:p>
    <w:p w14:paraId="23B335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（2）工作计划健全性</w:t>
      </w:r>
    </w:p>
    <w:p w14:paraId="3FB684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2023年单位编制了工作计划，工作计划健全。</w:t>
      </w:r>
    </w:p>
    <w:p w14:paraId="1A1781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2.预算编制指标分析</w:t>
      </w:r>
    </w:p>
    <w:p w14:paraId="19EEA2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_GB2312" w:hAnsi="仿宋" w:eastAsia="仿宋_GB2312" w:cs="仿宋_GB2312"/>
          <w:sz w:val="32"/>
          <w:szCs w:val="32"/>
          <w:lang w:val="en-US" w:eastAsia="zh-CN"/>
        </w:rPr>
      </w:pPr>
      <w:r>
        <w:rPr>
          <w:rFonts w:hint="eastAsia" w:ascii="仿宋" w:hAnsi="仿宋" w:eastAsia="仿宋" w:cs="仿宋"/>
          <w:sz w:val="32"/>
          <w:szCs w:val="32"/>
          <w:lang w:val="en-US" w:eastAsia="zh-CN"/>
        </w:rPr>
        <w:t>（1）</w:t>
      </w:r>
      <w:r>
        <w:rPr>
          <w:rFonts w:hint="eastAsia" w:ascii="仿宋_GB2312" w:hAnsi="仿宋" w:eastAsia="仿宋_GB2312" w:cs="仿宋_GB2312"/>
          <w:sz w:val="32"/>
          <w:szCs w:val="32"/>
          <w:lang w:val="en-US" w:eastAsia="zh-CN"/>
        </w:rPr>
        <w:t>预算编制科学性</w:t>
      </w:r>
    </w:p>
    <w:p w14:paraId="4542A5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 w:hAnsi="仿宋" w:eastAsia="仿宋" w:cs="仿宋"/>
          <w:sz w:val="32"/>
          <w:szCs w:val="32"/>
          <w:lang w:val="en-US" w:eastAsia="zh-CN"/>
        </w:rPr>
        <w:t>2023年单位根据区财金局下达的2023年预算编制通知文件要求，编制了2023年部门预算，预算内容与项目内容匹配，除存在不确定性因素较大的预算项目，未能提供充分的测算依据外，其他项目测算依据较充分，预算编制相对较科学。</w:t>
      </w:r>
    </w:p>
    <w:p w14:paraId="1B1860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（2）预算编制合理性</w:t>
      </w:r>
    </w:p>
    <w:p w14:paraId="4F9D0E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除部分项目测算标准不够明确外，其他项目预算编制基本是根据年初计划实施内容和工作标准合理测算预算额度，预算编制相对较合理。</w:t>
      </w:r>
    </w:p>
    <w:p w14:paraId="5DB56E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（3）立项规范性</w:t>
      </w:r>
    </w:p>
    <w:p w14:paraId="577027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2023年预算项目立项程序规范，是按照规定程序申请设立，立项前经过了集体决策，审批文件、材料符合相关要求。 </w:t>
      </w:r>
    </w:p>
    <w:p w14:paraId="0E61F3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（4）预算调整率</w:t>
      </w:r>
    </w:p>
    <w:p w14:paraId="6A76FB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2023年预算安排1,185.86万元，财政下达预算指标547.98万元，较年初预算数调减了637.88万元，预算调整率为53.79%，未达到年初目标。</w:t>
      </w:r>
    </w:p>
    <w:p w14:paraId="0CA4F6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3.预算执行指标分析</w:t>
      </w:r>
    </w:p>
    <w:p w14:paraId="722662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（1）预算执行率</w:t>
      </w:r>
    </w:p>
    <w:p w14:paraId="05C8E5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2023年单位调整后预算数547.98万元，预算执行数477.04万元，预算执行率为87.05%。</w:t>
      </w:r>
    </w:p>
    <w:p w14:paraId="06B266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（2）结转结余率</w:t>
      </w:r>
    </w:p>
    <w:p w14:paraId="483ACF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2023年单位结转结余率为12.95%（1-预算总执行率87.05%），未达到年初目标。</w:t>
      </w:r>
    </w:p>
    <w:p w14:paraId="4B4611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（3）政府采购执行率</w:t>
      </w:r>
    </w:p>
    <w:p w14:paraId="249C4A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2023年单位政府采购预算调整为97.30万元，实际支出97.30万元，执行率为100%。</w:t>
      </w:r>
    </w:p>
    <w:p w14:paraId="588847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（4）非税收入预算完成率</w:t>
      </w:r>
    </w:p>
    <w:p w14:paraId="1ACB78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2023年单位未编制非税收入预算，也未发生非税收入。</w:t>
      </w:r>
    </w:p>
    <w:p w14:paraId="19D329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4.绩效管理指标分析</w:t>
      </w:r>
    </w:p>
    <w:p w14:paraId="187D61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（1）事前绩效评估完成率</w:t>
      </w:r>
    </w:p>
    <w:p w14:paraId="0C8852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2023年单位按照事前绩效评估的要求，对纳入评估范围的预算项目进行了绩效评估，完成率为100%。</w:t>
      </w:r>
    </w:p>
    <w:p w14:paraId="364280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（2）绩效目标合理性</w:t>
      </w:r>
    </w:p>
    <w:p w14:paraId="518AEA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2023年单位设置了项目绩效目标和部门整体绩效目标，绩效目标与实际工作内容相关，目标较合理。</w:t>
      </w:r>
    </w:p>
    <w:p w14:paraId="12793F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（3）绩效监控开展率</w:t>
      </w:r>
    </w:p>
    <w:p w14:paraId="6AFE8C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2023年预算项目均进行了绩效监控，绩效监控开展率为100%。</w:t>
      </w:r>
    </w:p>
    <w:p w14:paraId="39F8F2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（4）绩效评价覆盖率</w:t>
      </w:r>
    </w:p>
    <w:p w14:paraId="1B9C9C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2023年单位管理的所有预算项目及部门整体，均进行了绩效自评，绩效评价覆盖率为100%。</w:t>
      </w:r>
    </w:p>
    <w:p w14:paraId="0156E8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（5）评价结果应用率</w:t>
      </w:r>
    </w:p>
    <w:p w14:paraId="4A20D2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2023年绩效自评结果在2024年编制预算时得到了应用，对未开展的项目进行了删减，评价结果应用率为100%。</w:t>
      </w:r>
    </w:p>
    <w:p w14:paraId="449B1C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5.资产管理指标分析</w:t>
      </w:r>
    </w:p>
    <w:p w14:paraId="78CF3F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（1）资产管理制度健全性</w:t>
      </w:r>
    </w:p>
    <w:p w14:paraId="51EF8F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单位按要求制定了资产管理方面的制度，制度较健全。</w:t>
      </w:r>
    </w:p>
    <w:p w14:paraId="4F0059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（2）资产管理规范性</w:t>
      </w:r>
    </w:p>
    <w:p w14:paraId="6ED955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按照上级资产管理部门要求及资产管理制度的规定，建立了资产台账，每月按要求计提了资产折旧，资产新增、调拨、处置均通过湖北省行政事业单位资产管理信息系统操作，区财政部门审批，程序合规，符合相关要求。</w:t>
      </w:r>
    </w:p>
    <w:p w14:paraId="526624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6.财务管理指标分析</w:t>
      </w:r>
    </w:p>
    <w:p w14:paraId="349190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（1）财务管理制度健全性</w:t>
      </w:r>
    </w:p>
    <w:p w14:paraId="044C40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单位按要求制定了财务管理方面的制度，专项资金的使用也有上级部门出具的专项资金管理办法，制度较健全。</w:t>
      </w:r>
    </w:p>
    <w:p w14:paraId="2410CD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（2）会计核算规范性</w:t>
      </w:r>
    </w:p>
    <w:p w14:paraId="3DC833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单位聘请专业的中介机构按照《政府会计制度》的规定，对单位发生的每笔经济业务支出进行会计核算，会计核算规范，符合政府会计制度的规定。</w:t>
      </w:r>
    </w:p>
    <w:p w14:paraId="1CBD4A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（3）资金使用合规性</w:t>
      </w:r>
    </w:p>
    <w:p w14:paraId="6F3628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2023年预算单位资金的支出有完整的审批程序和手续，资金的使用符合项目预算批复、合同规定的用途以及相关项目管理文件的规定。</w:t>
      </w:r>
    </w:p>
    <w:p w14:paraId="420D99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b/>
          <w:bCs/>
          <w:color w:val="auto"/>
          <w:sz w:val="32"/>
          <w:szCs w:val="32"/>
        </w:rPr>
      </w:pPr>
      <w:r>
        <w:rPr>
          <w:rFonts w:hint="eastAsia" w:ascii="仿宋_GB2312" w:hAnsi="仿宋" w:eastAsia="仿宋_GB2312" w:cs="仿宋_GB2312"/>
          <w:b/>
          <w:bCs/>
          <w:color w:val="auto"/>
          <w:sz w:val="32"/>
          <w:szCs w:val="32"/>
          <w:lang w:val="en-US" w:eastAsia="zh-CN"/>
        </w:rPr>
        <w:t>（三）</w:t>
      </w:r>
      <w:r>
        <w:rPr>
          <w:rFonts w:hint="eastAsia" w:ascii="仿宋_GB2312" w:hAnsi="仿宋" w:eastAsia="仿宋_GB2312" w:cs="仿宋_GB2312"/>
          <w:b/>
          <w:bCs/>
          <w:color w:val="auto"/>
          <w:sz w:val="32"/>
          <w:szCs w:val="32"/>
        </w:rPr>
        <w:t>履职效能指标完成情况</w:t>
      </w:r>
    </w:p>
    <w:p w14:paraId="6C8381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评价小组从推进预算绩效管理、促进财务管理规范化、防范金融风险和国民经济社会发展等方面对履职效能指标完成情况进行分析。</w:t>
      </w:r>
    </w:p>
    <w:p w14:paraId="6C1E1CD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640" w:leftChars="0" w:firstLine="0" w:firstLineChars="0"/>
        <w:textAlignment w:val="auto"/>
        <w:rPr>
          <w:rFonts w:hint="default" w:ascii="仿宋_GB2312" w:hAnsi="仿宋" w:eastAsia="仿宋_GB2312" w:cs="仿宋_GB2312"/>
          <w:color w:val="auto"/>
          <w:kern w:val="2"/>
          <w:sz w:val="32"/>
          <w:szCs w:val="32"/>
          <w:lang w:val="en-US" w:eastAsia="zh-CN" w:bidi="ar-SA"/>
        </w:rPr>
      </w:pPr>
      <w:r>
        <w:rPr>
          <w:rFonts w:hint="eastAsia" w:ascii="仿宋_GB2312" w:hAnsi="仿宋" w:eastAsia="仿宋_GB2312" w:cs="仿宋_GB2312"/>
          <w:color w:val="auto"/>
          <w:sz w:val="32"/>
          <w:szCs w:val="32"/>
          <w:lang w:val="en-US" w:eastAsia="zh-CN"/>
        </w:rPr>
        <w:t>推进预算绩效管理</w:t>
      </w:r>
    </w:p>
    <w:p w14:paraId="1AF958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认真贯彻省、市有关文件精神，推动经开区预算绩效管理工作。以实现绩效目标为导向，以财政支出绩效评价为手段，以评价结果应用为保障，不断提高预算绩效管理工作的质量和水平，扎实推进预算绩效管理工作机制，提高财政资金使用效益。</w:t>
      </w:r>
    </w:p>
    <w:p w14:paraId="13C856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2.促进财务管理规范化</w:t>
      </w:r>
    </w:p>
    <w:p w14:paraId="4A6D52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按照</w:t>
      </w:r>
      <w:r>
        <w:rPr>
          <w:rFonts w:hint="eastAsia" w:ascii="仿宋" w:hAnsi="仿宋" w:eastAsia="仿宋" w:cs="仿宋"/>
          <w:kern w:val="2"/>
          <w:sz w:val="32"/>
          <w:szCs w:val="32"/>
          <w:lang w:val="en-US" w:eastAsia="zh-CN" w:bidi="ar-SA"/>
        </w:rPr>
        <w:t>各级财政、审计工作会议精神，紧扣工委、管委会工作中心，立足经济监督，聚焦财政财务收支真实合法效益审计，做好常态化“经济体检”。对区直部门及企业开展财政预算执行情况、财政收支情况、疫情防控资金、国有企业清产核资、财政专项资金等专项审计40个，发现问题62个，提出指导性意见并敦促其完成</w:t>
      </w:r>
      <w:r>
        <w:rPr>
          <w:rFonts w:hint="default" w:ascii="仿宋" w:hAnsi="仿宋" w:eastAsia="仿宋" w:cs="仿宋"/>
          <w:kern w:val="2"/>
          <w:sz w:val="32"/>
          <w:szCs w:val="32"/>
          <w:lang w:eastAsia="zh-CN" w:bidi="ar-SA"/>
        </w:rPr>
        <w:t>整改</w:t>
      </w:r>
      <w:r>
        <w:rPr>
          <w:rFonts w:hint="eastAsia" w:ascii="仿宋" w:hAnsi="仿宋" w:eastAsia="仿宋" w:cs="仿宋"/>
          <w:kern w:val="2"/>
          <w:sz w:val="32"/>
          <w:szCs w:val="32"/>
          <w:lang w:val="en-US" w:eastAsia="zh-CN" w:bidi="ar-SA"/>
        </w:rPr>
        <w:t>。</w:t>
      </w:r>
    </w:p>
    <w:p w14:paraId="72A668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3.防范金融风险</w:t>
      </w:r>
    </w:p>
    <w:p w14:paraId="5CFF46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加强金融监管。通过监管机构加强对金融机构的监督和指导，确保它们遵守相关法律法规，防止违规操作和风险积累。加强风险监管。监管机构应通过定期检查、现场检查、信息报告等方式进行风险监管，确保金融机构的风险管理工作得到有效执行。严格执法和整治市场乱象。对于违法进行金融活动的行为，执法机关应严格执法，及时纠正制裁，减少风险；同时，要深入整治银行业的市场乱象，加大问责和行政处罚力度。</w:t>
      </w:r>
    </w:p>
    <w:p w14:paraId="58C5E9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仿宋_GB2312" w:hAnsi="仿宋" w:eastAsia="仿宋_GB2312" w:cs="仿宋_GB2312"/>
          <w:color w:val="auto"/>
          <w:sz w:val="32"/>
          <w:szCs w:val="32"/>
          <w:lang w:val="en-US" w:eastAsia="zh-CN"/>
        </w:rPr>
      </w:pPr>
      <w:r>
        <w:rPr>
          <w:rFonts w:hint="eastAsia" w:ascii="仿宋_GB2312" w:hAnsi="仿宋" w:eastAsia="仿宋_GB2312" w:cs="仿宋_GB2312"/>
          <w:color w:val="auto"/>
          <w:sz w:val="32"/>
          <w:szCs w:val="32"/>
          <w:lang w:val="en-US" w:eastAsia="zh-CN"/>
        </w:rPr>
        <w:t>4.国民经济社会发展</w:t>
      </w:r>
    </w:p>
    <w:p w14:paraId="218ED8D3">
      <w:pPr>
        <w:pStyle w:val="2"/>
        <w:keepNext w:val="0"/>
        <w:keepLines w:val="0"/>
        <w:pageBreakBefore w:val="0"/>
        <w:widowControl w:val="0"/>
        <w:numPr>
          <w:ilvl w:val="0"/>
          <w:numId w:val="0"/>
        </w:numPr>
        <w:kinsoku/>
        <w:wordWrap/>
        <w:overflowPunct/>
        <w:topLinePunct/>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积极克服财政减收压力，统筹各方面力量，坚决扛牢稳住经济大盘的财政责任</w:t>
      </w:r>
      <w:r>
        <w:rPr>
          <w:rFonts w:hint="eastAsia" w:ascii="仿宋" w:hAnsi="仿宋" w:eastAsia="仿宋" w:cs="仿宋"/>
          <w:b w:val="0"/>
          <w:bCs w:val="0"/>
          <w:sz w:val="32"/>
          <w:szCs w:val="32"/>
          <w:lang w:val="en-US" w:eastAsia="zh-CN"/>
        </w:rPr>
        <w:t>。紧抓财政收入，冲刺全年财政目标。</w:t>
      </w:r>
      <w:r>
        <w:rPr>
          <w:rFonts w:hint="eastAsia" w:ascii="仿宋" w:hAnsi="仿宋" w:eastAsia="仿宋" w:cs="仿宋"/>
          <w:b w:val="0"/>
          <w:bCs w:val="0"/>
          <w:sz w:val="32"/>
          <w:szCs w:val="32"/>
          <w:lang w:eastAsia="zh-CN"/>
        </w:rPr>
        <w:t>集中财力惠民生，集聚财源保建设。坚持“</w:t>
      </w:r>
      <w:r>
        <w:rPr>
          <w:rFonts w:hint="eastAsia" w:ascii="仿宋" w:hAnsi="仿宋" w:eastAsia="仿宋" w:cs="仿宋"/>
          <w:sz w:val="32"/>
          <w:szCs w:val="32"/>
          <w:lang w:eastAsia="zh-CN"/>
        </w:rPr>
        <w:t>过紧日子保基本、调优结构保重点”，</w:t>
      </w:r>
      <w:r>
        <w:rPr>
          <w:rFonts w:hint="default" w:ascii="仿宋" w:hAnsi="仿宋" w:eastAsia="仿宋" w:cs="仿宋"/>
          <w:sz w:val="32"/>
          <w:szCs w:val="32"/>
          <w:lang w:eastAsia="zh-CN"/>
        </w:rPr>
        <w:t>严控</w:t>
      </w:r>
      <w:r>
        <w:rPr>
          <w:rFonts w:hint="eastAsia" w:ascii="仿宋" w:hAnsi="仿宋" w:eastAsia="仿宋" w:cs="仿宋"/>
          <w:sz w:val="32"/>
          <w:szCs w:val="32"/>
          <w:lang w:eastAsia="zh-CN"/>
        </w:rPr>
        <w:t>新增资产配置和</w:t>
      </w:r>
      <w:r>
        <w:rPr>
          <w:rFonts w:hint="eastAsia" w:ascii="仿宋" w:hAnsi="仿宋" w:eastAsia="仿宋" w:cs="仿宋"/>
          <w:sz w:val="32"/>
          <w:szCs w:val="32"/>
          <w:lang w:val="en-US" w:eastAsia="zh-CN"/>
        </w:rPr>
        <w:t>三公经费</w:t>
      </w:r>
      <w:r>
        <w:rPr>
          <w:rFonts w:hint="eastAsia" w:ascii="仿宋" w:hAnsi="仿宋" w:eastAsia="仿宋" w:cs="仿宋"/>
          <w:sz w:val="32"/>
          <w:szCs w:val="32"/>
          <w:lang w:eastAsia="zh-CN"/>
        </w:rPr>
        <w:t>等支出，盘活财政存量资金，优先保障民生、助企纾困、</w:t>
      </w:r>
      <w:r>
        <w:rPr>
          <w:rFonts w:hint="eastAsia" w:ascii="仿宋" w:hAnsi="仿宋" w:eastAsia="仿宋" w:cs="仿宋"/>
          <w:sz w:val="32"/>
          <w:szCs w:val="32"/>
          <w:lang w:val="en-US" w:eastAsia="zh-CN"/>
        </w:rPr>
        <w:t>重大项目落地</w:t>
      </w:r>
      <w:r>
        <w:rPr>
          <w:rFonts w:hint="eastAsia" w:ascii="仿宋" w:hAnsi="仿宋" w:eastAsia="仿宋" w:cs="仿宋"/>
          <w:sz w:val="32"/>
          <w:szCs w:val="32"/>
          <w:lang w:eastAsia="zh-CN"/>
        </w:rPr>
        <w:t>等支出，</w:t>
      </w:r>
      <w:r>
        <w:rPr>
          <w:rFonts w:hint="eastAsia" w:ascii="仿宋" w:hAnsi="仿宋" w:eastAsia="仿宋" w:cs="仿宋"/>
          <w:color w:val="auto"/>
          <w:kern w:val="0"/>
          <w:sz w:val="32"/>
          <w:szCs w:val="32"/>
          <w:highlight w:val="none"/>
          <w:lang w:val="en-US" w:eastAsia="zh-CN" w:bidi="ar"/>
        </w:rPr>
        <w:t>保障项目落地投入</w:t>
      </w:r>
      <w:r>
        <w:rPr>
          <w:rFonts w:hint="default" w:ascii="仿宋" w:hAnsi="仿宋" w:eastAsia="仿宋" w:cs="仿宋"/>
          <w:color w:val="auto"/>
          <w:kern w:val="0"/>
          <w:sz w:val="32"/>
          <w:szCs w:val="32"/>
          <w:highlight w:val="none"/>
          <w:lang w:eastAsia="zh-CN" w:bidi="ar"/>
        </w:rPr>
        <w:t>7</w:t>
      </w:r>
      <w:r>
        <w:rPr>
          <w:rFonts w:hint="eastAsia" w:ascii="仿宋" w:hAnsi="仿宋" w:eastAsia="仿宋" w:cs="仿宋"/>
          <w:color w:val="auto"/>
          <w:kern w:val="0"/>
          <w:sz w:val="32"/>
          <w:szCs w:val="32"/>
          <w:highlight w:val="none"/>
          <w:lang w:val="en-US" w:eastAsia="zh-CN" w:bidi="ar"/>
        </w:rPr>
        <w:t>亿元，支持实体经济拨</w:t>
      </w:r>
      <w:r>
        <w:rPr>
          <w:rFonts w:hint="eastAsia" w:ascii="仿宋" w:hAnsi="仿宋" w:eastAsia="仿宋" w:cs="仿宋"/>
          <w:sz w:val="32"/>
          <w:szCs w:val="32"/>
          <w:lang w:val="en-US" w:eastAsia="zh-CN"/>
        </w:rPr>
        <w:t>付扶持资金</w:t>
      </w:r>
      <w:r>
        <w:rPr>
          <w:rFonts w:hint="default" w:ascii="仿宋" w:hAnsi="仿宋" w:eastAsia="仿宋" w:cs="仿宋"/>
          <w:sz w:val="32"/>
          <w:szCs w:val="32"/>
          <w:lang w:eastAsia="zh-CN"/>
        </w:rPr>
        <w:t>4.3</w:t>
      </w:r>
      <w:r>
        <w:rPr>
          <w:rFonts w:hint="eastAsia" w:ascii="仿宋" w:hAnsi="仿宋" w:eastAsia="仿宋" w:cs="仿宋"/>
          <w:sz w:val="32"/>
          <w:szCs w:val="32"/>
          <w:lang w:val="en-US" w:eastAsia="zh-CN"/>
        </w:rPr>
        <w:t>亿元，为推动我区高质量发展奠定了基础。</w:t>
      </w:r>
    </w:p>
    <w:p w14:paraId="3DDDEB03">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充分发挥财政金融政策的协调效应，多渠道多方位向上争取资金、引导金融机构服务实体经济，为企业发展注入新动力。</w:t>
      </w:r>
    </w:p>
    <w:p w14:paraId="6440940F">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仿宋_GB2312"/>
          <w:b/>
          <w:bCs/>
          <w:color w:val="auto"/>
          <w:sz w:val="32"/>
          <w:szCs w:val="32"/>
          <w:lang w:eastAsia="zh-CN"/>
        </w:rPr>
      </w:pPr>
      <w:r>
        <w:rPr>
          <w:rFonts w:hint="eastAsia" w:ascii="仿宋" w:hAnsi="仿宋" w:eastAsia="仿宋" w:cs="仿宋"/>
          <w:kern w:val="2"/>
          <w:sz w:val="32"/>
          <w:szCs w:val="32"/>
          <w:lang w:val="en-US" w:eastAsia="zh-CN" w:bidi="ar-SA"/>
        </w:rPr>
        <w:t>围绕政务服务能力水平、投资项目落地跟踪服务、企业诉求受理等方面，全力营造快捷、高效、规范、透明的营商环境，把“近者悦、远者来”谋实做细</w:t>
      </w:r>
      <w:r>
        <w:rPr>
          <w:rFonts w:hint="eastAsia" w:ascii="仿宋" w:hAnsi="仿宋" w:eastAsia="仿宋" w:cs="仿宋"/>
          <w:b w:val="0"/>
          <w:bCs w:val="0"/>
          <w:kern w:val="2"/>
          <w:sz w:val="32"/>
          <w:szCs w:val="32"/>
          <w:lang w:val="en-US" w:eastAsia="zh-CN" w:bidi="ar-SA"/>
        </w:rPr>
        <w:t>。</w:t>
      </w:r>
    </w:p>
    <w:p w14:paraId="43CE48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b/>
          <w:bCs/>
          <w:color w:val="auto"/>
          <w:sz w:val="32"/>
          <w:szCs w:val="32"/>
          <w:highlight w:val="none"/>
        </w:rPr>
      </w:pPr>
      <w:r>
        <w:rPr>
          <w:rFonts w:hint="eastAsia" w:ascii="仿宋_GB2312" w:hAnsi="仿宋" w:eastAsia="仿宋_GB2312" w:cs="仿宋_GB2312"/>
          <w:b/>
          <w:bCs/>
          <w:color w:val="auto"/>
          <w:sz w:val="32"/>
          <w:szCs w:val="32"/>
          <w:highlight w:val="none"/>
          <w:lang w:eastAsia="zh-CN"/>
        </w:rPr>
        <w:t>（</w:t>
      </w:r>
      <w:r>
        <w:rPr>
          <w:rFonts w:hint="eastAsia" w:ascii="仿宋_GB2312" w:hAnsi="仿宋" w:eastAsia="仿宋_GB2312" w:cs="仿宋_GB2312"/>
          <w:b/>
          <w:bCs/>
          <w:color w:val="auto"/>
          <w:sz w:val="32"/>
          <w:szCs w:val="32"/>
          <w:highlight w:val="none"/>
          <w:lang w:val="en-US" w:eastAsia="zh-CN"/>
        </w:rPr>
        <w:t>四）</w:t>
      </w:r>
      <w:r>
        <w:rPr>
          <w:rFonts w:hint="eastAsia" w:ascii="仿宋_GB2312" w:hAnsi="仿宋" w:eastAsia="仿宋_GB2312" w:cs="仿宋_GB2312"/>
          <w:b/>
          <w:bCs/>
          <w:color w:val="auto"/>
          <w:sz w:val="32"/>
          <w:szCs w:val="32"/>
          <w:highlight w:val="none"/>
        </w:rPr>
        <w:t>社会效</w:t>
      </w:r>
      <w:r>
        <w:rPr>
          <w:rFonts w:hint="eastAsia" w:ascii="仿宋_GB2312" w:hAnsi="仿宋" w:eastAsia="仿宋_GB2312" w:cs="仿宋_GB2312"/>
          <w:b/>
          <w:bCs/>
          <w:color w:val="auto"/>
          <w:sz w:val="32"/>
          <w:szCs w:val="32"/>
          <w:highlight w:val="none"/>
          <w:lang w:val="en-US" w:eastAsia="zh-CN"/>
        </w:rPr>
        <w:t>应</w:t>
      </w:r>
      <w:r>
        <w:rPr>
          <w:rFonts w:hint="eastAsia" w:ascii="仿宋_GB2312" w:hAnsi="仿宋" w:eastAsia="仿宋_GB2312" w:cs="仿宋_GB2312"/>
          <w:b/>
          <w:bCs/>
          <w:color w:val="auto"/>
          <w:sz w:val="32"/>
          <w:szCs w:val="32"/>
          <w:highlight w:val="none"/>
        </w:rPr>
        <w:t>指标完成情况</w:t>
      </w:r>
    </w:p>
    <w:p w14:paraId="77986F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highlight w:val="none"/>
          <w:lang w:val="en-US" w:eastAsia="zh-CN"/>
        </w:rPr>
      </w:pPr>
      <w:r>
        <w:rPr>
          <w:rFonts w:hint="eastAsia" w:ascii="仿宋_GB2312" w:hAnsi="仿宋" w:eastAsia="仿宋_GB2312" w:cs="仿宋_GB2312"/>
          <w:color w:val="auto"/>
          <w:sz w:val="32"/>
          <w:szCs w:val="32"/>
          <w:highlight w:val="none"/>
          <w:lang w:val="en-US" w:eastAsia="zh-CN"/>
        </w:rPr>
        <w:t>评价小组从经济效益、社会效益等方面对社会效应指标完成情况进行分析。</w:t>
      </w:r>
    </w:p>
    <w:p w14:paraId="6FA439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highlight w:val="none"/>
          <w:lang w:val="en-US" w:eastAsia="zh-CN"/>
        </w:rPr>
      </w:pPr>
      <w:r>
        <w:rPr>
          <w:rFonts w:hint="eastAsia" w:ascii="仿宋_GB2312" w:hAnsi="仿宋" w:eastAsia="仿宋_GB2312" w:cs="仿宋_GB2312"/>
          <w:color w:val="auto"/>
          <w:sz w:val="32"/>
          <w:szCs w:val="32"/>
          <w:highlight w:val="none"/>
          <w:lang w:val="en-US" w:eastAsia="zh-CN"/>
        </w:rPr>
        <w:t>1.经济效益</w:t>
      </w:r>
    </w:p>
    <w:p w14:paraId="6860D8DA">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经济发展情况</w:t>
      </w:r>
    </w:p>
    <w:p w14:paraId="3970F8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none"/>
          <w:lang w:val="en-US" w:eastAsia="zh-CN"/>
        </w:rPr>
        <w:t>2023年财政收入预计完成</w:t>
      </w:r>
      <w:r>
        <w:rPr>
          <w:rFonts w:hint="default" w:ascii="仿宋" w:hAnsi="仿宋" w:eastAsia="仿宋" w:cs="仿宋"/>
          <w:color w:val="auto"/>
          <w:sz w:val="32"/>
          <w:szCs w:val="32"/>
          <w:highlight w:val="none"/>
          <w:lang w:eastAsia="zh-CN"/>
        </w:rPr>
        <w:t>27.</w:t>
      </w:r>
      <w:r>
        <w:rPr>
          <w:rFonts w:hint="eastAsia" w:ascii="仿宋" w:hAnsi="仿宋" w:eastAsia="仿宋" w:cs="仿宋"/>
          <w:color w:val="auto"/>
          <w:sz w:val="32"/>
          <w:szCs w:val="32"/>
          <w:highlight w:val="none"/>
          <w:lang w:val="en-US" w:eastAsia="zh-CN"/>
        </w:rPr>
        <w:t>3亿元，地方一般公共预算收入预计完成</w:t>
      </w:r>
      <w:r>
        <w:rPr>
          <w:rFonts w:hint="default" w:ascii="仿宋" w:hAnsi="仿宋" w:eastAsia="仿宋" w:cs="仿宋"/>
          <w:color w:val="auto"/>
          <w:sz w:val="32"/>
          <w:szCs w:val="32"/>
          <w:highlight w:val="none"/>
          <w:lang w:eastAsia="zh-CN"/>
        </w:rPr>
        <w:t>16.</w:t>
      </w:r>
      <w:r>
        <w:rPr>
          <w:rFonts w:hint="eastAsia" w:ascii="仿宋" w:hAnsi="仿宋" w:eastAsia="仿宋" w:cs="仿宋"/>
          <w:color w:val="auto"/>
          <w:sz w:val="32"/>
          <w:szCs w:val="32"/>
          <w:highlight w:val="none"/>
          <w:lang w:val="en-US" w:eastAsia="zh-CN"/>
        </w:rPr>
        <w:t>7亿元，提前二个月完成</w:t>
      </w:r>
      <w:r>
        <w:rPr>
          <w:rFonts w:hint="default" w:ascii="仿宋" w:hAnsi="仿宋" w:eastAsia="仿宋" w:cs="仿宋"/>
          <w:color w:val="auto"/>
          <w:sz w:val="32"/>
          <w:szCs w:val="32"/>
          <w:highlight w:val="none"/>
          <w:lang w:eastAsia="zh-CN"/>
        </w:rPr>
        <w:t>全年目标</w:t>
      </w:r>
      <w:r>
        <w:rPr>
          <w:rFonts w:hint="eastAsia" w:ascii="仿宋" w:hAnsi="仿宋" w:eastAsia="仿宋" w:cs="仿宋"/>
          <w:color w:val="auto"/>
          <w:sz w:val="32"/>
          <w:szCs w:val="32"/>
          <w:highlight w:val="none"/>
          <w:lang w:val="en-US" w:eastAsia="zh-CN"/>
        </w:rPr>
        <w:t>任务</w:t>
      </w:r>
      <w:r>
        <w:rPr>
          <w:rFonts w:hint="default" w:ascii="仿宋" w:hAnsi="仿宋" w:eastAsia="仿宋" w:cs="仿宋"/>
          <w:color w:val="auto"/>
          <w:sz w:val="32"/>
          <w:szCs w:val="32"/>
          <w:highlight w:val="none"/>
          <w:lang w:eastAsia="zh-CN"/>
        </w:rPr>
        <w:t>，</w:t>
      </w:r>
      <w:r>
        <w:rPr>
          <w:rFonts w:hint="eastAsia" w:ascii="仿宋" w:hAnsi="仿宋" w:eastAsia="仿宋" w:cs="仿宋"/>
          <w:sz w:val="32"/>
          <w:szCs w:val="32"/>
          <w:lang w:val="en-US" w:eastAsia="zh-CN"/>
        </w:rPr>
        <w:t>两项指标完成进度和增长幅度均位全市第一。同时</w:t>
      </w:r>
      <w:r>
        <w:rPr>
          <w:rFonts w:hint="eastAsia" w:ascii="仿宋" w:hAnsi="仿宋" w:eastAsia="仿宋" w:cs="仿宋"/>
          <w:color w:val="auto"/>
          <w:kern w:val="0"/>
          <w:sz w:val="32"/>
          <w:szCs w:val="32"/>
          <w:highlight w:val="none"/>
          <w:lang w:val="en-US" w:eastAsia="zh-CN" w:bidi="ar"/>
        </w:rPr>
        <w:t>保障项目落地投入</w:t>
      </w:r>
      <w:r>
        <w:rPr>
          <w:rFonts w:hint="default" w:ascii="仿宋" w:hAnsi="仿宋" w:eastAsia="仿宋" w:cs="仿宋"/>
          <w:color w:val="auto"/>
          <w:kern w:val="0"/>
          <w:sz w:val="32"/>
          <w:szCs w:val="32"/>
          <w:highlight w:val="none"/>
          <w:lang w:eastAsia="zh-CN" w:bidi="ar"/>
        </w:rPr>
        <w:t>7</w:t>
      </w:r>
      <w:r>
        <w:rPr>
          <w:rFonts w:hint="eastAsia" w:ascii="仿宋" w:hAnsi="仿宋" w:eastAsia="仿宋" w:cs="仿宋"/>
          <w:color w:val="auto"/>
          <w:kern w:val="0"/>
          <w:sz w:val="32"/>
          <w:szCs w:val="32"/>
          <w:highlight w:val="none"/>
          <w:lang w:val="en-US" w:eastAsia="zh-CN" w:bidi="ar"/>
        </w:rPr>
        <w:t>亿元，支持实体经济拨</w:t>
      </w:r>
      <w:r>
        <w:rPr>
          <w:rFonts w:hint="eastAsia" w:ascii="仿宋" w:hAnsi="仿宋" w:eastAsia="仿宋" w:cs="仿宋"/>
          <w:sz w:val="32"/>
          <w:szCs w:val="32"/>
          <w:lang w:val="en-US" w:eastAsia="zh-CN"/>
        </w:rPr>
        <w:t>付扶持资金</w:t>
      </w:r>
      <w:r>
        <w:rPr>
          <w:rFonts w:hint="default" w:ascii="仿宋" w:hAnsi="仿宋" w:eastAsia="仿宋" w:cs="仿宋"/>
          <w:sz w:val="32"/>
          <w:szCs w:val="32"/>
          <w:lang w:eastAsia="zh-CN"/>
        </w:rPr>
        <w:t>4.3</w:t>
      </w:r>
      <w:r>
        <w:rPr>
          <w:rFonts w:hint="eastAsia" w:ascii="仿宋" w:hAnsi="仿宋" w:eastAsia="仿宋" w:cs="仿宋"/>
          <w:sz w:val="32"/>
          <w:szCs w:val="32"/>
          <w:lang w:val="en-US" w:eastAsia="zh-CN"/>
        </w:rPr>
        <w:t>亿元，为推动我区高质量发展奠定了基础。</w:t>
      </w:r>
    </w:p>
    <w:p w14:paraId="334E00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color w:val="auto"/>
          <w:sz w:val="32"/>
          <w:szCs w:val="32"/>
          <w:highlight w:val="none"/>
          <w:lang w:val="en-US" w:eastAsia="zh-CN"/>
        </w:rPr>
      </w:pPr>
      <w:r>
        <w:rPr>
          <w:rFonts w:hint="eastAsia" w:ascii="仿宋_GB2312" w:hAnsi="仿宋" w:eastAsia="仿宋_GB2312" w:cs="仿宋_GB2312"/>
          <w:color w:val="auto"/>
          <w:sz w:val="32"/>
          <w:szCs w:val="32"/>
          <w:highlight w:val="none"/>
          <w:lang w:val="en-US" w:eastAsia="zh-CN"/>
        </w:rPr>
        <w:t>2.社会效益</w:t>
      </w:r>
    </w:p>
    <w:p w14:paraId="64BA562F">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480" w:leftChars="0" w:firstLine="0" w:firstLineChars="0"/>
        <w:textAlignment w:val="auto"/>
        <w:rPr>
          <w:rFonts w:hint="eastAsia" w:ascii="仿宋_GB2312" w:hAnsi="仿宋" w:eastAsia="仿宋_GB2312" w:cs="仿宋_GB2312"/>
          <w:color w:val="auto"/>
          <w:sz w:val="32"/>
          <w:szCs w:val="32"/>
          <w:highlight w:val="none"/>
          <w:lang w:val="en-US" w:eastAsia="zh-CN"/>
        </w:rPr>
      </w:pPr>
      <w:r>
        <w:rPr>
          <w:rFonts w:hint="eastAsia" w:ascii="仿宋_GB2312" w:hAnsi="仿宋" w:eastAsia="仿宋_GB2312" w:cs="仿宋_GB2312"/>
          <w:color w:val="auto"/>
          <w:sz w:val="32"/>
          <w:szCs w:val="32"/>
          <w:highlight w:val="none"/>
          <w:lang w:val="en-US" w:eastAsia="zh-CN"/>
        </w:rPr>
        <w:t>政策知晓率</w:t>
      </w:r>
    </w:p>
    <w:p w14:paraId="0888AA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color w:val="auto"/>
          <w:sz w:val="32"/>
          <w:szCs w:val="32"/>
          <w:highlight w:val="none"/>
          <w:lang w:val="en-US" w:eastAsia="zh-CN"/>
        </w:rPr>
      </w:pPr>
      <w:r>
        <w:rPr>
          <w:rFonts w:hint="eastAsia" w:ascii="仿宋_GB2312" w:hAnsi="仿宋" w:eastAsia="仿宋_GB2312" w:cs="仿宋_GB2312"/>
          <w:color w:val="auto"/>
          <w:sz w:val="32"/>
          <w:szCs w:val="32"/>
          <w:highlight w:val="none"/>
          <w:lang w:val="en-US" w:eastAsia="zh-CN"/>
        </w:rPr>
        <w:t>政策宣传主要采取印发宣传单、传达文件精神、指导协助、公开公示等多种方式，服务对象部门知晓率较高，达到了90%以上。</w:t>
      </w:r>
    </w:p>
    <w:p w14:paraId="7104E28B">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480" w:leftChars="0" w:firstLine="0" w:firstLineChars="0"/>
        <w:textAlignment w:val="auto"/>
        <w:rPr>
          <w:rFonts w:hint="default" w:ascii="仿宋_GB2312" w:hAnsi="仿宋" w:eastAsia="仿宋_GB2312" w:cs="仿宋_GB2312"/>
          <w:color w:val="auto"/>
          <w:sz w:val="32"/>
          <w:szCs w:val="32"/>
          <w:highlight w:val="none"/>
          <w:lang w:val="en-US" w:eastAsia="zh-CN"/>
        </w:rPr>
      </w:pPr>
      <w:r>
        <w:rPr>
          <w:rFonts w:hint="default" w:ascii="仿宋_GB2312" w:hAnsi="仿宋" w:eastAsia="仿宋_GB2312" w:cs="仿宋_GB2312"/>
          <w:color w:val="auto"/>
          <w:sz w:val="32"/>
          <w:szCs w:val="32"/>
          <w:highlight w:val="none"/>
          <w:lang w:val="en-US" w:eastAsia="zh-CN"/>
        </w:rPr>
        <w:t>社会和谐</w:t>
      </w:r>
    </w:p>
    <w:p w14:paraId="3ED9C7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color w:val="auto"/>
          <w:sz w:val="32"/>
          <w:szCs w:val="32"/>
          <w:highlight w:val="none"/>
          <w:lang w:val="en-US" w:eastAsia="zh-CN"/>
        </w:rPr>
      </w:pPr>
      <w:r>
        <w:rPr>
          <w:rFonts w:hint="eastAsia" w:ascii="仿宋_GB2312" w:hAnsi="仿宋" w:eastAsia="仿宋_GB2312" w:cs="仿宋_GB2312"/>
          <w:color w:val="auto"/>
          <w:sz w:val="32"/>
          <w:szCs w:val="32"/>
          <w:highlight w:val="none"/>
          <w:lang w:val="en-US" w:eastAsia="zh-CN"/>
        </w:rPr>
        <w:t>盘活财政存量资金，优先保障基本民生、助企纾困，推动经开区的健康发展，为人民群众带来利益最大化，使群众获得感、幸福感增强，从而有效保障社会的和谐与安定。</w:t>
      </w:r>
    </w:p>
    <w:p w14:paraId="62306291">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480" w:leftChars="0" w:firstLine="0" w:firstLineChars="0"/>
        <w:textAlignment w:val="auto"/>
        <w:rPr>
          <w:rFonts w:hint="eastAsia" w:ascii="仿宋_GB2312" w:hAnsi="仿宋" w:eastAsia="仿宋_GB2312" w:cs="仿宋_GB2312"/>
          <w:color w:val="auto"/>
          <w:sz w:val="32"/>
          <w:szCs w:val="32"/>
          <w:highlight w:val="none"/>
          <w:lang w:val="en-US" w:eastAsia="zh-CN"/>
        </w:rPr>
      </w:pPr>
      <w:r>
        <w:rPr>
          <w:rFonts w:hint="eastAsia" w:ascii="仿宋_GB2312" w:hAnsi="仿宋" w:eastAsia="仿宋_GB2312" w:cs="仿宋_GB2312"/>
          <w:color w:val="auto"/>
          <w:sz w:val="32"/>
          <w:szCs w:val="32"/>
          <w:highlight w:val="none"/>
          <w:lang w:val="en-US" w:eastAsia="zh-CN"/>
        </w:rPr>
        <w:t>公众金融风险防范意识</w:t>
      </w:r>
    </w:p>
    <w:p w14:paraId="035846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通过对全区各类金融风险隐患开展全面摸排和宣传，着重宣传典型案例及政策，持续加强民众对金融风险的认识，将防范金融风险融入到日常生活、工作中，提高了社会公众对金融风险的意识。</w:t>
      </w:r>
    </w:p>
    <w:p w14:paraId="524BD8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b/>
          <w:bCs/>
          <w:sz w:val="32"/>
          <w:szCs w:val="32"/>
        </w:rPr>
      </w:pPr>
      <w:r>
        <w:rPr>
          <w:rFonts w:hint="eastAsia" w:ascii="仿宋_GB2312" w:hAnsi="仿宋" w:eastAsia="仿宋_GB2312" w:cs="仿宋_GB2312"/>
          <w:b/>
          <w:bCs/>
          <w:sz w:val="32"/>
          <w:szCs w:val="32"/>
          <w:lang w:eastAsia="zh-CN"/>
        </w:rPr>
        <w:t>（</w:t>
      </w:r>
      <w:r>
        <w:rPr>
          <w:rFonts w:hint="eastAsia" w:ascii="仿宋_GB2312" w:hAnsi="仿宋" w:eastAsia="仿宋_GB2312" w:cs="仿宋_GB2312"/>
          <w:b/>
          <w:bCs/>
          <w:sz w:val="32"/>
          <w:szCs w:val="32"/>
          <w:lang w:val="en-US" w:eastAsia="zh-CN"/>
        </w:rPr>
        <w:t>五）</w:t>
      </w:r>
      <w:r>
        <w:rPr>
          <w:rFonts w:hint="eastAsia" w:ascii="仿宋_GB2312" w:hAnsi="仿宋" w:eastAsia="仿宋_GB2312" w:cs="仿宋_GB2312"/>
          <w:b/>
          <w:bCs/>
          <w:sz w:val="32"/>
          <w:szCs w:val="32"/>
        </w:rPr>
        <w:t>可持续发展能力指标完成情况</w:t>
      </w:r>
    </w:p>
    <w:p w14:paraId="41681E8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评价小组从体制机制改革、人才支撑、科技支撑等方面对</w:t>
      </w:r>
      <w:r>
        <w:rPr>
          <w:rFonts w:hint="eastAsia" w:ascii="仿宋_GB2312" w:hAnsi="仿宋" w:eastAsia="仿宋_GB2312" w:cs="仿宋_GB2312"/>
          <w:sz w:val="32"/>
          <w:szCs w:val="32"/>
        </w:rPr>
        <w:t>可持续发展能力指标完成情况</w:t>
      </w:r>
      <w:r>
        <w:rPr>
          <w:rFonts w:hint="eastAsia" w:ascii="仿宋_GB2312" w:hAnsi="仿宋" w:eastAsia="仿宋_GB2312" w:cs="仿宋_GB2312"/>
          <w:sz w:val="32"/>
          <w:szCs w:val="32"/>
          <w:lang w:val="en-US" w:eastAsia="zh-CN"/>
        </w:rPr>
        <w:t>进行分析。</w:t>
      </w:r>
    </w:p>
    <w:p w14:paraId="343133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textAlignment w:val="auto"/>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highlight w:val="none"/>
          <w:lang w:val="en-US" w:eastAsia="zh-CN"/>
        </w:rPr>
        <w:t>体制机制改革指标分析</w:t>
      </w:r>
    </w:p>
    <w:p w14:paraId="45843B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（1）服务体制改革成效</w:t>
      </w:r>
    </w:p>
    <w:p w14:paraId="0FC34F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该单位未发生服务体制改革，不涉及该项指标。</w:t>
      </w:r>
    </w:p>
    <w:p w14:paraId="2D2EE8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（2）行政管理体制改革成效</w:t>
      </w:r>
    </w:p>
    <w:p w14:paraId="3ACBE3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该单位未发生行政管理体制改革，不涉及该项指标。</w:t>
      </w:r>
    </w:p>
    <w:p w14:paraId="171D30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2.人才支撑指标分析</w:t>
      </w:r>
    </w:p>
    <w:p w14:paraId="2262EE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（1）业务学习与培训完成率</w:t>
      </w:r>
    </w:p>
    <w:p w14:paraId="474B37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2023年单位按照年初计划和领导部署，完成了各项培训和业务学习任务，完成率为100%，达到了年初目标。</w:t>
      </w:r>
    </w:p>
    <w:p w14:paraId="3E00CB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（2）干部队伍体系建设规划情况</w:t>
      </w:r>
    </w:p>
    <w:p w14:paraId="3CC8B5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单位不涉及此项工作，具体由葛店经济技术开发区管理委员会安排。</w:t>
      </w:r>
    </w:p>
    <w:p w14:paraId="5EF43C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高学历、高层次人才储备率</w:t>
      </w:r>
    </w:p>
    <w:p w14:paraId="6A5FEB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单位不涉及此项工作，具体由葛店经济技术开发区管理委员会安排。</w:t>
      </w:r>
    </w:p>
    <w:p w14:paraId="3CBAC8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3.科技支撑指标分析</w:t>
      </w:r>
    </w:p>
    <w:p w14:paraId="5069A3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8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（1）信息化建设情况</w:t>
      </w:r>
    </w:p>
    <w:p w14:paraId="052931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2023年单位没有信息化建设项目，未开展信息化建设工作。</w:t>
      </w:r>
    </w:p>
    <w:p w14:paraId="78E24A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b/>
          <w:bCs/>
          <w:sz w:val="32"/>
          <w:szCs w:val="32"/>
        </w:rPr>
      </w:pPr>
      <w:r>
        <w:rPr>
          <w:rFonts w:hint="eastAsia" w:ascii="仿宋_GB2312" w:hAnsi="仿宋" w:eastAsia="仿宋_GB2312" w:cs="仿宋_GB2312"/>
          <w:b/>
          <w:bCs/>
          <w:sz w:val="32"/>
          <w:szCs w:val="32"/>
          <w:lang w:eastAsia="zh-CN"/>
        </w:rPr>
        <w:t>（</w:t>
      </w:r>
      <w:r>
        <w:rPr>
          <w:rFonts w:hint="eastAsia" w:ascii="仿宋_GB2312" w:hAnsi="仿宋" w:eastAsia="仿宋_GB2312" w:cs="仿宋_GB2312"/>
          <w:b/>
          <w:bCs/>
          <w:sz w:val="32"/>
          <w:szCs w:val="32"/>
          <w:lang w:val="en-US" w:eastAsia="zh-CN"/>
        </w:rPr>
        <w:t>六）</w:t>
      </w:r>
      <w:r>
        <w:rPr>
          <w:rFonts w:hint="eastAsia" w:ascii="仿宋_GB2312" w:hAnsi="仿宋" w:eastAsia="仿宋_GB2312" w:cs="仿宋_GB2312"/>
          <w:b/>
          <w:bCs/>
          <w:sz w:val="32"/>
          <w:szCs w:val="32"/>
        </w:rPr>
        <w:t>满意度指标完成情况</w:t>
      </w:r>
    </w:p>
    <w:p w14:paraId="25CBD6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评价小组从服务对象满意度、联系部门满意度等方面对</w:t>
      </w:r>
      <w:r>
        <w:rPr>
          <w:rFonts w:hint="eastAsia" w:ascii="仿宋_GB2312" w:hAnsi="仿宋" w:eastAsia="仿宋_GB2312" w:cs="仿宋_GB2312"/>
          <w:sz w:val="32"/>
          <w:szCs w:val="32"/>
        </w:rPr>
        <w:t>满意度指标完成情况</w:t>
      </w:r>
      <w:r>
        <w:rPr>
          <w:rFonts w:hint="eastAsia" w:ascii="仿宋_GB2312" w:hAnsi="仿宋" w:eastAsia="仿宋_GB2312" w:cs="仿宋_GB2312"/>
          <w:sz w:val="32"/>
          <w:szCs w:val="32"/>
          <w:lang w:val="en-US" w:eastAsia="zh-CN"/>
        </w:rPr>
        <w:t>进行分析。</w:t>
      </w:r>
    </w:p>
    <w:p w14:paraId="572780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1.服务对象满意度指标分析</w:t>
      </w:r>
    </w:p>
    <w:p w14:paraId="0D3AC1C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 xml:space="preserve">    通过对服务对象满意度进行调查，2023年服务对象对本部门服务较认可，满意度达到了年初目标95%。</w:t>
      </w:r>
    </w:p>
    <w:p w14:paraId="5788B4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2.联系部门满意度指标分析</w:t>
      </w:r>
    </w:p>
    <w:p w14:paraId="3F14C2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通过对联系部门满意度进行调查，2023年联系部门对本部门服务较认可，满意度达到了年初目标95%。</w:t>
      </w:r>
    </w:p>
    <w:p w14:paraId="7F1E94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主要成效、存在的突出问题和原因</w:t>
      </w:r>
    </w:p>
    <w:p w14:paraId="1ADB00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（一）</w:t>
      </w:r>
      <w:r>
        <w:rPr>
          <w:rFonts w:hint="eastAsia" w:ascii="仿宋_GB2312" w:eastAsia="仿宋_GB2312" w:cs="仿宋_GB2312"/>
          <w:sz w:val="32"/>
          <w:szCs w:val="32"/>
        </w:rPr>
        <w:t>上年度结果应用情况</w:t>
      </w:r>
    </w:p>
    <w:p w14:paraId="17F333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区财政金融审计局在编制2023年预算时，应用了2022年的项目自评和整体绩效自评结果。</w:t>
      </w:r>
    </w:p>
    <w:p w14:paraId="6E0F68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（二）</w:t>
      </w:r>
      <w:r>
        <w:rPr>
          <w:rFonts w:hint="eastAsia" w:ascii="仿宋_GB2312" w:eastAsia="仿宋_GB2312" w:cs="仿宋_GB2312"/>
          <w:sz w:val="32"/>
          <w:szCs w:val="32"/>
        </w:rPr>
        <w:t>本年度部门主要成效</w:t>
      </w:r>
    </w:p>
    <w:p w14:paraId="1D4122CF">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聚力增收减支，确保财政收支平稳运行</w:t>
      </w:r>
    </w:p>
    <w:p w14:paraId="042D22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lang w:val="en-US" w:eastAsia="zh-CN"/>
        </w:rPr>
        <w:t>全年财政收入预计完成</w:t>
      </w:r>
      <w:r>
        <w:rPr>
          <w:rFonts w:hint="default" w:ascii="仿宋" w:hAnsi="仿宋" w:eastAsia="仿宋" w:cs="仿宋"/>
          <w:color w:val="auto"/>
          <w:sz w:val="32"/>
          <w:szCs w:val="32"/>
          <w:highlight w:val="none"/>
          <w:lang w:eastAsia="zh-CN"/>
        </w:rPr>
        <w:t>27.</w:t>
      </w:r>
      <w:r>
        <w:rPr>
          <w:rFonts w:hint="eastAsia" w:ascii="仿宋" w:hAnsi="仿宋" w:eastAsia="仿宋" w:cs="仿宋"/>
          <w:color w:val="auto"/>
          <w:sz w:val="32"/>
          <w:szCs w:val="32"/>
          <w:highlight w:val="none"/>
          <w:lang w:val="en-US" w:eastAsia="zh-CN"/>
        </w:rPr>
        <w:t>3亿元，地方一般公共预算收入预计完成</w:t>
      </w:r>
      <w:r>
        <w:rPr>
          <w:rFonts w:hint="default" w:ascii="仿宋" w:hAnsi="仿宋" w:eastAsia="仿宋" w:cs="仿宋"/>
          <w:color w:val="auto"/>
          <w:sz w:val="32"/>
          <w:szCs w:val="32"/>
          <w:highlight w:val="none"/>
          <w:lang w:eastAsia="zh-CN"/>
        </w:rPr>
        <w:t>16.</w:t>
      </w:r>
      <w:r>
        <w:rPr>
          <w:rFonts w:hint="eastAsia" w:ascii="仿宋" w:hAnsi="仿宋" w:eastAsia="仿宋" w:cs="仿宋"/>
          <w:color w:val="auto"/>
          <w:sz w:val="32"/>
          <w:szCs w:val="32"/>
          <w:highlight w:val="none"/>
          <w:lang w:val="en-US" w:eastAsia="zh-CN"/>
        </w:rPr>
        <w:t>7亿元，提前二个月完成</w:t>
      </w:r>
      <w:r>
        <w:rPr>
          <w:rFonts w:hint="default" w:ascii="仿宋" w:hAnsi="仿宋" w:eastAsia="仿宋" w:cs="仿宋"/>
          <w:color w:val="auto"/>
          <w:sz w:val="32"/>
          <w:szCs w:val="32"/>
          <w:highlight w:val="none"/>
          <w:lang w:eastAsia="zh-CN"/>
        </w:rPr>
        <w:t>全年目标</w:t>
      </w:r>
      <w:r>
        <w:rPr>
          <w:rFonts w:hint="eastAsia" w:ascii="仿宋" w:hAnsi="仿宋" w:eastAsia="仿宋" w:cs="仿宋"/>
          <w:color w:val="auto"/>
          <w:sz w:val="32"/>
          <w:szCs w:val="32"/>
          <w:highlight w:val="none"/>
          <w:lang w:val="en-US" w:eastAsia="zh-CN"/>
        </w:rPr>
        <w:t>任务</w:t>
      </w:r>
      <w:r>
        <w:rPr>
          <w:rFonts w:hint="default" w:ascii="仿宋" w:hAnsi="仿宋" w:eastAsia="仿宋" w:cs="仿宋"/>
          <w:color w:val="auto"/>
          <w:sz w:val="32"/>
          <w:szCs w:val="32"/>
          <w:highlight w:val="none"/>
          <w:lang w:eastAsia="zh-CN"/>
        </w:rPr>
        <w:t>，</w:t>
      </w:r>
      <w:r>
        <w:rPr>
          <w:rFonts w:hint="eastAsia" w:ascii="仿宋" w:hAnsi="仿宋" w:eastAsia="仿宋" w:cs="仿宋"/>
          <w:sz w:val="32"/>
          <w:szCs w:val="32"/>
          <w:lang w:val="en-US" w:eastAsia="zh-CN"/>
        </w:rPr>
        <w:t>两项指标完成进度和增长幅度均位于全市第一。</w:t>
      </w:r>
      <w:r>
        <w:rPr>
          <w:rFonts w:hint="eastAsia" w:ascii="仿宋" w:hAnsi="仿宋" w:eastAsia="仿宋" w:cs="仿宋"/>
          <w:sz w:val="32"/>
          <w:szCs w:val="32"/>
          <w:lang w:eastAsia="zh-CN"/>
        </w:rPr>
        <w:t>坚持“过紧日子保基本、调优结构保重点”，</w:t>
      </w:r>
      <w:r>
        <w:rPr>
          <w:rFonts w:hint="default" w:ascii="仿宋" w:hAnsi="仿宋" w:eastAsia="仿宋" w:cs="仿宋"/>
          <w:sz w:val="32"/>
          <w:szCs w:val="32"/>
          <w:lang w:eastAsia="zh-CN"/>
        </w:rPr>
        <w:t>严控</w:t>
      </w:r>
      <w:r>
        <w:rPr>
          <w:rFonts w:hint="eastAsia" w:ascii="仿宋" w:hAnsi="仿宋" w:eastAsia="仿宋" w:cs="仿宋"/>
          <w:sz w:val="32"/>
          <w:szCs w:val="32"/>
          <w:lang w:eastAsia="zh-CN"/>
        </w:rPr>
        <w:t>新增资产配置和</w:t>
      </w:r>
      <w:r>
        <w:rPr>
          <w:rFonts w:hint="eastAsia" w:ascii="仿宋" w:hAnsi="仿宋" w:eastAsia="仿宋" w:cs="仿宋"/>
          <w:sz w:val="32"/>
          <w:szCs w:val="32"/>
          <w:lang w:val="en-US" w:eastAsia="zh-CN"/>
        </w:rPr>
        <w:t>三公经费</w:t>
      </w:r>
      <w:r>
        <w:rPr>
          <w:rFonts w:hint="eastAsia" w:ascii="仿宋" w:hAnsi="仿宋" w:eastAsia="仿宋" w:cs="仿宋"/>
          <w:sz w:val="32"/>
          <w:szCs w:val="32"/>
          <w:lang w:eastAsia="zh-CN"/>
        </w:rPr>
        <w:t>等支出，盘活财政存量资金，优先保障民生、助企纾困、</w:t>
      </w:r>
      <w:r>
        <w:rPr>
          <w:rFonts w:hint="eastAsia" w:ascii="仿宋" w:hAnsi="仿宋" w:eastAsia="仿宋" w:cs="仿宋"/>
          <w:sz w:val="32"/>
          <w:szCs w:val="32"/>
          <w:lang w:val="en-US" w:eastAsia="zh-CN"/>
        </w:rPr>
        <w:t>重大项目落地</w:t>
      </w:r>
      <w:r>
        <w:rPr>
          <w:rFonts w:hint="eastAsia" w:ascii="仿宋" w:hAnsi="仿宋" w:eastAsia="仿宋" w:cs="仿宋"/>
          <w:sz w:val="32"/>
          <w:szCs w:val="32"/>
          <w:lang w:eastAsia="zh-CN"/>
        </w:rPr>
        <w:t>等支出，</w:t>
      </w:r>
      <w:r>
        <w:rPr>
          <w:rFonts w:hint="eastAsia" w:ascii="仿宋" w:hAnsi="仿宋" w:eastAsia="仿宋" w:cs="仿宋"/>
          <w:sz w:val="32"/>
          <w:szCs w:val="32"/>
          <w:lang w:val="en-US" w:eastAsia="zh-CN"/>
        </w:rPr>
        <w:t>其中“</w:t>
      </w:r>
      <w:r>
        <w:rPr>
          <w:rFonts w:hint="eastAsia" w:ascii="仿宋" w:hAnsi="仿宋" w:eastAsia="仿宋" w:cs="仿宋"/>
          <w:color w:val="auto"/>
          <w:kern w:val="0"/>
          <w:sz w:val="32"/>
          <w:szCs w:val="32"/>
          <w:highlight w:val="none"/>
          <w:lang w:val="en-US" w:eastAsia="zh-CN" w:bidi="ar"/>
        </w:rPr>
        <w:t>三保”支出</w:t>
      </w:r>
      <w:r>
        <w:rPr>
          <w:rFonts w:hint="default" w:ascii="仿宋" w:hAnsi="仿宋" w:eastAsia="仿宋" w:cs="仿宋"/>
          <w:color w:val="auto"/>
          <w:kern w:val="0"/>
          <w:sz w:val="32"/>
          <w:szCs w:val="32"/>
          <w:highlight w:val="none"/>
          <w:lang w:eastAsia="zh-CN" w:bidi="ar"/>
        </w:rPr>
        <w:t>全年预计8.5</w:t>
      </w:r>
      <w:r>
        <w:rPr>
          <w:rFonts w:hint="eastAsia" w:ascii="仿宋" w:hAnsi="仿宋" w:eastAsia="仿宋" w:cs="仿宋"/>
          <w:color w:val="auto"/>
          <w:kern w:val="0"/>
          <w:sz w:val="32"/>
          <w:szCs w:val="32"/>
          <w:highlight w:val="none"/>
          <w:lang w:val="en-US" w:eastAsia="zh-CN" w:bidi="ar"/>
        </w:rPr>
        <w:t>亿元，保障项目落地投入</w:t>
      </w:r>
      <w:r>
        <w:rPr>
          <w:rFonts w:hint="default" w:ascii="仿宋" w:hAnsi="仿宋" w:eastAsia="仿宋" w:cs="仿宋"/>
          <w:color w:val="auto"/>
          <w:kern w:val="0"/>
          <w:sz w:val="32"/>
          <w:szCs w:val="32"/>
          <w:highlight w:val="none"/>
          <w:lang w:eastAsia="zh-CN" w:bidi="ar"/>
        </w:rPr>
        <w:t>7</w:t>
      </w:r>
      <w:r>
        <w:rPr>
          <w:rFonts w:hint="eastAsia" w:ascii="仿宋" w:hAnsi="仿宋" w:eastAsia="仿宋" w:cs="仿宋"/>
          <w:color w:val="auto"/>
          <w:kern w:val="0"/>
          <w:sz w:val="32"/>
          <w:szCs w:val="32"/>
          <w:highlight w:val="none"/>
          <w:lang w:val="en-US" w:eastAsia="zh-CN" w:bidi="ar"/>
        </w:rPr>
        <w:t>亿元，支持实体经济拨</w:t>
      </w:r>
      <w:r>
        <w:rPr>
          <w:rFonts w:hint="eastAsia" w:ascii="仿宋" w:hAnsi="仿宋" w:eastAsia="仿宋" w:cs="仿宋"/>
          <w:sz w:val="32"/>
          <w:szCs w:val="32"/>
          <w:lang w:val="en-US" w:eastAsia="zh-CN"/>
        </w:rPr>
        <w:t>付扶持资金</w:t>
      </w:r>
      <w:r>
        <w:rPr>
          <w:rFonts w:hint="default" w:ascii="仿宋" w:hAnsi="仿宋" w:eastAsia="仿宋" w:cs="仿宋"/>
          <w:sz w:val="32"/>
          <w:szCs w:val="32"/>
          <w:lang w:eastAsia="zh-CN"/>
        </w:rPr>
        <w:t>4.3</w:t>
      </w:r>
      <w:r>
        <w:rPr>
          <w:rFonts w:hint="eastAsia" w:ascii="仿宋" w:hAnsi="仿宋" w:eastAsia="仿宋" w:cs="仿宋"/>
          <w:sz w:val="32"/>
          <w:szCs w:val="32"/>
          <w:lang w:val="en-US" w:eastAsia="zh-CN"/>
        </w:rPr>
        <w:t>亿元，为推动我区高质量发展奠定了基础。</w:t>
      </w:r>
    </w:p>
    <w:p w14:paraId="6BD002DE">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用好金融工具，多渠道筹集资金助发展</w:t>
      </w:r>
    </w:p>
    <w:p w14:paraId="2229A55C">
      <w:pPr>
        <w:keepNext w:val="0"/>
        <w:keepLines w:val="0"/>
        <w:pageBreakBefore w:val="0"/>
        <w:numPr>
          <w:ilvl w:val="0"/>
          <w:numId w:val="0"/>
        </w:numPr>
        <w:kinsoku/>
        <w:wordWrap/>
        <w:overflowPunct/>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成功发行专项债项目10个，获批资金21.3亿元；储备银行项目融资贷款</w:t>
      </w:r>
      <w:r>
        <w:rPr>
          <w:rFonts w:hint="eastAsia" w:ascii="仿宋" w:hAnsi="仿宋" w:eastAsia="仿宋" w:cs="仿宋"/>
          <w:color w:val="auto"/>
          <w:kern w:val="2"/>
          <w:sz w:val="32"/>
          <w:szCs w:val="32"/>
          <w:highlight w:val="none"/>
          <w:lang w:val="en-US" w:eastAsia="zh-CN" w:bidi="ar-SA"/>
        </w:rPr>
        <w:t>11.5亿元。为保障农民征地拆迁和政府投资工程兑付</w:t>
      </w:r>
      <w:r>
        <w:rPr>
          <w:rFonts w:hint="eastAsia" w:ascii="仿宋" w:hAnsi="仿宋" w:eastAsia="仿宋" w:cs="仿宋"/>
          <w:sz w:val="32"/>
          <w:szCs w:val="32"/>
          <w:lang w:val="en-US" w:eastAsia="zh-CN"/>
        </w:rPr>
        <w:t>统筹财力</w:t>
      </w:r>
      <w:r>
        <w:rPr>
          <w:rFonts w:hint="eastAsia" w:ascii="仿宋" w:hAnsi="仿宋" w:eastAsia="仿宋" w:cs="仿宋"/>
          <w:b w:val="0"/>
          <w:bCs w:val="0"/>
          <w:sz w:val="32"/>
          <w:szCs w:val="32"/>
          <w:lang w:val="en-US" w:eastAsia="zh-CN"/>
        </w:rPr>
        <w:t>，发挥政府投资的撬动效应。同时推动区平台公司对接证券机构谋划发行企业债。</w:t>
      </w:r>
    </w:p>
    <w:p w14:paraId="51182960">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履行监督职责，提升财政监管效能</w:t>
      </w:r>
    </w:p>
    <w:p w14:paraId="714275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对区直部门及企业开展财政预算执行情况、财政收支情况、疫情防控资金、国有企业清产核资、财政专项资金等专项审计40</w:t>
      </w:r>
      <w:r>
        <w:rPr>
          <w:rFonts w:hint="eastAsia" w:ascii="仿宋" w:hAnsi="仿宋" w:eastAsia="仿宋" w:cs="仿宋"/>
          <w:kern w:val="2"/>
          <w:sz w:val="32"/>
          <w:szCs w:val="32"/>
          <w:lang w:val="en-US" w:eastAsia="zh-CN" w:bidi="ar-SA"/>
        </w:rPr>
        <w:t>个，发现问题62个，提出指导性意见并敦促其完成</w:t>
      </w:r>
      <w:r>
        <w:rPr>
          <w:rFonts w:hint="default" w:ascii="仿宋" w:hAnsi="仿宋" w:eastAsia="仿宋" w:cs="仿宋"/>
          <w:kern w:val="2"/>
          <w:sz w:val="32"/>
          <w:szCs w:val="32"/>
          <w:lang w:eastAsia="zh-CN" w:bidi="ar-SA"/>
        </w:rPr>
        <w:t>整改</w:t>
      </w:r>
      <w:r>
        <w:rPr>
          <w:rFonts w:hint="eastAsia" w:ascii="仿宋" w:hAnsi="仿宋" w:eastAsia="仿宋" w:cs="仿宋"/>
          <w:kern w:val="2"/>
          <w:sz w:val="32"/>
          <w:szCs w:val="32"/>
          <w:lang w:val="en-US" w:eastAsia="zh-CN" w:bidi="ar-SA"/>
        </w:rPr>
        <w:t>。</w:t>
      </w:r>
    </w:p>
    <w:p w14:paraId="354281BA">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聚力服务创新，营商环境打造新高地</w:t>
      </w:r>
    </w:p>
    <w:p w14:paraId="0E6161B7">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32"/>
          <w:lang w:val="en-US" w:eastAsia="zh-CN"/>
        </w:rPr>
      </w:pPr>
      <w:r>
        <w:rPr>
          <w:rFonts w:hint="eastAsia" w:ascii="仿宋" w:hAnsi="仿宋" w:eastAsia="仿宋" w:cs="仿宋"/>
          <w:kern w:val="2"/>
          <w:sz w:val="32"/>
          <w:szCs w:val="32"/>
          <w:lang w:val="en-US" w:eastAsia="zh-CN" w:bidi="ar-SA"/>
        </w:rPr>
        <w:t>引导区内企业申报金银种子，目前我区湖北省上市后备“金种子”企业3家、“银种子”企业6家，“金银种子”企业已成为我区上市后备企业中坚力量。</w:t>
      </w:r>
    </w:p>
    <w:p w14:paraId="4E2EE3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（三）</w:t>
      </w:r>
      <w:r>
        <w:rPr>
          <w:rFonts w:hint="eastAsia" w:ascii="仿宋_GB2312" w:eastAsia="仿宋_GB2312" w:cs="仿宋_GB2312"/>
          <w:b w:val="0"/>
          <w:bCs w:val="0"/>
          <w:sz w:val="32"/>
          <w:szCs w:val="32"/>
        </w:rPr>
        <w:t>存在的突出问题和原因</w:t>
      </w:r>
    </w:p>
    <w:p w14:paraId="558AAD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2023年，单位通过全局干部的共同努力，圆满完成了各项工作任务，但也存在着以下问题：</w:t>
      </w:r>
    </w:p>
    <w:p w14:paraId="21DC8B4C">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预算编制不够精准。因部分项目不可控因素较大，且未来事项不可预测，导致预算费用测算资料难以收集，预算编制存在很大的困难。</w:t>
      </w:r>
    </w:p>
    <w:p w14:paraId="24E56242">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64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绩效目标不够明确。绩效目标设置专业性较强，缺少熟悉这方面的专业人才。</w:t>
      </w:r>
    </w:p>
    <w:p w14:paraId="5FBC70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下一步拟改进措施</w:t>
      </w:r>
    </w:p>
    <w:p w14:paraId="396A4E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一）</w:t>
      </w:r>
      <w:r>
        <w:rPr>
          <w:rFonts w:hint="eastAsia" w:ascii="仿宋_GB2312" w:eastAsia="仿宋_GB2312" w:cs="仿宋_GB2312"/>
          <w:sz w:val="32"/>
          <w:szCs w:val="32"/>
        </w:rPr>
        <w:t>下一步拟改进措施</w:t>
      </w:r>
    </w:p>
    <w:p w14:paraId="6D1D10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科学编制预算、合理分配预算资金，减少资金结余，加强人才培训学习，完善</w:t>
      </w:r>
      <w:r>
        <w:rPr>
          <w:rFonts w:hint="eastAsia" w:ascii="仿宋_GB2312" w:eastAsia="仿宋_GB2312" w:cs="仿宋_GB2312"/>
          <w:sz w:val="32"/>
          <w:szCs w:val="32"/>
        </w:rPr>
        <w:t>部门整体绩效目标</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提高</w:t>
      </w:r>
      <w:r>
        <w:rPr>
          <w:rFonts w:hint="eastAsia" w:ascii="仿宋_GB2312" w:eastAsia="仿宋_GB2312" w:cs="仿宋_GB2312"/>
          <w:sz w:val="32"/>
          <w:szCs w:val="32"/>
        </w:rPr>
        <w:t>部门和单位整体绩效水平。</w:t>
      </w:r>
    </w:p>
    <w:p w14:paraId="1C6B0D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二）</w:t>
      </w:r>
      <w:r>
        <w:rPr>
          <w:rFonts w:hint="eastAsia" w:ascii="仿宋_GB2312" w:eastAsia="仿宋_GB2312" w:cs="仿宋_GB2312"/>
          <w:sz w:val="32"/>
          <w:szCs w:val="32"/>
        </w:rPr>
        <w:t>拟与预算安排相结合情况。</w:t>
      </w:r>
    </w:p>
    <w:p w14:paraId="1D9ABC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本次部门整体绩效评价情况较好，对评价中发现的问题积极进行整改，并将本次自评结果在安排下一年度预算时，作为重要参考。</w:t>
      </w:r>
    </w:p>
    <w:p w14:paraId="7AE98804"/>
    <w:p w14:paraId="6CB22289">
      <w:pPr>
        <w:rPr>
          <w:rFonts w:hint="eastAsia" w:ascii="宋体" w:hAnsi="宋体" w:eastAsia="宋体" w:cs="宋体"/>
          <w:b w:val="0"/>
          <w:bCs w:val="0"/>
          <w:color w:val="auto"/>
          <w:kern w:val="0"/>
          <w:sz w:val="30"/>
          <w:szCs w:val="30"/>
        </w:rPr>
      </w:pPr>
    </w:p>
    <w:p w14:paraId="13312D49">
      <w:pPr>
        <w:rPr>
          <w:rFonts w:hint="eastAsia" w:ascii="宋体" w:hAnsi="宋体" w:eastAsia="宋体" w:cs="宋体"/>
          <w:b w:val="0"/>
          <w:bCs w:val="0"/>
          <w:color w:val="auto"/>
          <w:kern w:val="0"/>
          <w:sz w:val="30"/>
          <w:szCs w:val="30"/>
        </w:rPr>
      </w:pPr>
    </w:p>
    <w:p w14:paraId="12DD1310">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附件1-1</w:t>
      </w:r>
    </w:p>
    <w:p w14:paraId="0C9CB1DA">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预算绩效管理业务</w:t>
      </w:r>
      <w:r>
        <w:rPr>
          <w:rFonts w:hint="eastAsia" w:ascii="方正小标宋简体" w:hAnsi="宋体" w:eastAsia="方正小标宋简体" w:cs="方正小标宋简体"/>
          <w:sz w:val="44"/>
          <w:szCs w:val="44"/>
        </w:rPr>
        <w:t>项目自评表</w:t>
      </w:r>
    </w:p>
    <w:p w14:paraId="4E05DA00">
      <w:pPr>
        <w:rPr>
          <w:rFonts w:cs="Times New Roman"/>
        </w:rPr>
      </w:pPr>
    </w:p>
    <w:p w14:paraId="798BEF7F">
      <w:pPr>
        <w:widowControl/>
        <w:jc w:val="left"/>
        <w:rPr>
          <w:rFonts w:hint="default"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鄂州葛店经济技术开发区财政金融审计局</w:t>
      </w:r>
    </w:p>
    <w:p w14:paraId="3A286207">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14:paraId="2B6F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3D594279">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14:paraId="63BE2264">
            <w:pPr>
              <w:widowControl/>
              <w:snapToGrid w:val="0"/>
              <w:jc w:val="center"/>
              <w:rPr>
                <w:rFonts w:hint="default" w:ascii="仿宋_GB2312" w:hAnsi="宋体" w:eastAsia="仿宋_GB2312" w:cs="Times New Roman"/>
                <w:kern w:val="0"/>
                <w:lang w:val="en-US"/>
              </w:rPr>
            </w:pPr>
            <w:r>
              <w:rPr>
                <w:rFonts w:hint="eastAsia" w:ascii="仿宋_GB2312" w:hAnsi="宋体" w:eastAsia="仿宋_GB2312" w:cs="仿宋_GB2312"/>
                <w:kern w:val="0"/>
                <w:lang w:val="en-US" w:eastAsia="zh-CN"/>
              </w:rPr>
              <w:t>预算绩效管理业务</w:t>
            </w:r>
          </w:p>
        </w:tc>
      </w:tr>
      <w:tr w14:paraId="1DD6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3606BB6A">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14:paraId="4FEA2FE6">
            <w:pPr>
              <w:widowControl/>
              <w:snapToGrid w:val="0"/>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鄂州葛店经济技术开发区财政金融审计局</w:t>
            </w:r>
          </w:p>
        </w:tc>
        <w:tc>
          <w:tcPr>
            <w:tcW w:w="2520" w:type="dxa"/>
            <w:gridSpan w:val="2"/>
            <w:vAlign w:val="center"/>
          </w:tcPr>
          <w:p w14:paraId="46829AD1">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14:paraId="4B3318FD">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鄂州葛店经济技术开发区财政金融审计局</w:t>
            </w:r>
          </w:p>
        </w:tc>
      </w:tr>
      <w:tr w14:paraId="5034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3FA8F475">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14:paraId="74CBAAFC">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4F78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02E6F7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14:paraId="69CEE8AF">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0880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7C7C103">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14:paraId="2282916F">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6B58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7BF97959">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14:paraId="2D13F05C">
            <w:pPr>
              <w:widowControl/>
              <w:snapToGrid w:val="0"/>
              <w:jc w:val="center"/>
              <w:rPr>
                <w:rFonts w:ascii="仿宋_GB2312" w:hAnsi="宋体" w:eastAsia="仿宋_GB2312" w:cs="Times New Roman"/>
                <w:kern w:val="0"/>
              </w:rPr>
            </w:pPr>
          </w:p>
        </w:tc>
        <w:tc>
          <w:tcPr>
            <w:tcW w:w="1604" w:type="dxa"/>
            <w:vAlign w:val="center"/>
          </w:tcPr>
          <w:p w14:paraId="2B8561E1">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14:paraId="1B7A42C4">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14:paraId="26A42722">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14:paraId="6682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4B60C7EE">
            <w:pPr>
              <w:widowControl/>
              <w:snapToGrid w:val="0"/>
              <w:jc w:val="center"/>
              <w:rPr>
                <w:rFonts w:ascii="仿宋_GB2312" w:hAnsi="宋体" w:eastAsia="仿宋_GB2312" w:cs="Times New Roman"/>
                <w:kern w:val="0"/>
              </w:rPr>
            </w:pPr>
          </w:p>
        </w:tc>
        <w:tc>
          <w:tcPr>
            <w:tcW w:w="1122" w:type="dxa"/>
            <w:vAlign w:val="center"/>
          </w:tcPr>
          <w:p w14:paraId="78CE3F82">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14:paraId="41A073A9">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77</w:t>
            </w:r>
          </w:p>
        </w:tc>
        <w:tc>
          <w:tcPr>
            <w:tcW w:w="1680" w:type="dxa"/>
            <w:gridSpan w:val="2"/>
            <w:vAlign w:val="center"/>
          </w:tcPr>
          <w:p w14:paraId="22D8B576">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57.00</w:t>
            </w:r>
          </w:p>
        </w:tc>
        <w:tc>
          <w:tcPr>
            <w:tcW w:w="3014" w:type="dxa"/>
            <w:gridSpan w:val="2"/>
            <w:vAlign w:val="center"/>
          </w:tcPr>
          <w:p w14:paraId="356A3A5C">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74.03%</w:t>
            </w:r>
          </w:p>
        </w:tc>
      </w:tr>
      <w:tr w14:paraId="3464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51C2E832">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14:paraId="343957E7">
            <w:pPr>
              <w:widowControl/>
              <w:snapToGrid w:val="0"/>
              <w:jc w:val="center"/>
              <w:rPr>
                <w:rFonts w:ascii="仿宋_GB2312" w:hAnsi="宋体" w:eastAsia="仿宋_GB2312" w:cs="Times New Roman"/>
                <w:kern w:val="0"/>
              </w:rPr>
            </w:pPr>
          </w:p>
        </w:tc>
        <w:tc>
          <w:tcPr>
            <w:tcW w:w="700" w:type="dxa"/>
            <w:vAlign w:val="center"/>
          </w:tcPr>
          <w:p w14:paraId="4C6D7E27">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14:paraId="57569F6E">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14:paraId="0AF90D33">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14:paraId="33BE18CB">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14:paraId="3D8453C8">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4E98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302F93C">
            <w:pPr>
              <w:snapToGrid w:val="0"/>
              <w:jc w:val="center"/>
              <w:rPr>
                <w:rFonts w:ascii="仿宋_GB2312" w:hAnsi="宋体" w:eastAsia="仿宋_GB2312" w:cs="Times New Roman"/>
                <w:kern w:val="0"/>
              </w:rPr>
            </w:pPr>
          </w:p>
        </w:tc>
        <w:tc>
          <w:tcPr>
            <w:tcW w:w="700" w:type="dxa"/>
            <w:vMerge w:val="restart"/>
            <w:vAlign w:val="center"/>
          </w:tcPr>
          <w:p w14:paraId="59FB70A1">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14:paraId="3EFC4C2C">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14:paraId="5EA62A21">
            <w:pPr>
              <w:widowControl/>
              <w:snapToGrid w:val="0"/>
              <w:jc w:val="left"/>
              <w:rPr>
                <w:rFonts w:hint="default" w:ascii="仿宋" w:hAnsi="仿宋" w:eastAsia="仿宋" w:cs="仿宋"/>
                <w:kern w:val="0"/>
                <w:sz w:val="21"/>
                <w:szCs w:val="21"/>
                <w:lang w:val="en-US" w:eastAsia="zh-CN"/>
              </w:rPr>
            </w:pPr>
            <w:r>
              <w:rPr>
                <w:rFonts w:hint="eastAsia" w:ascii="仿宋_GB2312" w:hAnsi="宋体" w:eastAsia="仿宋_GB2312" w:cs="Times New Roman"/>
                <w:kern w:val="0"/>
              </w:rPr>
              <w:t>部门整体支出绩效评价单位</w:t>
            </w:r>
          </w:p>
        </w:tc>
        <w:tc>
          <w:tcPr>
            <w:tcW w:w="1478" w:type="dxa"/>
            <w:vAlign w:val="center"/>
          </w:tcPr>
          <w:p w14:paraId="6B2A38B0">
            <w:pPr>
              <w:widowControl/>
              <w:snapToGrid w:val="0"/>
              <w:jc w:val="center"/>
              <w:rPr>
                <w:rFonts w:hint="default" w:ascii="仿宋" w:hAnsi="仿宋" w:eastAsia="仿宋" w:cs="仿宋"/>
                <w:kern w:val="0"/>
                <w:sz w:val="21"/>
                <w:szCs w:val="21"/>
                <w:lang w:val="en-US" w:eastAsia="zh-CN"/>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28</w:t>
            </w:r>
            <w:r>
              <w:rPr>
                <w:rFonts w:hint="eastAsia" w:ascii="仿宋_GB2312" w:hAnsi="宋体" w:eastAsia="仿宋_GB2312" w:cs="Times New Roman"/>
                <w:kern w:val="0"/>
              </w:rPr>
              <w:t>家</w:t>
            </w:r>
          </w:p>
        </w:tc>
        <w:tc>
          <w:tcPr>
            <w:tcW w:w="1536" w:type="dxa"/>
            <w:vAlign w:val="center"/>
          </w:tcPr>
          <w:p w14:paraId="16CDA1ED">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28</w:t>
            </w:r>
            <w:r>
              <w:rPr>
                <w:rFonts w:hint="eastAsia" w:ascii="仿宋_GB2312" w:hAnsi="宋体" w:eastAsia="仿宋_GB2312" w:cs="Times New Roman"/>
                <w:kern w:val="0"/>
              </w:rPr>
              <w:t>家</w:t>
            </w:r>
          </w:p>
        </w:tc>
      </w:tr>
      <w:tr w14:paraId="77C5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EAFF261">
            <w:pPr>
              <w:snapToGrid w:val="0"/>
              <w:jc w:val="center"/>
              <w:rPr>
                <w:rFonts w:ascii="仿宋_GB2312" w:hAnsi="宋体" w:eastAsia="仿宋_GB2312" w:cs="Times New Roman"/>
                <w:kern w:val="0"/>
              </w:rPr>
            </w:pPr>
          </w:p>
        </w:tc>
        <w:tc>
          <w:tcPr>
            <w:tcW w:w="700" w:type="dxa"/>
            <w:vMerge w:val="continue"/>
            <w:vAlign w:val="center"/>
          </w:tcPr>
          <w:p w14:paraId="1F906711">
            <w:pPr>
              <w:snapToGrid w:val="0"/>
              <w:jc w:val="center"/>
              <w:rPr>
                <w:rFonts w:hint="eastAsia" w:ascii="仿宋_GB2312" w:hAnsi="宋体" w:eastAsia="仿宋_GB2312" w:cs="仿宋_GB2312"/>
                <w:kern w:val="0"/>
              </w:rPr>
            </w:pPr>
          </w:p>
        </w:tc>
        <w:tc>
          <w:tcPr>
            <w:tcW w:w="1122" w:type="dxa"/>
            <w:vMerge w:val="continue"/>
            <w:vAlign w:val="center"/>
          </w:tcPr>
          <w:p w14:paraId="568BF7C7">
            <w:pPr>
              <w:widowControl/>
              <w:snapToGrid w:val="0"/>
              <w:jc w:val="center"/>
              <w:rPr>
                <w:rFonts w:hint="eastAsia" w:ascii="仿宋_GB2312" w:hAnsi="宋体" w:eastAsia="仿宋_GB2312" w:cs="仿宋_GB2312"/>
                <w:kern w:val="0"/>
                <w:lang w:val="en-US" w:eastAsia="zh-CN"/>
              </w:rPr>
            </w:pPr>
          </w:p>
        </w:tc>
        <w:tc>
          <w:tcPr>
            <w:tcW w:w="3284" w:type="dxa"/>
            <w:gridSpan w:val="3"/>
            <w:vAlign w:val="center"/>
          </w:tcPr>
          <w:p w14:paraId="2C38D967">
            <w:pPr>
              <w:widowControl/>
              <w:snapToGrid w:val="0"/>
              <w:jc w:val="left"/>
              <w:rPr>
                <w:rFonts w:hint="eastAsia" w:ascii="仿宋_GB2312" w:hAnsi="宋体" w:eastAsia="仿宋_GB2312" w:cs="Times New Roman"/>
                <w:kern w:val="0"/>
              </w:rPr>
            </w:pPr>
            <w:r>
              <w:rPr>
                <w:rFonts w:hint="eastAsia" w:ascii="仿宋_GB2312" w:hAnsi="宋体" w:eastAsia="仿宋_GB2312" w:cs="Times New Roman"/>
                <w:kern w:val="0"/>
              </w:rPr>
              <w:t>预算绩效评审单位</w:t>
            </w:r>
          </w:p>
        </w:tc>
        <w:tc>
          <w:tcPr>
            <w:tcW w:w="1478" w:type="dxa"/>
            <w:vAlign w:val="center"/>
          </w:tcPr>
          <w:p w14:paraId="032E0AD6">
            <w:pPr>
              <w:widowControl/>
              <w:snapToGrid w:val="0"/>
              <w:jc w:val="center"/>
              <w:rPr>
                <w:rFonts w:hint="eastAsia" w:ascii="仿宋" w:hAnsi="仿宋" w:eastAsia="仿宋" w:cs="仿宋"/>
                <w:kern w:val="0"/>
                <w:sz w:val="21"/>
                <w:szCs w:val="21"/>
                <w:lang w:val="en-US" w:eastAsia="zh-CN"/>
              </w:rPr>
            </w:pPr>
            <w:r>
              <w:rPr>
                <w:rFonts w:hint="eastAsia" w:ascii="仿宋_GB2312" w:hAnsi="宋体" w:eastAsia="仿宋_GB2312" w:cs="Times New Roman"/>
                <w:kern w:val="0"/>
              </w:rPr>
              <w:t>≥</w:t>
            </w:r>
            <w:r>
              <w:rPr>
                <w:rFonts w:hint="eastAsia" w:ascii="仿宋_GB2312" w:hAnsi="宋体" w:eastAsia="仿宋_GB2312" w:cs="Times New Roman"/>
                <w:kern w:val="0"/>
                <w:lang w:val="en-US" w:eastAsia="zh-CN"/>
              </w:rPr>
              <w:t>28</w:t>
            </w:r>
            <w:r>
              <w:rPr>
                <w:rFonts w:hint="eastAsia" w:ascii="仿宋_GB2312" w:hAnsi="宋体" w:eastAsia="仿宋_GB2312" w:cs="Times New Roman"/>
                <w:kern w:val="0"/>
              </w:rPr>
              <w:t>家</w:t>
            </w:r>
          </w:p>
        </w:tc>
        <w:tc>
          <w:tcPr>
            <w:tcW w:w="1536" w:type="dxa"/>
            <w:vAlign w:val="center"/>
          </w:tcPr>
          <w:p w14:paraId="5F237A7E">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28</w:t>
            </w:r>
            <w:r>
              <w:rPr>
                <w:rFonts w:hint="eastAsia" w:ascii="仿宋_GB2312" w:hAnsi="宋体" w:eastAsia="仿宋_GB2312" w:cs="Times New Roman"/>
                <w:kern w:val="0"/>
              </w:rPr>
              <w:t>家</w:t>
            </w:r>
          </w:p>
        </w:tc>
      </w:tr>
      <w:tr w14:paraId="4AAA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3F82680">
            <w:pPr>
              <w:snapToGrid w:val="0"/>
              <w:jc w:val="center"/>
              <w:rPr>
                <w:rFonts w:ascii="仿宋_GB2312" w:hAnsi="宋体" w:eastAsia="仿宋_GB2312" w:cs="Times New Roman"/>
                <w:kern w:val="0"/>
              </w:rPr>
            </w:pPr>
          </w:p>
        </w:tc>
        <w:tc>
          <w:tcPr>
            <w:tcW w:w="700" w:type="dxa"/>
            <w:vMerge w:val="continue"/>
            <w:vAlign w:val="center"/>
          </w:tcPr>
          <w:p w14:paraId="2B8365D6">
            <w:pPr>
              <w:widowControl/>
              <w:snapToGrid w:val="0"/>
              <w:jc w:val="center"/>
              <w:rPr>
                <w:rFonts w:ascii="仿宋_GB2312" w:hAnsi="宋体" w:eastAsia="仿宋_GB2312" w:cs="Times New Roman"/>
                <w:kern w:val="0"/>
              </w:rPr>
            </w:pPr>
          </w:p>
        </w:tc>
        <w:tc>
          <w:tcPr>
            <w:tcW w:w="1122" w:type="dxa"/>
            <w:vAlign w:val="center"/>
          </w:tcPr>
          <w:p w14:paraId="7C833572">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14:paraId="3F53C6B2">
            <w:pPr>
              <w:keepNext w:val="0"/>
              <w:keepLines w:val="0"/>
              <w:widowControl/>
              <w:suppressLineNumbers w:val="0"/>
              <w:jc w:val="left"/>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_GB2312" w:hAnsi="宋体" w:eastAsia="仿宋_GB2312" w:cs="Times New Roman"/>
                <w:kern w:val="0"/>
              </w:rPr>
              <w:t>绩效评价单位覆盖率</w:t>
            </w:r>
          </w:p>
        </w:tc>
        <w:tc>
          <w:tcPr>
            <w:tcW w:w="1478" w:type="dxa"/>
            <w:vAlign w:val="center"/>
          </w:tcPr>
          <w:p w14:paraId="517921AC">
            <w:pPr>
              <w:keepNext w:val="0"/>
              <w:keepLines w:val="0"/>
              <w:widowControl/>
              <w:suppressLineNumbers w:val="0"/>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100%</w:t>
            </w:r>
          </w:p>
        </w:tc>
        <w:tc>
          <w:tcPr>
            <w:tcW w:w="1536" w:type="dxa"/>
            <w:vAlign w:val="center"/>
          </w:tcPr>
          <w:p w14:paraId="17AF0740">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kern w:val="0"/>
                <w:sz w:val="21"/>
                <w:szCs w:val="21"/>
                <w:lang w:val="en-US" w:eastAsia="zh-CN"/>
              </w:rPr>
              <w:t>100%</w:t>
            </w:r>
          </w:p>
        </w:tc>
      </w:tr>
      <w:tr w14:paraId="3C221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DC5686A">
            <w:pPr>
              <w:snapToGrid w:val="0"/>
              <w:jc w:val="center"/>
              <w:rPr>
                <w:rFonts w:ascii="仿宋_GB2312" w:hAnsi="宋体" w:eastAsia="仿宋_GB2312" w:cs="Times New Roman"/>
                <w:kern w:val="0"/>
              </w:rPr>
            </w:pPr>
          </w:p>
        </w:tc>
        <w:tc>
          <w:tcPr>
            <w:tcW w:w="700" w:type="dxa"/>
            <w:vMerge w:val="continue"/>
            <w:vAlign w:val="center"/>
          </w:tcPr>
          <w:p w14:paraId="43C9DCA2">
            <w:pPr>
              <w:widowControl/>
              <w:snapToGrid w:val="0"/>
              <w:jc w:val="center"/>
              <w:rPr>
                <w:rFonts w:ascii="仿宋_GB2312" w:hAnsi="宋体" w:eastAsia="仿宋_GB2312" w:cs="Times New Roman"/>
                <w:kern w:val="0"/>
              </w:rPr>
            </w:pPr>
          </w:p>
        </w:tc>
        <w:tc>
          <w:tcPr>
            <w:tcW w:w="1122" w:type="dxa"/>
            <w:vAlign w:val="center"/>
          </w:tcPr>
          <w:p w14:paraId="6D33F7D8">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成本指标</w:t>
            </w:r>
          </w:p>
        </w:tc>
        <w:tc>
          <w:tcPr>
            <w:tcW w:w="3284" w:type="dxa"/>
            <w:gridSpan w:val="3"/>
            <w:vAlign w:val="center"/>
          </w:tcPr>
          <w:p w14:paraId="12E5C0FC">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14:paraId="6590B0C1">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≦77万元</w:t>
            </w:r>
          </w:p>
        </w:tc>
        <w:tc>
          <w:tcPr>
            <w:tcW w:w="1536" w:type="dxa"/>
            <w:vAlign w:val="center"/>
          </w:tcPr>
          <w:p w14:paraId="23C4EBC6">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57万元</w:t>
            </w:r>
          </w:p>
        </w:tc>
      </w:tr>
      <w:tr w14:paraId="0233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DEC4105">
            <w:pPr>
              <w:snapToGrid w:val="0"/>
              <w:jc w:val="center"/>
              <w:rPr>
                <w:rFonts w:ascii="仿宋_GB2312" w:hAnsi="宋体" w:eastAsia="仿宋_GB2312" w:cs="Times New Roman"/>
                <w:kern w:val="0"/>
              </w:rPr>
            </w:pPr>
          </w:p>
        </w:tc>
        <w:tc>
          <w:tcPr>
            <w:tcW w:w="700" w:type="dxa"/>
            <w:vMerge w:val="continue"/>
            <w:vAlign w:val="center"/>
          </w:tcPr>
          <w:p w14:paraId="441C3F51">
            <w:pPr>
              <w:widowControl/>
              <w:snapToGrid w:val="0"/>
              <w:jc w:val="center"/>
              <w:rPr>
                <w:rFonts w:ascii="仿宋_GB2312" w:hAnsi="宋体" w:eastAsia="仿宋_GB2312" w:cs="Times New Roman"/>
                <w:kern w:val="0"/>
              </w:rPr>
            </w:pPr>
          </w:p>
        </w:tc>
        <w:tc>
          <w:tcPr>
            <w:tcW w:w="1122" w:type="dxa"/>
            <w:vAlign w:val="center"/>
          </w:tcPr>
          <w:p w14:paraId="651FD072">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14:paraId="24D68EE6">
            <w:pPr>
              <w:keepNext w:val="0"/>
              <w:keepLines w:val="0"/>
              <w:widowControl/>
              <w:suppressLineNumbers w:val="0"/>
              <w:jc w:val="left"/>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工作完成时效</w:t>
            </w:r>
          </w:p>
        </w:tc>
        <w:tc>
          <w:tcPr>
            <w:tcW w:w="1478" w:type="dxa"/>
            <w:vAlign w:val="center"/>
          </w:tcPr>
          <w:p w14:paraId="43D7D0D7">
            <w:pPr>
              <w:keepNext w:val="0"/>
              <w:keepLines w:val="0"/>
              <w:widowControl/>
              <w:suppressLineNumbers w:val="0"/>
              <w:jc w:val="center"/>
              <w:textAlignment w:val="center"/>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及时</w:t>
            </w:r>
          </w:p>
        </w:tc>
        <w:tc>
          <w:tcPr>
            <w:tcW w:w="1536" w:type="dxa"/>
            <w:vAlign w:val="center"/>
          </w:tcPr>
          <w:p w14:paraId="50CDCB89">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及时</w:t>
            </w:r>
          </w:p>
        </w:tc>
      </w:tr>
      <w:tr w14:paraId="1EC66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0583C91">
            <w:pPr>
              <w:widowControl/>
              <w:snapToGrid w:val="0"/>
              <w:jc w:val="center"/>
              <w:rPr>
                <w:rFonts w:ascii="仿宋_GB2312" w:hAnsi="宋体" w:eastAsia="仿宋_GB2312" w:cs="Times New Roman"/>
                <w:kern w:val="0"/>
              </w:rPr>
            </w:pPr>
          </w:p>
        </w:tc>
        <w:tc>
          <w:tcPr>
            <w:tcW w:w="700" w:type="dxa"/>
            <w:vAlign w:val="center"/>
          </w:tcPr>
          <w:p w14:paraId="70AF7E72">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14:paraId="583B15A8">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14:paraId="6198475E">
            <w:pPr>
              <w:keepNext w:val="0"/>
              <w:keepLines w:val="0"/>
              <w:widowControl/>
              <w:suppressLineNumbers w:val="0"/>
              <w:jc w:val="left"/>
              <w:textAlignment w:val="center"/>
              <w:rPr>
                <w:rFonts w:hint="default" w:ascii="仿宋" w:hAnsi="仿宋" w:eastAsia="仿宋" w:cs="仿宋"/>
                <w:kern w:val="0"/>
                <w:sz w:val="21"/>
                <w:szCs w:val="21"/>
                <w:lang w:val="en-US" w:eastAsia="zh-CN"/>
              </w:rPr>
            </w:pPr>
            <w:r>
              <w:rPr>
                <w:rFonts w:hint="eastAsia" w:ascii="仿宋_GB2312" w:hAnsi="宋体" w:eastAsia="仿宋_GB2312" w:cs="Times New Roman"/>
                <w:kern w:val="0"/>
              </w:rPr>
              <w:t>资金使用效益</w:t>
            </w:r>
          </w:p>
        </w:tc>
        <w:tc>
          <w:tcPr>
            <w:tcW w:w="1478" w:type="dxa"/>
            <w:vAlign w:val="center"/>
          </w:tcPr>
          <w:p w14:paraId="0983606D">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rPr>
              <w:t>逐步提高</w:t>
            </w:r>
          </w:p>
        </w:tc>
        <w:tc>
          <w:tcPr>
            <w:tcW w:w="1536" w:type="dxa"/>
            <w:vAlign w:val="center"/>
          </w:tcPr>
          <w:p w14:paraId="1AAA6752">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rPr>
              <w:t>逐步提高</w:t>
            </w:r>
          </w:p>
        </w:tc>
      </w:tr>
      <w:tr w14:paraId="7EDD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1680C08">
            <w:pPr>
              <w:widowControl/>
              <w:snapToGrid w:val="0"/>
              <w:jc w:val="center"/>
              <w:rPr>
                <w:rFonts w:ascii="仿宋_GB2312" w:hAnsi="宋体" w:eastAsia="仿宋_GB2312" w:cs="Times New Roman"/>
                <w:kern w:val="0"/>
              </w:rPr>
            </w:pPr>
          </w:p>
        </w:tc>
        <w:tc>
          <w:tcPr>
            <w:tcW w:w="700" w:type="dxa"/>
            <w:vAlign w:val="center"/>
          </w:tcPr>
          <w:p w14:paraId="2AF06031">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14:paraId="26AEBB2E">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14:paraId="4B405058">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_GB2312" w:hAnsi="宋体" w:eastAsia="仿宋_GB2312" w:cs="Times New Roman"/>
                <w:kern w:val="0"/>
              </w:rPr>
              <w:t>被服务单位满意度</w:t>
            </w:r>
          </w:p>
        </w:tc>
        <w:tc>
          <w:tcPr>
            <w:tcW w:w="1478" w:type="dxa"/>
            <w:vAlign w:val="center"/>
          </w:tcPr>
          <w:p w14:paraId="5CDB31C5">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≥98%</w:t>
            </w:r>
          </w:p>
        </w:tc>
        <w:tc>
          <w:tcPr>
            <w:tcW w:w="1536" w:type="dxa"/>
            <w:vAlign w:val="center"/>
          </w:tcPr>
          <w:p w14:paraId="4C00D233">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≥98%</w:t>
            </w:r>
          </w:p>
        </w:tc>
      </w:tr>
      <w:tr w14:paraId="5BF5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14:paraId="4539E40B">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7D4469C0">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60880DB4">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14:paraId="6E5F22AC">
            <w:pPr>
              <w:widowControl/>
              <w:jc w:val="left"/>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2023年对项目进行测算时考虑到有新增单位的现象，但实际执行时考虑到当前财政压力，以节约资金控制成本为原则目标，所以导致偏差。</w:t>
            </w:r>
          </w:p>
        </w:tc>
      </w:tr>
      <w:tr w14:paraId="6424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14:paraId="1DE74C64">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0C9EF76B">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14:paraId="630D9F1B">
            <w:pPr>
              <w:widowControl/>
              <w:jc w:val="left"/>
              <w:rPr>
                <w:rFonts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加强预算管理和资金使用监督。提高预算编制的精细程度，确保资金使用的科学性和准确性</w:t>
            </w:r>
            <w:r>
              <w:rPr>
                <w:rFonts w:hint="eastAsia" w:ascii="仿宋_GB2312" w:hAnsi="宋体" w:eastAsia="仿宋_GB2312" w:cs="仿宋_GB2312"/>
                <w:kern w:val="0"/>
                <w:lang w:eastAsia="zh-CN"/>
              </w:rPr>
              <w:t>。</w:t>
            </w:r>
            <w:r>
              <w:rPr>
                <w:rFonts w:hint="eastAsia" w:ascii="仿宋_GB2312" w:hAnsi="宋体" w:eastAsia="仿宋_GB2312" w:cs="Times New Roman"/>
                <w:kern w:val="0"/>
                <w:lang w:val="en-US" w:eastAsia="zh-CN"/>
              </w:rPr>
              <w:t>若下年度工作目标不变，项目经费预算可适当减少资金。</w:t>
            </w:r>
          </w:p>
        </w:tc>
      </w:tr>
    </w:tbl>
    <w:p w14:paraId="0110B1BA">
      <w:pPr>
        <w:widowControl/>
        <w:rPr>
          <w:rFonts w:ascii="仿宋_GB2312" w:hAnsi="宋体" w:eastAsia="仿宋_GB2312" w:cs="Times New Roman"/>
          <w:kern w:val="0"/>
        </w:rPr>
      </w:pPr>
      <w:r>
        <w:rPr>
          <w:rFonts w:hint="eastAsia" w:ascii="仿宋_GB2312" w:hAnsi="宋体" w:eastAsia="仿宋_GB2312" w:cs="仿宋_GB2312"/>
          <w:kern w:val="0"/>
        </w:rPr>
        <w:t>备注：</w:t>
      </w:r>
    </w:p>
    <w:p w14:paraId="0804B953">
      <w:pPr>
        <w:widowControl/>
        <w:ind w:firstLine="64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14:paraId="425D1E76">
      <w:pPr>
        <w:widowControl/>
        <w:ind w:firstLine="64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14:paraId="09DEE911">
      <w:pPr>
        <w:widowControl/>
        <w:ind w:firstLine="64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14:paraId="3F71E4C3">
      <w:pPr>
        <w:widowControl/>
        <w:ind w:firstLine="64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14:paraId="308CEBB5">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附件1-2</w:t>
      </w:r>
    </w:p>
    <w:p w14:paraId="2A75153C">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会计代理记账</w:t>
      </w:r>
      <w:r>
        <w:rPr>
          <w:rFonts w:hint="eastAsia" w:ascii="方正小标宋简体" w:hAnsi="宋体" w:eastAsia="方正小标宋简体" w:cs="方正小标宋简体"/>
          <w:sz w:val="44"/>
          <w:szCs w:val="44"/>
        </w:rPr>
        <w:t>项目自评表</w:t>
      </w:r>
    </w:p>
    <w:p w14:paraId="5A0CADF9">
      <w:pPr>
        <w:rPr>
          <w:rFonts w:cs="Times New Roman"/>
        </w:rPr>
      </w:pPr>
    </w:p>
    <w:p w14:paraId="68D6818D">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鄂州葛店经济技术开发区财政金融审计局</w:t>
      </w:r>
    </w:p>
    <w:p w14:paraId="3B64A1B1">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14:paraId="50FF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25C35609">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14:paraId="35D7440F">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代理记账</w:t>
            </w:r>
          </w:p>
        </w:tc>
      </w:tr>
      <w:tr w14:paraId="0C70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39A1585E">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14:paraId="67AA2EC8">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鄂州葛店经济技术开发区财政金融审计局</w:t>
            </w:r>
          </w:p>
        </w:tc>
        <w:tc>
          <w:tcPr>
            <w:tcW w:w="2520" w:type="dxa"/>
            <w:gridSpan w:val="2"/>
            <w:vAlign w:val="center"/>
          </w:tcPr>
          <w:p w14:paraId="7C9D8904">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14:paraId="04446A12">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鄂州葛店经济技术开发区财政金融审计局</w:t>
            </w:r>
          </w:p>
        </w:tc>
      </w:tr>
      <w:tr w14:paraId="65C6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36947A67">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14:paraId="09405351">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33A7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4790A0D0">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14:paraId="7EDDB3A4">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0A98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3C68761C">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14:paraId="4977765A">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1D3F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1F6DDC9A">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14:paraId="272BF83C">
            <w:pPr>
              <w:widowControl/>
              <w:snapToGrid w:val="0"/>
              <w:jc w:val="center"/>
              <w:rPr>
                <w:rFonts w:ascii="仿宋_GB2312" w:hAnsi="宋体" w:eastAsia="仿宋_GB2312" w:cs="Times New Roman"/>
                <w:kern w:val="0"/>
              </w:rPr>
            </w:pPr>
          </w:p>
        </w:tc>
        <w:tc>
          <w:tcPr>
            <w:tcW w:w="1604" w:type="dxa"/>
            <w:vAlign w:val="center"/>
          </w:tcPr>
          <w:p w14:paraId="1C22D3D1">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14:paraId="59020300">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14:paraId="7C65866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14:paraId="500D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289EF02C">
            <w:pPr>
              <w:widowControl/>
              <w:snapToGrid w:val="0"/>
              <w:jc w:val="center"/>
              <w:rPr>
                <w:rFonts w:ascii="仿宋_GB2312" w:hAnsi="宋体" w:eastAsia="仿宋_GB2312" w:cs="Times New Roman"/>
                <w:kern w:val="0"/>
              </w:rPr>
            </w:pPr>
          </w:p>
        </w:tc>
        <w:tc>
          <w:tcPr>
            <w:tcW w:w="1122" w:type="dxa"/>
            <w:vAlign w:val="center"/>
          </w:tcPr>
          <w:p w14:paraId="57606175">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14:paraId="24836750">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34.50</w:t>
            </w:r>
          </w:p>
        </w:tc>
        <w:tc>
          <w:tcPr>
            <w:tcW w:w="1680" w:type="dxa"/>
            <w:gridSpan w:val="2"/>
            <w:vAlign w:val="center"/>
          </w:tcPr>
          <w:p w14:paraId="24AFCA28">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34.50</w:t>
            </w:r>
          </w:p>
        </w:tc>
        <w:tc>
          <w:tcPr>
            <w:tcW w:w="3014" w:type="dxa"/>
            <w:gridSpan w:val="2"/>
            <w:vAlign w:val="center"/>
          </w:tcPr>
          <w:p w14:paraId="0AB8ECD3">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14:paraId="70BA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7210EBBF">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14:paraId="58252990">
            <w:pPr>
              <w:widowControl/>
              <w:snapToGrid w:val="0"/>
              <w:jc w:val="center"/>
              <w:rPr>
                <w:rFonts w:ascii="仿宋_GB2312" w:hAnsi="宋体" w:eastAsia="仿宋_GB2312" w:cs="Times New Roman"/>
                <w:kern w:val="0"/>
              </w:rPr>
            </w:pPr>
          </w:p>
        </w:tc>
        <w:tc>
          <w:tcPr>
            <w:tcW w:w="700" w:type="dxa"/>
            <w:vAlign w:val="center"/>
          </w:tcPr>
          <w:p w14:paraId="1BB23982">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14:paraId="5655E5E1">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14:paraId="10730CD6">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14:paraId="63E4682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14:paraId="0DDC6CBC">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6F5B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FF479E6">
            <w:pPr>
              <w:snapToGrid w:val="0"/>
              <w:jc w:val="center"/>
              <w:rPr>
                <w:rFonts w:ascii="仿宋_GB2312" w:hAnsi="宋体" w:eastAsia="仿宋_GB2312" w:cs="Times New Roman"/>
                <w:kern w:val="0"/>
              </w:rPr>
            </w:pPr>
          </w:p>
        </w:tc>
        <w:tc>
          <w:tcPr>
            <w:tcW w:w="700" w:type="dxa"/>
            <w:vMerge w:val="restart"/>
            <w:vAlign w:val="center"/>
          </w:tcPr>
          <w:p w14:paraId="424E729F">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14:paraId="27AC8B39">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14:paraId="76CCF013">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_GB2312" w:hAnsi="宋体" w:eastAsia="仿宋_GB2312" w:cs="Times New Roman"/>
                <w:kern w:val="0"/>
              </w:rPr>
              <w:t>代理记账单位</w:t>
            </w:r>
          </w:p>
        </w:tc>
        <w:tc>
          <w:tcPr>
            <w:tcW w:w="1478" w:type="dxa"/>
            <w:vAlign w:val="center"/>
          </w:tcPr>
          <w:p w14:paraId="768ACDD0">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23家</w:t>
            </w:r>
          </w:p>
        </w:tc>
        <w:tc>
          <w:tcPr>
            <w:tcW w:w="1536" w:type="dxa"/>
            <w:vAlign w:val="center"/>
          </w:tcPr>
          <w:p w14:paraId="60E4CC2F">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23家</w:t>
            </w:r>
          </w:p>
        </w:tc>
      </w:tr>
      <w:tr w14:paraId="34C8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F0A13AA">
            <w:pPr>
              <w:snapToGrid w:val="0"/>
              <w:jc w:val="center"/>
              <w:rPr>
                <w:rFonts w:ascii="仿宋_GB2312" w:hAnsi="宋体" w:eastAsia="仿宋_GB2312" w:cs="Times New Roman"/>
                <w:kern w:val="0"/>
              </w:rPr>
            </w:pPr>
          </w:p>
        </w:tc>
        <w:tc>
          <w:tcPr>
            <w:tcW w:w="700" w:type="dxa"/>
            <w:vMerge w:val="continue"/>
            <w:vAlign w:val="center"/>
          </w:tcPr>
          <w:p w14:paraId="0F075381">
            <w:pPr>
              <w:widowControl/>
              <w:snapToGrid w:val="0"/>
              <w:jc w:val="center"/>
              <w:rPr>
                <w:rFonts w:ascii="仿宋_GB2312" w:hAnsi="宋体" w:eastAsia="仿宋_GB2312" w:cs="Times New Roman"/>
                <w:kern w:val="0"/>
              </w:rPr>
            </w:pPr>
          </w:p>
        </w:tc>
        <w:tc>
          <w:tcPr>
            <w:tcW w:w="1122" w:type="dxa"/>
            <w:vAlign w:val="center"/>
          </w:tcPr>
          <w:p w14:paraId="394F4C21">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14:paraId="37151DB1">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_GB2312" w:hAnsi="宋体" w:eastAsia="仿宋_GB2312" w:cs="Times New Roman"/>
                <w:kern w:val="0"/>
              </w:rPr>
              <w:t>账务工作完整性</w:t>
            </w:r>
          </w:p>
        </w:tc>
        <w:tc>
          <w:tcPr>
            <w:tcW w:w="1478" w:type="dxa"/>
            <w:vAlign w:val="center"/>
          </w:tcPr>
          <w:p w14:paraId="783F4B07">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14:paraId="217BC9A7">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r>
      <w:tr w14:paraId="266E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C0E9FF0">
            <w:pPr>
              <w:snapToGrid w:val="0"/>
              <w:jc w:val="center"/>
              <w:rPr>
                <w:rFonts w:ascii="仿宋_GB2312" w:hAnsi="宋体" w:eastAsia="仿宋_GB2312" w:cs="Times New Roman"/>
                <w:kern w:val="0"/>
              </w:rPr>
            </w:pPr>
          </w:p>
        </w:tc>
        <w:tc>
          <w:tcPr>
            <w:tcW w:w="700" w:type="dxa"/>
            <w:vMerge w:val="continue"/>
            <w:vAlign w:val="center"/>
          </w:tcPr>
          <w:p w14:paraId="63883688">
            <w:pPr>
              <w:widowControl/>
              <w:snapToGrid w:val="0"/>
              <w:jc w:val="center"/>
              <w:rPr>
                <w:rFonts w:ascii="仿宋_GB2312" w:hAnsi="宋体" w:eastAsia="仿宋_GB2312" w:cs="Times New Roman"/>
                <w:kern w:val="0"/>
              </w:rPr>
            </w:pPr>
          </w:p>
        </w:tc>
        <w:tc>
          <w:tcPr>
            <w:tcW w:w="1122" w:type="dxa"/>
            <w:vAlign w:val="center"/>
          </w:tcPr>
          <w:p w14:paraId="28546576">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成本指标</w:t>
            </w:r>
          </w:p>
        </w:tc>
        <w:tc>
          <w:tcPr>
            <w:tcW w:w="3284" w:type="dxa"/>
            <w:gridSpan w:val="3"/>
            <w:vAlign w:val="center"/>
          </w:tcPr>
          <w:p w14:paraId="5DB3A912">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14:paraId="05DFA2A9">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≦34.50万元</w:t>
            </w:r>
          </w:p>
        </w:tc>
        <w:tc>
          <w:tcPr>
            <w:tcW w:w="1536" w:type="dxa"/>
            <w:vAlign w:val="center"/>
          </w:tcPr>
          <w:p w14:paraId="31E13A14">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sz w:val="21"/>
                <w:szCs w:val="22"/>
                <w:lang w:val="en-US" w:eastAsia="zh-CN" w:bidi="ar-SA"/>
              </w:rPr>
              <w:t>34.50万元</w:t>
            </w:r>
          </w:p>
        </w:tc>
      </w:tr>
      <w:tr w14:paraId="73EB3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B979653">
            <w:pPr>
              <w:snapToGrid w:val="0"/>
              <w:jc w:val="center"/>
              <w:rPr>
                <w:rFonts w:ascii="仿宋_GB2312" w:hAnsi="宋体" w:eastAsia="仿宋_GB2312" w:cs="Times New Roman"/>
                <w:kern w:val="0"/>
              </w:rPr>
            </w:pPr>
          </w:p>
        </w:tc>
        <w:tc>
          <w:tcPr>
            <w:tcW w:w="700" w:type="dxa"/>
            <w:vMerge w:val="continue"/>
            <w:vAlign w:val="center"/>
          </w:tcPr>
          <w:p w14:paraId="0A5CAEBE">
            <w:pPr>
              <w:widowControl/>
              <w:snapToGrid w:val="0"/>
              <w:jc w:val="center"/>
              <w:rPr>
                <w:rFonts w:ascii="仿宋_GB2312" w:hAnsi="宋体" w:eastAsia="仿宋_GB2312" w:cs="Times New Roman"/>
                <w:kern w:val="0"/>
              </w:rPr>
            </w:pPr>
          </w:p>
        </w:tc>
        <w:tc>
          <w:tcPr>
            <w:tcW w:w="1122" w:type="dxa"/>
            <w:vAlign w:val="center"/>
          </w:tcPr>
          <w:p w14:paraId="1F08AA47">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14:paraId="15DB1321">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_GB2312" w:hAnsi="宋体" w:eastAsia="仿宋_GB2312" w:cs="Times New Roman"/>
                <w:kern w:val="0"/>
                <w:lang w:eastAsia="zh-CN"/>
              </w:rPr>
              <w:t>计划完成时间</w:t>
            </w:r>
          </w:p>
        </w:tc>
        <w:tc>
          <w:tcPr>
            <w:tcW w:w="1478" w:type="dxa"/>
            <w:vAlign w:val="center"/>
          </w:tcPr>
          <w:p w14:paraId="5365295A">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本年完成</w:t>
            </w:r>
          </w:p>
        </w:tc>
        <w:tc>
          <w:tcPr>
            <w:tcW w:w="1536" w:type="dxa"/>
            <w:vAlign w:val="center"/>
          </w:tcPr>
          <w:p w14:paraId="3E5D974C">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本年完成</w:t>
            </w:r>
          </w:p>
        </w:tc>
      </w:tr>
      <w:tr w14:paraId="1D2E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0E751C0">
            <w:pPr>
              <w:widowControl/>
              <w:snapToGrid w:val="0"/>
              <w:jc w:val="center"/>
              <w:rPr>
                <w:rFonts w:ascii="仿宋_GB2312" w:hAnsi="宋体" w:eastAsia="仿宋_GB2312" w:cs="Times New Roman"/>
                <w:kern w:val="0"/>
              </w:rPr>
            </w:pPr>
          </w:p>
        </w:tc>
        <w:tc>
          <w:tcPr>
            <w:tcW w:w="700" w:type="dxa"/>
            <w:vMerge w:val="restart"/>
            <w:vAlign w:val="center"/>
          </w:tcPr>
          <w:p w14:paraId="75262252">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14:paraId="6AA1B3DC">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14:paraId="2E86E9A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_GB2312" w:hAnsi="宋体" w:eastAsia="仿宋_GB2312" w:cs="Times New Roman"/>
                <w:kern w:val="0"/>
              </w:rPr>
              <w:t>代理记账工作</w:t>
            </w:r>
            <w:r>
              <w:rPr>
                <w:rFonts w:hint="eastAsia" w:ascii="仿宋_GB2312" w:hAnsi="宋体" w:eastAsia="仿宋_GB2312" w:cs="Times New Roman"/>
                <w:kern w:val="0"/>
                <w:lang w:eastAsia="zh-CN"/>
              </w:rPr>
              <w:t>，保证账务的真实性和完整性</w:t>
            </w:r>
          </w:p>
        </w:tc>
        <w:tc>
          <w:tcPr>
            <w:tcW w:w="1478" w:type="dxa"/>
            <w:vAlign w:val="center"/>
          </w:tcPr>
          <w:p w14:paraId="70902E6C">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效果较显著</w:t>
            </w:r>
          </w:p>
        </w:tc>
        <w:tc>
          <w:tcPr>
            <w:tcW w:w="1536" w:type="dxa"/>
            <w:vAlign w:val="center"/>
          </w:tcPr>
          <w:p w14:paraId="79B38FFD">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效果较显著</w:t>
            </w:r>
          </w:p>
        </w:tc>
      </w:tr>
      <w:tr w14:paraId="741D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24BAA35">
            <w:pPr>
              <w:widowControl/>
              <w:snapToGrid w:val="0"/>
              <w:jc w:val="center"/>
              <w:rPr>
                <w:rFonts w:ascii="仿宋_GB2312" w:hAnsi="宋体" w:eastAsia="仿宋_GB2312" w:cs="Times New Roman"/>
                <w:kern w:val="0"/>
              </w:rPr>
            </w:pPr>
          </w:p>
        </w:tc>
        <w:tc>
          <w:tcPr>
            <w:tcW w:w="700" w:type="dxa"/>
            <w:vMerge w:val="continue"/>
            <w:vAlign w:val="center"/>
          </w:tcPr>
          <w:p w14:paraId="1FBCD157">
            <w:pPr>
              <w:snapToGrid w:val="0"/>
              <w:jc w:val="center"/>
              <w:rPr>
                <w:rFonts w:hint="eastAsia" w:ascii="仿宋_GB2312" w:hAnsi="宋体" w:eastAsia="仿宋_GB2312" w:cs="仿宋_GB2312"/>
                <w:kern w:val="0"/>
              </w:rPr>
            </w:pPr>
          </w:p>
        </w:tc>
        <w:tc>
          <w:tcPr>
            <w:tcW w:w="1122" w:type="dxa"/>
            <w:vAlign w:val="center"/>
          </w:tcPr>
          <w:p w14:paraId="77E321BA">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仿宋_GB2312"/>
                <w:kern w:val="0"/>
                <w:lang w:eastAsia="zh-CN"/>
              </w:rPr>
              <w:t>可持续影响指标</w:t>
            </w:r>
          </w:p>
        </w:tc>
        <w:tc>
          <w:tcPr>
            <w:tcW w:w="3284" w:type="dxa"/>
            <w:gridSpan w:val="3"/>
            <w:vAlign w:val="center"/>
          </w:tcPr>
          <w:p w14:paraId="07ED756D">
            <w:pPr>
              <w:widowControl/>
              <w:snapToGrid w:val="0"/>
              <w:jc w:val="left"/>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财务规范情况</w:t>
            </w:r>
          </w:p>
        </w:tc>
        <w:tc>
          <w:tcPr>
            <w:tcW w:w="1478" w:type="dxa"/>
            <w:vAlign w:val="center"/>
          </w:tcPr>
          <w:p w14:paraId="102A78C4">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sz w:val="21"/>
                <w:szCs w:val="22"/>
                <w:lang w:val="en-US" w:eastAsia="zh-CN" w:bidi="ar-SA"/>
              </w:rPr>
              <w:t>较好</w:t>
            </w:r>
          </w:p>
        </w:tc>
        <w:tc>
          <w:tcPr>
            <w:tcW w:w="1536" w:type="dxa"/>
            <w:vAlign w:val="center"/>
          </w:tcPr>
          <w:p w14:paraId="3BFCF149">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sz w:val="21"/>
                <w:szCs w:val="22"/>
                <w:lang w:val="en-US" w:eastAsia="zh-CN" w:bidi="ar-SA"/>
              </w:rPr>
              <w:t>较好</w:t>
            </w:r>
          </w:p>
        </w:tc>
      </w:tr>
      <w:tr w14:paraId="6CFE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F2656F7">
            <w:pPr>
              <w:widowControl/>
              <w:snapToGrid w:val="0"/>
              <w:jc w:val="center"/>
              <w:rPr>
                <w:rFonts w:ascii="仿宋_GB2312" w:hAnsi="宋体" w:eastAsia="仿宋_GB2312" w:cs="Times New Roman"/>
                <w:kern w:val="0"/>
              </w:rPr>
            </w:pPr>
          </w:p>
        </w:tc>
        <w:tc>
          <w:tcPr>
            <w:tcW w:w="700" w:type="dxa"/>
            <w:vAlign w:val="center"/>
          </w:tcPr>
          <w:p w14:paraId="3BD6B62B">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14:paraId="54B99EBC">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14:paraId="08A95B48">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单位满意度</w:t>
            </w:r>
          </w:p>
        </w:tc>
        <w:tc>
          <w:tcPr>
            <w:tcW w:w="1478" w:type="dxa"/>
            <w:vAlign w:val="center"/>
          </w:tcPr>
          <w:p w14:paraId="17BCD279">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≥95%</w:t>
            </w:r>
          </w:p>
        </w:tc>
        <w:tc>
          <w:tcPr>
            <w:tcW w:w="1536" w:type="dxa"/>
            <w:vAlign w:val="center"/>
          </w:tcPr>
          <w:p w14:paraId="59933298">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≥95%</w:t>
            </w:r>
          </w:p>
        </w:tc>
      </w:tr>
      <w:tr w14:paraId="603F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14:paraId="3E598B30">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1186FF01">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404EC147">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14:paraId="6D3AE419">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14:paraId="0085B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14:paraId="6B3E2733">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6BA7946E">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14:paraId="17F7E0C6">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2023年预算执行率高，若下年度工作目标不变，项目经费预算可保持不变。</w:t>
            </w:r>
          </w:p>
        </w:tc>
      </w:tr>
    </w:tbl>
    <w:p w14:paraId="42DE273A">
      <w:pPr>
        <w:widowControl/>
        <w:rPr>
          <w:rFonts w:ascii="仿宋_GB2312" w:hAnsi="宋体" w:eastAsia="仿宋_GB2312" w:cs="Times New Roman"/>
          <w:kern w:val="0"/>
        </w:rPr>
      </w:pPr>
      <w:r>
        <w:rPr>
          <w:rFonts w:hint="eastAsia" w:ascii="仿宋_GB2312" w:hAnsi="宋体" w:eastAsia="仿宋_GB2312" w:cs="仿宋_GB2312"/>
          <w:kern w:val="0"/>
        </w:rPr>
        <w:t>备注：</w:t>
      </w:r>
    </w:p>
    <w:p w14:paraId="6827E968">
      <w:pPr>
        <w:widowControl/>
        <w:ind w:firstLine="64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14:paraId="04BB6F23">
      <w:pPr>
        <w:widowControl/>
        <w:ind w:firstLine="64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14:paraId="3625E6D7">
      <w:pPr>
        <w:widowControl/>
        <w:ind w:firstLine="64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14:paraId="6EF7B354">
      <w:pPr>
        <w:widowControl/>
        <w:ind w:firstLine="64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14:paraId="25A887D0">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附件1-3</w:t>
      </w:r>
    </w:p>
    <w:p w14:paraId="12C75AF0">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资产编报服务</w:t>
      </w:r>
      <w:r>
        <w:rPr>
          <w:rFonts w:hint="eastAsia" w:ascii="方正小标宋简体" w:hAnsi="宋体" w:eastAsia="方正小标宋简体" w:cs="方正小标宋简体"/>
          <w:sz w:val="44"/>
          <w:szCs w:val="44"/>
        </w:rPr>
        <w:t>项目自评表</w:t>
      </w:r>
    </w:p>
    <w:p w14:paraId="00A885A5">
      <w:pPr>
        <w:rPr>
          <w:rFonts w:cs="Times New Roman"/>
        </w:rPr>
      </w:pPr>
    </w:p>
    <w:p w14:paraId="5466E0F3">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鄂州葛店经济技术开发区财政金融审计局</w:t>
      </w:r>
    </w:p>
    <w:p w14:paraId="4F9D62E5">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14:paraId="1E67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B1880D0">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14:paraId="473F052F">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资产编报服务</w:t>
            </w:r>
          </w:p>
        </w:tc>
      </w:tr>
      <w:tr w14:paraId="5EE6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2A8202A6">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14:paraId="50AF6B6B">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鄂州葛店经济技术开发区财政金融审计局</w:t>
            </w:r>
          </w:p>
        </w:tc>
        <w:tc>
          <w:tcPr>
            <w:tcW w:w="2520" w:type="dxa"/>
            <w:gridSpan w:val="2"/>
            <w:vAlign w:val="center"/>
          </w:tcPr>
          <w:p w14:paraId="1EF26861">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14:paraId="0F0BC57D">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鄂州葛店经济技术开发区财政金融审计局</w:t>
            </w:r>
          </w:p>
        </w:tc>
      </w:tr>
      <w:tr w14:paraId="5C867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D50EC1C">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14:paraId="25916B06">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54F8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CF167B0">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14:paraId="537F58CB">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5275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82BB1D1">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14:paraId="6C949E9F">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2853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29F5BB8D">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14:paraId="2AC6C8EC">
            <w:pPr>
              <w:widowControl/>
              <w:snapToGrid w:val="0"/>
              <w:jc w:val="center"/>
              <w:rPr>
                <w:rFonts w:ascii="仿宋_GB2312" w:hAnsi="宋体" w:eastAsia="仿宋_GB2312" w:cs="Times New Roman"/>
                <w:kern w:val="0"/>
              </w:rPr>
            </w:pPr>
          </w:p>
        </w:tc>
        <w:tc>
          <w:tcPr>
            <w:tcW w:w="1604" w:type="dxa"/>
            <w:vAlign w:val="center"/>
          </w:tcPr>
          <w:p w14:paraId="20A06E60">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14:paraId="00813A16">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14:paraId="721814B4">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14:paraId="0421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3DFFAA6E">
            <w:pPr>
              <w:widowControl/>
              <w:snapToGrid w:val="0"/>
              <w:jc w:val="center"/>
              <w:rPr>
                <w:rFonts w:ascii="仿宋_GB2312" w:hAnsi="宋体" w:eastAsia="仿宋_GB2312" w:cs="Times New Roman"/>
                <w:kern w:val="0"/>
              </w:rPr>
            </w:pPr>
          </w:p>
        </w:tc>
        <w:tc>
          <w:tcPr>
            <w:tcW w:w="1122" w:type="dxa"/>
            <w:vAlign w:val="center"/>
          </w:tcPr>
          <w:p w14:paraId="6DD3440A">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14:paraId="69341CF2">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13.00</w:t>
            </w:r>
          </w:p>
        </w:tc>
        <w:tc>
          <w:tcPr>
            <w:tcW w:w="1680" w:type="dxa"/>
            <w:gridSpan w:val="2"/>
            <w:vAlign w:val="center"/>
          </w:tcPr>
          <w:p w14:paraId="12998475">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13.00</w:t>
            </w:r>
          </w:p>
        </w:tc>
        <w:tc>
          <w:tcPr>
            <w:tcW w:w="3014" w:type="dxa"/>
            <w:gridSpan w:val="2"/>
            <w:vAlign w:val="center"/>
          </w:tcPr>
          <w:p w14:paraId="2714D96D">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14:paraId="39E5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3214E922">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14:paraId="12C42E6F">
            <w:pPr>
              <w:widowControl/>
              <w:snapToGrid w:val="0"/>
              <w:jc w:val="center"/>
              <w:rPr>
                <w:rFonts w:ascii="仿宋_GB2312" w:hAnsi="宋体" w:eastAsia="仿宋_GB2312" w:cs="Times New Roman"/>
                <w:kern w:val="0"/>
              </w:rPr>
            </w:pPr>
          </w:p>
        </w:tc>
        <w:tc>
          <w:tcPr>
            <w:tcW w:w="700" w:type="dxa"/>
            <w:vAlign w:val="center"/>
          </w:tcPr>
          <w:p w14:paraId="16F6F00E">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14:paraId="36FA8C8C">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14:paraId="6C797A0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14:paraId="2D7437C9">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14:paraId="68EC8054">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1FBE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04A6D6E">
            <w:pPr>
              <w:snapToGrid w:val="0"/>
              <w:jc w:val="center"/>
              <w:rPr>
                <w:rFonts w:ascii="仿宋_GB2312" w:hAnsi="宋体" w:eastAsia="仿宋_GB2312" w:cs="Times New Roman"/>
                <w:kern w:val="0"/>
              </w:rPr>
            </w:pPr>
          </w:p>
        </w:tc>
        <w:tc>
          <w:tcPr>
            <w:tcW w:w="700" w:type="dxa"/>
            <w:vMerge w:val="restart"/>
            <w:vAlign w:val="center"/>
          </w:tcPr>
          <w:p w14:paraId="4051E3D8">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14:paraId="1F50F089">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14:paraId="0413DECA">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资产编报年报表单位数</w:t>
            </w:r>
          </w:p>
        </w:tc>
        <w:tc>
          <w:tcPr>
            <w:tcW w:w="1478" w:type="dxa"/>
            <w:vAlign w:val="center"/>
          </w:tcPr>
          <w:p w14:paraId="00AE639D">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_GB2312" w:hAnsi="宋体" w:eastAsia="仿宋_GB2312" w:cs="Times New Roman"/>
                <w:kern w:val="0"/>
                <w:lang w:val="en-US" w:eastAsia="zh-CN"/>
              </w:rPr>
              <w:t>≥</w:t>
            </w:r>
            <w:r>
              <w:rPr>
                <w:rFonts w:hint="eastAsia" w:ascii="仿宋" w:hAnsi="仿宋" w:eastAsia="仿宋" w:cs="仿宋"/>
                <w:i w:val="0"/>
                <w:iCs w:val="0"/>
                <w:color w:val="000000"/>
                <w:kern w:val="0"/>
                <w:sz w:val="21"/>
                <w:szCs w:val="21"/>
                <w:u w:val="none"/>
                <w:lang w:val="en-US" w:eastAsia="zh-CN" w:bidi="ar"/>
              </w:rPr>
              <w:t>33家</w:t>
            </w:r>
          </w:p>
        </w:tc>
        <w:tc>
          <w:tcPr>
            <w:tcW w:w="1536" w:type="dxa"/>
            <w:vAlign w:val="center"/>
          </w:tcPr>
          <w:p w14:paraId="753B7534">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33家</w:t>
            </w:r>
          </w:p>
        </w:tc>
      </w:tr>
      <w:tr w14:paraId="5021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744C6F9">
            <w:pPr>
              <w:snapToGrid w:val="0"/>
              <w:jc w:val="center"/>
              <w:rPr>
                <w:rFonts w:ascii="仿宋_GB2312" w:hAnsi="宋体" w:eastAsia="仿宋_GB2312" w:cs="Times New Roman"/>
                <w:kern w:val="0"/>
              </w:rPr>
            </w:pPr>
          </w:p>
        </w:tc>
        <w:tc>
          <w:tcPr>
            <w:tcW w:w="700" w:type="dxa"/>
            <w:vMerge w:val="continue"/>
            <w:vAlign w:val="center"/>
          </w:tcPr>
          <w:p w14:paraId="41D6F334">
            <w:pPr>
              <w:widowControl/>
              <w:snapToGrid w:val="0"/>
              <w:jc w:val="center"/>
              <w:rPr>
                <w:rFonts w:ascii="仿宋_GB2312" w:hAnsi="宋体" w:eastAsia="仿宋_GB2312" w:cs="Times New Roman"/>
                <w:kern w:val="0"/>
              </w:rPr>
            </w:pPr>
          </w:p>
        </w:tc>
        <w:tc>
          <w:tcPr>
            <w:tcW w:w="1122" w:type="dxa"/>
            <w:vAlign w:val="center"/>
          </w:tcPr>
          <w:p w14:paraId="1B56316C">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14:paraId="6B0F4750">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验收合格率</w:t>
            </w:r>
          </w:p>
        </w:tc>
        <w:tc>
          <w:tcPr>
            <w:tcW w:w="1478" w:type="dxa"/>
            <w:vAlign w:val="center"/>
          </w:tcPr>
          <w:p w14:paraId="1E9E264A">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14:paraId="17FD61A8">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100%</w:t>
            </w:r>
          </w:p>
        </w:tc>
      </w:tr>
      <w:tr w14:paraId="6B68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6E8D830">
            <w:pPr>
              <w:snapToGrid w:val="0"/>
              <w:jc w:val="center"/>
              <w:rPr>
                <w:rFonts w:ascii="仿宋_GB2312" w:hAnsi="宋体" w:eastAsia="仿宋_GB2312" w:cs="Times New Roman"/>
                <w:kern w:val="0"/>
              </w:rPr>
            </w:pPr>
          </w:p>
        </w:tc>
        <w:tc>
          <w:tcPr>
            <w:tcW w:w="700" w:type="dxa"/>
            <w:vMerge w:val="continue"/>
            <w:vAlign w:val="center"/>
          </w:tcPr>
          <w:p w14:paraId="0E327DAF">
            <w:pPr>
              <w:widowControl/>
              <w:snapToGrid w:val="0"/>
              <w:jc w:val="center"/>
              <w:rPr>
                <w:rFonts w:ascii="仿宋_GB2312" w:hAnsi="宋体" w:eastAsia="仿宋_GB2312" w:cs="Times New Roman"/>
                <w:kern w:val="0"/>
              </w:rPr>
            </w:pPr>
          </w:p>
        </w:tc>
        <w:tc>
          <w:tcPr>
            <w:tcW w:w="1122" w:type="dxa"/>
            <w:vAlign w:val="center"/>
          </w:tcPr>
          <w:p w14:paraId="4590972B">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成本指标</w:t>
            </w:r>
          </w:p>
        </w:tc>
        <w:tc>
          <w:tcPr>
            <w:tcW w:w="3284" w:type="dxa"/>
            <w:gridSpan w:val="3"/>
            <w:vAlign w:val="center"/>
          </w:tcPr>
          <w:p w14:paraId="7B83EF4E">
            <w:pPr>
              <w:keepNext w:val="0"/>
              <w:keepLines w:val="0"/>
              <w:widowControl/>
              <w:suppressLineNumbers w:val="0"/>
              <w:jc w:val="left"/>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14:paraId="76D3BD99">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≦13万元</w:t>
            </w:r>
          </w:p>
        </w:tc>
        <w:tc>
          <w:tcPr>
            <w:tcW w:w="1536" w:type="dxa"/>
            <w:vAlign w:val="center"/>
          </w:tcPr>
          <w:p w14:paraId="0EF0AEAD">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13万元</w:t>
            </w:r>
          </w:p>
        </w:tc>
      </w:tr>
      <w:tr w14:paraId="29E3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6E4FCC0">
            <w:pPr>
              <w:snapToGrid w:val="0"/>
              <w:jc w:val="center"/>
              <w:rPr>
                <w:rFonts w:ascii="仿宋_GB2312" w:hAnsi="宋体" w:eastAsia="仿宋_GB2312" w:cs="Times New Roman"/>
                <w:kern w:val="0"/>
              </w:rPr>
            </w:pPr>
          </w:p>
        </w:tc>
        <w:tc>
          <w:tcPr>
            <w:tcW w:w="700" w:type="dxa"/>
            <w:vMerge w:val="continue"/>
            <w:vAlign w:val="center"/>
          </w:tcPr>
          <w:p w14:paraId="32CAD5A7">
            <w:pPr>
              <w:widowControl/>
              <w:snapToGrid w:val="0"/>
              <w:jc w:val="center"/>
              <w:rPr>
                <w:rFonts w:ascii="仿宋_GB2312" w:hAnsi="宋体" w:eastAsia="仿宋_GB2312" w:cs="Times New Roman"/>
                <w:kern w:val="0"/>
              </w:rPr>
            </w:pPr>
          </w:p>
        </w:tc>
        <w:tc>
          <w:tcPr>
            <w:tcW w:w="1122" w:type="dxa"/>
            <w:vAlign w:val="center"/>
          </w:tcPr>
          <w:p w14:paraId="60C49CB4">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14:paraId="114CD978">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资产编报工作完成时效</w:t>
            </w:r>
          </w:p>
        </w:tc>
        <w:tc>
          <w:tcPr>
            <w:tcW w:w="1478" w:type="dxa"/>
            <w:vAlign w:val="center"/>
          </w:tcPr>
          <w:p w14:paraId="57EABF14">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按时间截点完成</w:t>
            </w:r>
          </w:p>
        </w:tc>
        <w:tc>
          <w:tcPr>
            <w:tcW w:w="1536" w:type="dxa"/>
            <w:vAlign w:val="center"/>
          </w:tcPr>
          <w:p w14:paraId="26C95400">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按时间截点完成</w:t>
            </w:r>
          </w:p>
        </w:tc>
      </w:tr>
      <w:tr w14:paraId="4321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664B929">
            <w:pPr>
              <w:widowControl/>
              <w:snapToGrid w:val="0"/>
              <w:jc w:val="center"/>
              <w:rPr>
                <w:rFonts w:ascii="仿宋_GB2312" w:hAnsi="宋体" w:eastAsia="仿宋_GB2312" w:cs="Times New Roman"/>
                <w:kern w:val="0"/>
              </w:rPr>
            </w:pPr>
          </w:p>
        </w:tc>
        <w:tc>
          <w:tcPr>
            <w:tcW w:w="700" w:type="dxa"/>
            <w:vMerge w:val="restart"/>
            <w:vAlign w:val="center"/>
          </w:tcPr>
          <w:p w14:paraId="52B6B45F">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14:paraId="7EDC0763">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14:paraId="0A31C3F3">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资产编报工作</w:t>
            </w:r>
          </w:p>
        </w:tc>
        <w:tc>
          <w:tcPr>
            <w:tcW w:w="1478" w:type="dxa"/>
            <w:vAlign w:val="center"/>
          </w:tcPr>
          <w:p w14:paraId="553346F2">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确保数据真实性、准确性、完整性</w:t>
            </w:r>
          </w:p>
        </w:tc>
        <w:tc>
          <w:tcPr>
            <w:tcW w:w="1536" w:type="dxa"/>
            <w:vAlign w:val="center"/>
          </w:tcPr>
          <w:p w14:paraId="2C248CF4">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确保数据真实性、准确性、完整性</w:t>
            </w:r>
          </w:p>
        </w:tc>
      </w:tr>
      <w:tr w14:paraId="1897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11429E3">
            <w:pPr>
              <w:widowControl/>
              <w:snapToGrid w:val="0"/>
              <w:jc w:val="center"/>
              <w:rPr>
                <w:rFonts w:ascii="仿宋_GB2312" w:hAnsi="宋体" w:eastAsia="仿宋_GB2312" w:cs="Times New Roman"/>
                <w:kern w:val="0"/>
              </w:rPr>
            </w:pPr>
          </w:p>
        </w:tc>
        <w:tc>
          <w:tcPr>
            <w:tcW w:w="700" w:type="dxa"/>
            <w:vMerge w:val="continue"/>
            <w:vAlign w:val="center"/>
          </w:tcPr>
          <w:p w14:paraId="22C68850">
            <w:pPr>
              <w:widowControl/>
              <w:snapToGrid w:val="0"/>
              <w:jc w:val="center"/>
              <w:rPr>
                <w:rFonts w:hint="eastAsia" w:ascii="仿宋_GB2312" w:hAnsi="宋体" w:eastAsia="仿宋_GB2312" w:cs="Times New Roman"/>
                <w:kern w:val="0"/>
              </w:rPr>
            </w:pPr>
          </w:p>
        </w:tc>
        <w:tc>
          <w:tcPr>
            <w:tcW w:w="1122" w:type="dxa"/>
            <w:vAlign w:val="center"/>
          </w:tcPr>
          <w:p w14:paraId="122D151F">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可持续影响</w:t>
            </w:r>
          </w:p>
        </w:tc>
        <w:tc>
          <w:tcPr>
            <w:tcW w:w="3284" w:type="dxa"/>
            <w:gridSpan w:val="3"/>
            <w:vAlign w:val="center"/>
          </w:tcPr>
          <w:p w14:paraId="6439E47C">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账表情况</w:t>
            </w:r>
          </w:p>
        </w:tc>
        <w:tc>
          <w:tcPr>
            <w:tcW w:w="1478" w:type="dxa"/>
            <w:vAlign w:val="center"/>
          </w:tcPr>
          <w:p w14:paraId="3D7BC562">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账表相符</w:t>
            </w:r>
          </w:p>
        </w:tc>
        <w:tc>
          <w:tcPr>
            <w:tcW w:w="1536" w:type="dxa"/>
            <w:vAlign w:val="center"/>
          </w:tcPr>
          <w:p w14:paraId="2AE927F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账表相符</w:t>
            </w:r>
          </w:p>
        </w:tc>
      </w:tr>
      <w:tr w14:paraId="4104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BD4E74B">
            <w:pPr>
              <w:widowControl/>
              <w:snapToGrid w:val="0"/>
              <w:jc w:val="center"/>
              <w:rPr>
                <w:rFonts w:ascii="仿宋_GB2312" w:hAnsi="宋体" w:eastAsia="仿宋_GB2312" w:cs="Times New Roman"/>
                <w:kern w:val="0"/>
              </w:rPr>
            </w:pPr>
          </w:p>
        </w:tc>
        <w:tc>
          <w:tcPr>
            <w:tcW w:w="700" w:type="dxa"/>
            <w:vAlign w:val="center"/>
          </w:tcPr>
          <w:p w14:paraId="24DBB4AA">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14:paraId="7709C786">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14:paraId="33660EE8">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_GB2312" w:hAnsi="宋体" w:eastAsia="仿宋_GB2312" w:cs="仿宋_GB2312"/>
                <w:kern w:val="0"/>
                <w:lang w:val="en-US" w:eastAsia="zh-CN"/>
              </w:rPr>
              <w:t>被服务单位满意度</w:t>
            </w:r>
          </w:p>
        </w:tc>
        <w:tc>
          <w:tcPr>
            <w:tcW w:w="1478" w:type="dxa"/>
            <w:vAlign w:val="center"/>
          </w:tcPr>
          <w:p w14:paraId="21D138B6">
            <w:pPr>
              <w:widowControl/>
              <w:snapToGrid w:val="0"/>
              <w:jc w:val="center"/>
              <w:rPr>
                <w:rFonts w:hint="eastAsia" w:ascii="仿宋" w:hAnsi="仿宋" w:eastAsia="仿宋" w:cs="仿宋"/>
                <w:kern w:val="0"/>
                <w:sz w:val="21"/>
                <w:szCs w:val="21"/>
              </w:rPr>
            </w:pPr>
            <w:r>
              <w:rPr>
                <w:rFonts w:hint="eastAsia" w:ascii="仿宋_GB2312" w:hAnsi="宋体" w:eastAsia="仿宋_GB2312" w:cs="Times New Roman"/>
                <w:kern w:val="0"/>
                <w:lang w:val="en-US" w:eastAsia="zh-CN"/>
              </w:rPr>
              <w:t>≥95%</w:t>
            </w:r>
          </w:p>
        </w:tc>
        <w:tc>
          <w:tcPr>
            <w:tcW w:w="1536" w:type="dxa"/>
            <w:vAlign w:val="center"/>
          </w:tcPr>
          <w:p w14:paraId="04E0D5B8">
            <w:pPr>
              <w:widowControl/>
              <w:snapToGrid w:val="0"/>
              <w:jc w:val="center"/>
              <w:rPr>
                <w:rFonts w:hint="eastAsia" w:ascii="仿宋" w:hAnsi="仿宋" w:eastAsia="仿宋" w:cs="仿宋"/>
                <w:kern w:val="0"/>
                <w:sz w:val="21"/>
                <w:szCs w:val="21"/>
                <w:lang w:val="en-US" w:eastAsia="zh-CN" w:bidi="ar-SA"/>
              </w:rPr>
            </w:pPr>
            <w:r>
              <w:rPr>
                <w:rFonts w:hint="eastAsia" w:ascii="仿宋_GB2312" w:hAnsi="宋体" w:eastAsia="仿宋_GB2312" w:cs="Times New Roman"/>
                <w:kern w:val="0"/>
                <w:lang w:val="en-US" w:eastAsia="zh-CN"/>
              </w:rPr>
              <w:t>≥95%</w:t>
            </w:r>
          </w:p>
        </w:tc>
      </w:tr>
      <w:tr w14:paraId="1D0C1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14:paraId="364564BB">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34ABDB18">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662B0B13">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14:paraId="0DEDE719">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14:paraId="042D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14:paraId="6E18DFEF">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43D97038">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14:paraId="3C4FBBFB">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2023年预算执行率高，若下年度工作目标不变，项目经费预算可保持不变。</w:t>
            </w:r>
          </w:p>
        </w:tc>
      </w:tr>
    </w:tbl>
    <w:p w14:paraId="189D20A0">
      <w:pPr>
        <w:widowControl/>
        <w:rPr>
          <w:rFonts w:ascii="仿宋_GB2312" w:hAnsi="宋体" w:eastAsia="仿宋_GB2312" w:cs="Times New Roman"/>
          <w:kern w:val="0"/>
        </w:rPr>
      </w:pPr>
      <w:r>
        <w:rPr>
          <w:rFonts w:hint="eastAsia" w:ascii="仿宋_GB2312" w:hAnsi="宋体" w:eastAsia="仿宋_GB2312" w:cs="仿宋_GB2312"/>
          <w:kern w:val="0"/>
        </w:rPr>
        <w:t>备注：</w:t>
      </w:r>
    </w:p>
    <w:p w14:paraId="65FDB623">
      <w:pPr>
        <w:widowControl/>
        <w:ind w:firstLine="64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14:paraId="39151BFE">
      <w:pPr>
        <w:widowControl/>
        <w:ind w:firstLine="64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14:paraId="102862E0">
      <w:pPr>
        <w:widowControl/>
        <w:ind w:firstLine="64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14:paraId="69F5F8A1">
      <w:pPr>
        <w:widowControl/>
        <w:ind w:firstLine="64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14:paraId="532880A5">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附件1-4</w:t>
      </w:r>
    </w:p>
    <w:p w14:paraId="0176F238">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预算一体化系统费用</w:t>
      </w:r>
      <w:r>
        <w:rPr>
          <w:rFonts w:hint="eastAsia" w:ascii="方正小标宋简体" w:hAnsi="宋体" w:eastAsia="方正小标宋简体" w:cs="方正小标宋简体"/>
          <w:sz w:val="44"/>
          <w:szCs w:val="44"/>
        </w:rPr>
        <w:t>项目自评表</w:t>
      </w:r>
    </w:p>
    <w:p w14:paraId="1FE5FA3F">
      <w:pPr>
        <w:rPr>
          <w:rFonts w:cs="Times New Roman"/>
        </w:rPr>
      </w:pPr>
    </w:p>
    <w:p w14:paraId="13A0B63C">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鄂州葛店经济技术开发区财政金融审计局</w:t>
      </w:r>
    </w:p>
    <w:p w14:paraId="599B685B">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14:paraId="1E19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63098191">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14:paraId="02D77442">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预算一体化系统费用</w:t>
            </w:r>
          </w:p>
        </w:tc>
      </w:tr>
      <w:tr w14:paraId="178E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4D54E894">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14:paraId="320D27FC">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鄂州葛店经济技术开发区财政金融审计局</w:t>
            </w:r>
          </w:p>
        </w:tc>
        <w:tc>
          <w:tcPr>
            <w:tcW w:w="2520" w:type="dxa"/>
            <w:gridSpan w:val="2"/>
            <w:vAlign w:val="center"/>
          </w:tcPr>
          <w:p w14:paraId="3A526BEF">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14:paraId="3C252313">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鄂州葛店经济技术开发区财政金融审计局</w:t>
            </w:r>
          </w:p>
        </w:tc>
      </w:tr>
      <w:tr w14:paraId="01D7B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FC1ADA0">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14:paraId="49087BF0">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05A5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4D0C3B8E">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14:paraId="46014651">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061E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79EF035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14:paraId="242187B3">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26B1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2AED4F8D">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14:paraId="00A332F8">
            <w:pPr>
              <w:widowControl/>
              <w:snapToGrid w:val="0"/>
              <w:jc w:val="center"/>
              <w:rPr>
                <w:rFonts w:ascii="仿宋_GB2312" w:hAnsi="宋体" w:eastAsia="仿宋_GB2312" w:cs="Times New Roman"/>
                <w:kern w:val="0"/>
              </w:rPr>
            </w:pPr>
          </w:p>
        </w:tc>
        <w:tc>
          <w:tcPr>
            <w:tcW w:w="1604" w:type="dxa"/>
            <w:vAlign w:val="center"/>
          </w:tcPr>
          <w:p w14:paraId="1D06E5B8">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14:paraId="4E62EFB8">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14:paraId="0B276E71">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14:paraId="22BC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3E493592">
            <w:pPr>
              <w:widowControl/>
              <w:snapToGrid w:val="0"/>
              <w:jc w:val="center"/>
              <w:rPr>
                <w:rFonts w:ascii="仿宋_GB2312" w:hAnsi="宋体" w:eastAsia="仿宋_GB2312" w:cs="Times New Roman"/>
                <w:kern w:val="0"/>
              </w:rPr>
            </w:pPr>
          </w:p>
        </w:tc>
        <w:tc>
          <w:tcPr>
            <w:tcW w:w="1122" w:type="dxa"/>
            <w:vAlign w:val="center"/>
          </w:tcPr>
          <w:p w14:paraId="52557D9B">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14:paraId="1E6E64CE">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68.00</w:t>
            </w:r>
          </w:p>
        </w:tc>
        <w:tc>
          <w:tcPr>
            <w:tcW w:w="1680" w:type="dxa"/>
            <w:gridSpan w:val="2"/>
            <w:vAlign w:val="center"/>
          </w:tcPr>
          <w:p w14:paraId="5638B42A">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58.10</w:t>
            </w:r>
          </w:p>
        </w:tc>
        <w:tc>
          <w:tcPr>
            <w:tcW w:w="3014" w:type="dxa"/>
            <w:gridSpan w:val="2"/>
            <w:vAlign w:val="center"/>
          </w:tcPr>
          <w:p w14:paraId="5D29A15F">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85.44%</w:t>
            </w:r>
          </w:p>
        </w:tc>
      </w:tr>
      <w:tr w14:paraId="5BD2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0850EBB0">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14:paraId="29171B2B">
            <w:pPr>
              <w:widowControl/>
              <w:snapToGrid w:val="0"/>
              <w:jc w:val="center"/>
              <w:rPr>
                <w:rFonts w:ascii="仿宋_GB2312" w:hAnsi="宋体" w:eastAsia="仿宋_GB2312" w:cs="Times New Roman"/>
                <w:kern w:val="0"/>
              </w:rPr>
            </w:pPr>
          </w:p>
        </w:tc>
        <w:tc>
          <w:tcPr>
            <w:tcW w:w="700" w:type="dxa"/>
            <w:vAlign w:val="center"/>
          </w:tcPr>
          <w:p w14:paraId="5F83EC74">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14:paraId="4F6BF130">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14:paraId="23463656">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14:paraId="4E0DB64D">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14:paraId="4C556C86">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224E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DA9AE27">
            <w:pPr>
              <w:snapToGrid w:val="0"/>
              <w:jc w:val="center"/>
              <w:rPr>
                <w:rFonts w:ascii="仿宋_GB2312" w:hAnsi="宋体" w:eastAsia="仿宋_GB2312" w:cs="Times New Roman"/>
                <w:kern w:val="0"/>
              </w:rPr>
            </w:pPr>
          </w:p>
        </w:tc>
        <w:tc>
          <w:tcPr>
            <w:tcW w:w="700" w:type="dxa"/>
            <w:vMerge w:val="restart"/>
            <w:vAlign w:val="center"/>
          </w:tcPr>
          <w:p w14:paraId="331F989D">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14:paraId="5A2B0D84">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14:paraId="639530C0">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系统数</w:t>
            </w:r>
          </w:p>
        </w:tc>
        <w:tc>
          <w:tcPr>
            <w:tcW w:w="1478" w:type="dxa"/>
            <w:vAlign w:val="center"/>
          </w:tcPr>
          <w:p w14:paraId="6F7B7B81">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≥1个</w:t>
            </w:r>
          </w:p>
        </w:tc>
        <w:tc>
          <w:tcPr>
            <w:tcW w:w="1536" w:type="dxa"/>
            <w:vAlign w:val="center"/>
          </w:tcPr>
          <w:p w14:paraId="52403326">
            <w:pPr>
              <w:widowControl/>
              <w:snapToGrid w:val="0"/>
              <w:jc w:val="center"/>
              <w:rPr>
                <w:rFonts w:hint="default" w:ascii="仿宋_GB2312" w:hAnsi="宋体" w:eastAsia="仿宋_GB2312" w:cs="Times New Roman"/>
                <w:kern w:val="0"/>
                <w:lang w:val="en-US" w:eastAsia="zh-CN"/>
              </w:rPr>
            </w:pPr>
            <w:r>
              <w:rPr>
                <w:rFonts w:hint="eastAsia" w:ascii="仿宋" w:hAnsi="仿宋" w:eastAsia="仿宋" w:cs="仿宋"/>
                <w:i w:val="0"/>
                <w:iCs w:val="0"/>
                <w:color w:val="000000"/>
                <w:kern w:val="0"/>
                <w:sz w:val="21"/>
                <w:szCs w:val="21"/>
                <w:u w:val="none"/>
                <w:lang w:val="en-US" w:eastAsia="zh-CN" w:bidi="ar"/>
              </w:rPr>
              <w:t>1个</w:t>
            </w:r>
          </w:p>
        </w:tc>
      </w:tr>
      <w:tr w14:paraId="32C9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6F97582">
            <w:pPr>
              <w:snapToGrid w:val="0"/>
              <w:jc w:val="center"/>
              <w:rPr>
                <w:rFonts w:ascii="仿宋_GB2312" w:hAnsi="宋体" w:eastAsia="仿宋_GB2312" w:cs="Times New Roman"/>
                <w:kern w:val="0"/>
              </w:rPr>
            </w:pPr>
          </w:p>
        </w:tc>
        <w:tc>
          <w:tcPr>
            <w:tcW w:w="700" w:type="dxa"/>
            <w:vMerge w:val="continue"/>
            <w:vAlign w:val="center"/>
          </w:tcPr>
          <w:p w14:paraId="3C540F9F">
            <w:pPr>
              <w:widowControl/>
              <w:snapToGrid w:val="0"/>
              <w:jc w:val="center"/>
              <w:rPr>
                <w:rFonts w:ascii="仿宋_GB2312" w:hAnsi="宋体" w:eastAsia="仿宋_GB2312" w:cs="Times New Roman"/>
                <w:kern w:val="0"/>
              </w:rPr>
            </w:pPr>
          </w:p>
        </w:tc>
        <w:tc>
          <w:tcPr>
            <w:tcW w:w="1122" w:type="dxa"/>
            <w:vAlign w:val="center"/>
          </w:tcPr>
          <w:p w14:paraId="49BB6FE8">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14:paraId="7D052AB8">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系统故障率</w:t>
            </w:r>
          </w:p>
        </w:tc>
        <w:tc>
          <w:tcPr>
            <w:tcW w:w="1478" w:type="dxa"/>
            <w:vAlign w:val="center"/>
          </w:tcPr>
          <w:p w14:paraId="0B86E97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w:t>
            </w:r>
          </w:p>
        </w:tc>
        <w:tc>
          <w:tcPr>
            <w:tcW w:w="1536" w:type="dxa"/>
            <w:vAlign w:val="center"/>
          </w:tcPr>
          <w:p w14:paraId="66C7F18B">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≦2%</w:t>
            </w:r>
          </w:p>
        </w:tc>
      </w:tr>
      <w:tr w14:paraId="1FE4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7831777">
            <w:pPr>
              <w:snapToGrid w:val="0"/>
              <w:jc w:val="center"/>
              <w:rPr>
                <w:rFonts w:ascii="仿宋_GB2312" w:hAnsi="宋体" w:eastAsia="仿宋_GB2312" w:cs="Times New Roman"/>
                <w:kern w:val="0"/>
              </w:rPr>
            </w:pPr>
          </w:p>
        </w:tc>
        <w:tc>
          <w:tcPr>
            <w:tcW w:w="700" w:type="dxa"/>
            <w:vMerge w:val="continue"/>
            <w:vAlign w:val="center"/>
          </w:tcPr>
          <w:p w14:paraId="5D382F0E">
            <w:pPr>
              <w:widowControl/>
              <w:snapToGrid w:val="0"/>
              <w:jc w:val="center"/>
              <w:rPr>
                <w:rFonts w:ascii="仿宋_GB2312" w:hAnsi="宋体" w:eastAsia="仿宋_GB2312" w:cs="Times New Roman"/>
                <w:kern w:val="0"/>
              </w:rPr>
            </w:pPr>
          </w:p>
        </w:tc>
        <w:tc>
          <w:tcPr>
            <w:tcW w:w="1122" w:type="dxa"/>
            <w:vAlign w:val="center"/>
          </w:tcPr>
          <w:p w14:paraId="5243558F">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14:paraId="36FB48FF">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14:paraId="5ACA952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≦68万元</w:t>
            </w:r>
          </w:p>
        </w:tc>
        <w:tc>
          <w:tcPr>
            <w:tcW w:w="1536" w:type="dxa"/>
            <w:vAlign w:val="center"/>
          </w:tcPr>
          <w:p w14:paraId="1F4FCE32">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58.10</w:t>
            </w:r>
          </w:p>
        </w:tc>
      </w:tr>
      <w:tr w14:paraId="1258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3130C63">
            <w:pPr>
              <w:snapToGrid w:val="0"/>
              <w:jc w:val="center"/>
              <w:rPr>
                <w:rFonts w:ascii="仿宋_GB2312" w:hAnsi="宋体" w:eastAsia="仿宋_GB2312" w:cs="Times New Roman"/>
                <w:kern w:val="0"/>
              </w:rPr>
            </w:pPr>
          </w:p>
        </w:tc>
        <w:tc>
          <w:tcPr>
            <w:tcW w:w="700" w:type="dxa"/>
            <w:vMerge w:val="continue"/>
            <w:vAlign w:val="center"/>
          </w:tcPr>
          <w:p w14:paraId="052F6E99">
            <w:pPr>
              <w:widowControl/>
              <w:snapToGrid w:val="0"/>
              <w:jc w:val="center"/>
              <w:rPr>
                <w:rFonts w:ascii="仿宋_GB2312" w:hAnsi="宋体" w:eastAsia="仿宋_GB2312" w:cs="Times New Roman"/>
                <w:kern w:val="0"/>
              </w:rPr>
            </w:pPr>
          </w:p>
        </w:tc>
        <w:tc>
          <w:tcPr>
            <w:tcW w:w="1122" w:type="dxa"/>
            <w:vMerge w:val="restart"/>
            <w:vAlign w:val="center"/>
          </w:tcPr>
          <w:p w14:paraId="7F47FB3C">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14:paraId="650DD1E6">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系统故障修复处理时间</w:t>
            </w:r>
          </w:p>
        </w:tc>
        <w:tc>
          <w:tcPr>
            <w:tcW w:w="1478" w:type="dxa"/>
            <w:vAlign w:val="center"/>
          </w:tcPr>
          <w:p w14:paraId="4AA1339E">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24小时内</w:t>
            </w:r>
          </w:p>
        </w:tc>
        <w:tc>
          <w:tcPr>
            <w:tcW w:w="1536" w:type="dxa"/>
            <w:vAlign w:val="center"/>
          </w:tcPr>
          <w:p w14:paraId="57763137">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24小时内</w:t>
            </w:r>
          </w:p>
        </w:tc>
      </w:tr>
      <w:tr w14:paraId="29A8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0A7C71F">
            <w:pPr>
              <w:snapToGrid w:val="0"/>
              <w:jc w:val="center"/>
              <w:rPr>
                <w:rFonts w:ascii="仿宋_GB2312" w:hAnsi="宋体" w:eastAsia="仿宋_GB2312" w:cs="Times New Roman"/>
                <w:kern w:val="0"/>
              </w:rPr>
            </w:pPr>
          </w:p>
        </w:tc>
        <w:tc>
          <w:tcPr>
            <w:tcW w:w="700" w:type="dxa"/>
            <w:vMerge w:val="continue"/>
            <w:vAlign w:val="center"/>
          </w:tcPr>
          <w:p w14:paraId="3C14D50F">
            <w:pPr>
              <w:widowControl/>
              <w:snapToGrid w:val="0"/>
              <w:jc w:val="center"/>
              <w:rPr>
                <w:rFonts w:ascii="仿宋_GB2312" w:hAnsi="宋体" w:eastAsia="仿宋_GB2312" w:cs="Times New Roman"/>
                <w:kern w:val="0"/>
              </w:rPr>
            </w:pPr>
          </w:p>
        </w:tc>
        <w:tc>
          <w:tcPr>
            <w:tcW w:w="1122" w:type="dxa"/>
            <w:vMerge w:val="continue"/>
            <w:vAlign w:val="center"/>
          </w:tcPr>
          <w:p w14:paraId="3AF6914F">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14:paraId="0CBB39D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系统上线及时情况</w:t>
            </w:r>
          </w:p>
        </w:tc>
        <w:tc>
          <w:tcPr>
            <w:tcW w:w="1478" w:type="dxa"/>
            <w:vAlign w:val="center"/>
          </w:tcPr>
          <w:p w14:paraId="12A602F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及时</w:t>
            </w:r>
          </w:p>
        </w:tc>
        <w:tc>
          <w:tcPr>
            <w:tcW w:w="1536" w:type="dxa"/>
            <w:vAlign w:val="center"/>
          </w:tcPr>
          <w:p w14:paraId="791EACB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及时</w:t>
            </w:r>
          </w:p>
        </w:tc>
      </w:tr>
      <w:tr w14:paraId="708C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1B8CDD0">
            <w:pPr>
              <w:widowControl/>
              <w:snapToGrid w:val="0"/>
              <w:jc w:val="center"/>
              <w:rPr>
                <w:rFonts w:ascii="仿宋_GB2312" w:hAnsi="宋体" w:eastAsia="仿宋_GB2312" w:cs="Times New Roman"/>
                <w:kern w:val="0"/>
              </w:rPr>
            </w:pPr>
          </w:p>
        </w:tc>
        <w:tc>
          <w:tcPr>
            <w:tcW w:w="700" w:type="dxa"/>
            <w:vAlign w:val="center"/>
          </w:tcPr>
          <w:p w14:paraId="3F32C824">
            <w:pPr>
              <w:snapToGrid w:val="0"/>
              <w:jc w:val="center"/>
              <w:rPr>
                <w:rFonts w:hint="eastAsia" w:ascii="仿宋_GB2312" w:hAnsi="宋体" w:eastAsia="仿宋_GB2312" w:cs="仿宋_GB2312"/>
                <w:kern w:val="0"/>
              </w:rPr>
            </w:pPr>
            <w:r>
              <w:rPr>
                <w:rFonts w:hint="eastAsia" w:ascii="仿宋_GB2312" w:hAnsi="宋体" w:eastAsia="仿宋_GB2312" w:cs="仿宋_GB2312"/>
                <w:kern w:val="0"/>
              </w:rPr>
              <w:t>效益指标</w:t>
            </w:r>
          </w:p>
        </w:tc>
        <w:tc>
          <w:tcPr>
            <w:tcW w:w="1122" w:type="dxa"/>
            <w:vAlign w:val="center"/>
          </w:tcPr>
          <w:p w14:paraId="3FD7FB44">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可持续影响指标</w:t>
            </w:r>
          </w:p>
        </w:tc>
        <w:tc>
          <w:tcPr>
            <w:tcW w:w="3284" w:type="dxa"/>
            <w:gridSpan w:val="3"/>
            <w:vAlign w:val="center"/>
          </w:tcPr>
          <w:p w14:paraId="5A13255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预算管理情况</w:t>
            </w:r>
          </w:p>
        </w:tc>
        <w:tc>
          <w:tcPr>
            <w:tcW w:w="1478" w:type="dxa"/>
            <w:vAlign w:val="center"/>
          </w:tcPr>
          <w:p w14:paraId="66B8E25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规范高效</w:t>
            </w:r>
          </w:p>
        </w:tc>
        <w:tc>
          <w:tcPr>
            <w:tcW w:w="1536" w:type="dxa"/>
            <w:vAlign w:val="center"/>
          </w:tcPr>
          <w:p w14:paraId="1413E64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效果显著</w:t>
            </w:r>
          </w:p>
        </w:tc>
      </w:tr>
      <w:tr w14:paraId="3BB7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CC26AE6">
            <w:pPr>
              <w:widowControl/>
              <w:snapToGrid w:val="0"/>
              <w:jc w:val="center"/>
              <w:rPr>
                <w:rFonts w:ascii="仿宋_GB2312" w:hAnsi="宋体" w:eastAsia="仿宋_GB2312" w:cs="Times New Roman"/>
                <w:kern w:val="0"/>
              </w:rPr>
            </w:pPr>
          </w:p>
        </w:tc>
        <w:tc>
          <w:tcPr>
            <w:tcW w:w="700" w:type="dxa"/>
            <w:vAlign w:val="center"/>
          </w:tcPr>
          <w:p w14:paraId="65C3D5F5">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14:paraId="0E57F364">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14:paraId="0FB1719A">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使用人员满意度</w:t>
            </w:r>
          </w:p>
        </w:tc>
        <w:tc>
          <w:tcPr>
            <w:tcW w:w="1478" w:type="dxa"/>
            <w:vAlign w:val="center"/>
          </w:tcPr>
          <w:p w14:paraId="1A9CFE55">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14:paraId="1B137A1A">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≥90%</w:t>
            </w:r>
          </w:p>
        </w:tc>
      </w:tr>
      <w:tr w14:paraId="1F2A2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14:paraId="3BCF6CEB">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7EB6B9B7">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0EE9CB30">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14:paraId="510268B5">
            <w:pPr>
              <w:widowControl/>
              <w:jc w:val="left"/>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rPr>
              <w:t>预算编制的精细程度</w:t>
            </w:r>
            <w:r>
              <w:rPr>
                <w:rFonts w:hint="eastAsia" w:ascii="仿宋_GB2312" w:hAnsi="宋体" w:eastAsia="仿宋_GB2312" w:cs="Times New Roman"/>
                <w:kern w:val="0"/>
                <w:lang w:val="en-US" w:eastAsia="zh-CN"/>
              </w:rPr>
              <w:t>和预测</w:t>
            </w:r>
            <w:r>
              <w:rPr>
                <w:rFonts w:hint="eastAsia" w:ascii="仿宋_GB2312" w:hAnsi="宋体" w:eastAsia="仿宋_GB2312" w:cs="Times New Roman"/>
                <w:kern w:val="0"/>
              </w:rPr>
              <w:t>不够</w:t>
            </w:r>
            <w:r>
              <w:rPr>
                <w:rFonts w:hint="eastAsia" w:ascii="仿宋_GB2312" w:hAnsi="宋体" w:eastAsia="仿宋_GB2312" w:cs="Times New Roman"/>
                <w:kern w:val="0"/>
                <w:lang w:val="en-US" w:eastAsia="zh-CN"/>
              </w:rPr>
              <w:t>高</w:t>
            </w:r>
            <w:r>
              <w:rPr>
                <w:rFonts w:hint="eastAsia" w:ascii="仿宋_GB2312" w:hAnsi="宋体" w:eastAsia="仿宋_GB2312" w:cs="Times New Roman"/>
                <w:kern w:val="0"/>
              </w:rPr>
              <w:t>，资金使用的科学性和准确性需提高</w:t>
            </w:r>
            <w:r>
              <w:rPr>
                <w:rFonts w:hint="eastAsia" w:ascii="仿宋_GB2312" w:hAnsi="宋体" w:eastAsia="仿宋_GB2312" w:cs="Times New Roman"/>
                <w:kern w:val="0"/>
                <w:lang w:eastAsia="zh-CN"/>
              </w:rPr>
              <w:t>。</w:t>
            </w:r>
          </w:p>
        </w:tc>
      </w:tr>
      <w:tr w14:paraId="3C6E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14:paraId="7B9BB50F">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694ED6CB">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14:paraId="0DEA833F">
            <w:pPr>
              <w:widowControl/>
              <w:jc w:val="left"/>
              <w:rPr>
                <w:rFonts w:hint="default" w:ascii="仿宋_GB2312" w:hAnsi="宋体" w:eastAsia="仿宋_GB2312" w:cs="Times New Roman"/>
                <w:kern w:val="0"/>
                <w:sz w:val="21"/>
                <w:szCs w:val="22"/>
                <w:lang w:val="en-US" w:eastAsia="zh-CN" w:bidi="ar-SA"/>
              </w:rPr>
            </w:pPr>
            <w:r>
              <w:rPr>
                <w:rFonts w:hint="eastAsia" w:ascii="仿宋_GB2312" w:hAnsi="宋体" w:eastAsia="仿宋_GB2312" w:cs="仿宋_GB2312"/>
                <w:kern w:val="0"/>
              </w:rPr>
              <w:t>加强预算管理和资金使用监督。提高预算编制的精细程度，确保资金使用的科学性和准确性</w:t>
            </w:r>
            <w:r>
              <w:rPr>
                <w:rFonts w:hint="eastAsia" w:ascii="仿宋_GB2312" w:hAnsi="宋体" w:eastAsia="仿宋_GB2312" w:cs="仿宋_GB2312"/>
                <w:kern w:val="0"/>
                <w:lang w:eastAsia="zh-CN"/>
              </w:rPr>
              <w:t>。</w:t>
            </w:r>
            <w:r>
              <w:rPr>
                <w:rFonts w:hint="eastAsia" w:ascii="仿宋_GB2312" w:hAnsi="宋体" w:eastAsia="仿宋_GB2312" w:cs="Times New Roman"/>
                <w:kern w:val="0"/>
                <w:lang w:val="en-US" w:eastAsia="zh-CN"/>
              </w:rPr>
              <w:t>若下年度工作目标不变，项目经费预算可根据2023年实际情况考虑适当减少资金。</w:t>
            </w:r>
          </w:p>
        </w:tc>
      </w:tr>
    </w:tbl>
    <w:p w14:paraId="73D2DDC9">
      <w:pPr>
        <w:widowControl/>
        <w:rPr>
          <w:rFonts w:ascii="仿宋_GB2312" w:hAnsi="宋体" w:eastAsia="仿宋_GB2312" w:cs="Times New Roman"/>
          <w:kern w:val="0"/>
        </w:rPr>
      </w:pPr>
      <w:r>
        <w:rPr>
          <w:rFonts w:hint="eastAsia" w:ascii="仿宋_GB2312" w:hAnsi="宋体" w:eastAsia="仿宋_GB2312" w:cs="仿宋_GB2312"/>
          <w:kern w:val="0"/>
        </w:rPr>
        <w:t>备注：</w:t>
      </w:r>
    </w:p>
    <w:p w14:paraId="6222ED80">
      <w:pPr>
        <w:widowControl/>
        <w:ind w:firstLine="64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14:paraId="119A81A9">
      <w:pPr>
        <w:widowControl/>
        <w:ind w:firstLine="64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14:paraId="0460E869">
      <w:pPr>
        <w:widowControl/>
        <w:ind w:firstLine="64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14:paraId="02F3FE16">
      <w:pPr>
        <w:widowControl/>
        <w:ind w:firstLine="64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14:paraId="0C60192D">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附件1-5</w:t>
      </w:r>
    </w:p>
    <w:p w14:paraId="2772DEE7">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国产打印机购置</w:t>
      </w:r>
      <w:r>
        <w:rPr>
          <w:rFonts w:hint="eastAsia" w:ascii="方正小标宋简体" w:hAnsi="宋体" w:eastAsia="方正小标宋简体" w:cs="方正小标宋简体"/>
          <w:sz w:val="44"/>
          <w:szCs w:val="44"/>
        </w:rPr>
        <w:t>项目自评表</w:t>
      </w:r>
    </w:p>
    <w:p w14:paraId="7A208D62">
      <w:pPr>
        <w:rPr>
          <w:rFonts w:cs="Times New Roman"/>
        </w:rPr>
      </w:pPr>
    </w:p>
    <w:p w14:paraId="4889C068">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鄂州葛店经济技术开发区财政金融审计局</w:t>
      </w:r>
    </w:p>
    <w:p w14:paraId="235A5396">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14:paraId="5C56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35D2A5C7">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14:paraId="02774644">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国产打印机购置</w:t>
            </w:r>
          </w:p>
        </w:tc>
      </w:tr>
      <w:tr w14:paraId="26CB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79D57B63">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14:paraId="74C91C16">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鄂州葛店经济技术开发区财政金融审计局</w:t>
            </w:r>
          </w:p>
        </w:tc>
        <w:tc>
          <w:tcPr>
            <w:tcW w:w="2520" w:type="dxa"/>
            <w:gridSpan w:val="2"/>
            <w:vAlign w:val="center"/>
          </w:tcPr>
          <w:p w14:paraId="2F54CBB6">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14:paraId="0DCA9BD9">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鄂州葛店经济技术开发区财政金融审计局</w:t>
            </w:r>
          </w:p>
        </w:tc>
      </w:tr>
      <w:tr w14:paraId="2E593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409F177">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14:paraId="75D5773B">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61A9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410258C">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14:paraId="62A69811">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7848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95C9CC6">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14:paraId="1618EEE1">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7144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1035320A">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14:paraId="25D870B6">
            <w:pPr>
              <w:widowControl/>
              <w:snapToGrid w:val="0"/>
              <w:jc w:val="center"/>
              <w:rPr>
                <w:rFonts w:ascii="仿宋_GB2312" w:hAnsi="宋体" w:eastAsia="仿宋_GB2312" w:cs="Times New Roman"/>
                <w:kern w:val="0"/>
              </w:rPr>
            </w:pPr>
          </w:p>
        </w:tc>
        <w:tc>
          <w:tcPr>
            <w:tcW w:w="1604" w:type="dxa"/>
            <w:vAlign w:val="center"/>
          </w:tcPr>
          <w:p w14:paraId="7762667A">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14:paraId="0FC5BAE8">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14:paraId="65A68793">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14:paraId="2CF2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4BAE16CC">
            <w:pPr>
              <w:widowControl/>
              <w:snapToGrid w:val="0"/>
              <w:jc w:val="center"/>
              <w:rPr>
                <w:rFonts w:ascii="仿宋_GB2312" w:hAnsi="宋体" w:eastAsia="仿宋_GB2312" w:cs="Times New Roman"/>
                <w:kern w:val="0"/>
              </w:rPr>
            </w:pPr>
          </w:p>
        </w:tc>
        <w:tc>
          <w:tcPr>
            <w:tcW w:w="1122" w:type="dxa"/>
            <w:vAlign w:val="center"/>
          </w:tcPr>
          <w:p w14:paraId="1CDD632E">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14:paraId="529587D4">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4.50</w:t>
            </w:r>
          </w:p>
        </w:tc>
        <w:tc>
          <w:tcPr>
            <w:tcW w:w="1680" w:type="dxa"/>
            <w:gridSpan w:val="2"/>
            <w:vAlign w:val="center"/>
          </w:tcPr>
          <w:p w14:paraId="38BF77F9">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4.50</w:t>
            </w:r>
          </w:p>
        </w:tc>
        <w:tc>
          <w:tcPr>
            <w:tcW w:w="3014" w:type="dxa"/>
            <w:gridSpan w:val="2"/>
            <w:vAlign w:val="center"/>
          </w:tcPr>
          <w:p w14:paraId="66ADF91B">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14:paraId="610B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1B6A1E10">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14:paraId="5D3E91E9">
            <w:pPr>
              <w:widowControl/>
              <w:snapToGrid w:val="0"/>
              <w:jc w:val="center"/>
              <w:rPr>
                <w:rFonts w:ascii="仿宋_GB2312" w:hAnsi="宋体" w:eastAsia="仿宋_GB2312" w:cs="Times New Roman"/>
                <w:kern w:val="0"/>
              </w:rPr>
            </w:pPr>
          </w:p>
        </w:tc>
        <w:tc>
          <w:tcPr>
            <w:tcW w:w="700" w:type="dxa"/>
            <w:vAlign w:val="center"/>
          </w:tcPr>
          <w:p w14:paraId="39FCBF61">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14:paraId="58756FB4">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14:paraId="562E78EC">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14:paraId="3E855E6F">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14:paraId="24CAE510">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305C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1B347AB">
            <w:pPr>
              <w:snapToGrid w:val="0"/>
              <w:jc w:val="center"/>
              <w:rPr>
                <w:rFonts w:ascii="仿宋_GB2312" w:hAnsi="宋体" w:eastAsia="仿宋_GB2312" w:cs="Times New Roman"/>
                <w:kern w:val="0"/>
              </w:rPr>
            </w:pPr>
          </w:p>
        </w:tc>
        <w:tc>
          <w:tcPr>
            <w:tcW w:w="700" w:type="dxa"/>
            <w:vMerge w:val="restart"/>
            <w:vAlign w:val="center"/>
          </w:tcPr>
          <w:p w14:paraId="4DD074E6">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14:paraId="4A0A35D6">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14:paraId="523D3D2A">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打印机购置数</w:t>
            </w:r>
          </w:p>
        </w:tc>
        <w:tc>
          <w:tcPr>
            <w:tcW w:w="1478" w:type="dxa"/>
            <w:vAlign w:val="center"/>
          </w:tcPr>
          <w:p w14:paraId="1397BBB4">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1台</w:t>
            </w:r>
          </w:p>
        </w:tc>
        <w:tc>
          <w:tcPr>
            <w:tcW w:w="1536" w:type="dxa"/>
            <w:vAlign w:val="center"/>
          </w:tcPr>
          <w:p w14:paraId="0EA07E62">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1台</w:t>
            </w:r>
          </w:p>
        </w:tc>
      </w:tr>
      <w:tr w14:paraId="0F47B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8359340">
            <w:pPr>
              <w:snapToGrid w:val="0"/>
              <w:jc w:val="center"/>
              <w:rPr>
                <w:rFonts w:ascii="仿宋_GB2312" w:hAnsi="宋体" w:eastAsia="仿宋_GB2312" w:cs="Times New Roman"/>
                <w:kern w:val="0"/>
              </w:rPr>
            </w:pPr>
          </w:p>
        </w:tc>
        <w:tc>
          <w:tcPr>
            <w:tcW w:w="700" w:type="dxa"/>
            <w:vMerge w:val="continue"/>
            <w:vAlign w:val="center"/>
          </w:tcPr>
          <w:p w14:paraId="043EB2B5">
            <w:pPr>
              <w:widowControl/>
              <w:snapToGrid w:val="0"/>
              <w:jc w:val="center"/>
              <w:rPr>
                <w:rFonts w:ascii="仿宋_GB2312" w:hAnsi="宋体" w:eastAsia="仿宋_GB2312" w:cs="Times New Roman"/>
                <w:kern w:val="0"/>
              </w:rPr>
            </w:pPr>
          </w:p>
        </w:tc>
        <w:tc>
          <w:tcPr>
            <w:tcW w:w="1122" w:type="dxa"/>
            <w:vMerge w:val="restart"/>
            <w:vAlign w:val="center"/>
          </w:tcPr>
          <w:p w14:paraId="46F34CFE">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14:paraId="221B67D8">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设备质量合格率</w:t>
            </w:r>
          </w:p>
        </w:tc>
        <w:tc>
          <w:tcPr>
            <w:tcW w:w="1478" w:type="dxa"/>
            <w:vAlign w:val="center"/>
          </w:tcPr>
          <w:p w14:paraId="091F41D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14:paraId="69C4CC8D">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100%</w:t>
            </w:r>
          </w:p>
        </w:tc>
      </w:tr>
      <w:tr w14:paraId="3680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8DACC73">
            <w:pPr>
              <w:snapToGrid w:val="0"/>
              <w:jc w:val="center"/>
              <w:rPr>
                <w:rFonts w:ascii="仿宋_GB2312" w:hAnsi="宋体" w:eastAsia="仿宋_GB2312" w:cs="Times New Roman"/>
                <w:kern w:val="0"/>
              </w:rPr>
            </w:pPr>
          </w:p>
        </w:tc>
        <w:tc>
          <w:tcPr>
            <w:tcW w:w="700" w:type="dxa"/>
            <w:vMerge w:val="continue"/>
            <w:vAlign w:val="center"/>
          </w:tcPr>
          <w:p w14:paraId="0C767F73">
            <w:pPr>
              <w:widowControl/>
              <w:snapToGrid w:val="0"/>
              <w:jc w:val="center"/>
              <w:rPr>
                <w:rFonts w:ascii="仿宋_GB2312" w:hAnsi="宋体" w:eastAsia="仿宋_GB2312" w:cs="Times New Roman"/>
                <w:kern w:val="0"/>
              </w:rPr>
            </w:pPr>
          </w:p>
        </w:tc>
        <w:tc>
          <w:tcPr>
            <w:tcW w:w="1122" w:type="dxa"/>
            <w:vMerge w:val="continue"/>
            <w:vAlign w:val="center"/>
          </w:tcPr>
          <w:p w14:paraId="59A7C0EB">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14:paraId="4AAD76BC">
            <w:pPr>
              <w:keepNext w:val="0"/>
              <w:keepLines w:val="0"/>
              <w:widowControl/>
              <w:suppressLineNumbers w:val="0"/>
              <w:jc w:val="left"/>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设备验收合格率</w:t>
            </w:r>
          </w:p>
        </w:tc>
        <w:tc>
          <w:tcPr>
            <w:tcW w:w="1478" w:type="dxa"/>
            <w:vAlign w:val="center"/>
          </w:tcPr>
          <w:p w14:paraId="65E8880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14:paraId="65DC1130">
            <w:pPr>
              <w:widowControl/>
              <w:snapToGrid w:val="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r>
      <w:tr w14:paraId="44AD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8674D88">
            <w:pPr>
              <w:snapToGrid w:val="0"/>
              <w:jc w:val="center"/>
              <w:rPr>
                <w:rFonts w:ascii="仿宋_GB2312" w:hAnsi="宋体" w:eastAsia="仿宋_GB2312" w:cs="Times New Roman"/>
                <w:kern w:val="0"/>
              </w:rPr>
            </w:pPr>
          </w:p>
        </w:tc>
        <w:tc>
          <w:tcPr>
            <w:tcW w:w="700" w:type="dxa"/>
            <w:vMerge w:val="continue"/>
            <w:vAlign w:val="center"/>
          </w:tcPr>
          <w:p w14:paraId="19B65F1B">
            <w:pPr>
              <w:widowControl/>
              <w:snapToGrid w:val="0"/>
              <w:jc w:val="center"/>
              <w:rPr>
                <w:rFonts w:ascii="仿宋_GB2312" w:hAnsi="宋体" w:eastAsia="仿宋_GB2312" w:cs="Times New Roman"/>
                <w:kern w:val="0"/>
              </w:rPr>
            </w:pPr>
          </w:p>
        </w:tc>
        <w:tc>
          <w:tcPr>
            <w:tcW w:w="1122" w:type="dxa"/>
            <w:vAlign w:val="center"/>
          </w:tcPr>
          <w:p w14:paraId="4F4546D8">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14:paraId="09C6CEE0">
            <w:pPr>
              <w:keepNext w:val="0"/>
              <w:keepLines w:val="0"/>
              <w:widowControl/>
              <w:suppressLineNumbers w:val="0"/>
              <w:jc w:val="left"/>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14:paraId="07FF179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≦4.50万元</w:t>
            </w:r>
          </w:p>
        </w:tc>
        <w:tc>
          <w:tcPr>
            <w:tcW w:w="1536" w:type="dxa"/>
            <w:vAlign w:val="center"/>
          </w:tcPr>
          <w:p w14:paraId="504FA484">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4.50万元</w:t>
            </w:r>
          </w:p>
        </w:tc>
      </w:tr>
      <w:tr w14:paraId="369F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EBCF5BA">
            <w:pPr>
              <w:snapToGrid w:val="0"/>
              <w:jc w:val="center"/>
              <w:rPr>
                <w:rFonts w:ascii="仿宋_GB2312" w:hAnsi="宋体" w:eastAsia="仿宋_GB2312" w:cs="Times New Roman"/>
                <w:kern w:val="0"/>
              </w:rPr>
            </w:pPr>
          </w:p>
        </w:tc>
        <w:tc>
          <w:tcPr>
            <w:tcW w:w="700" w:type="dxa"/>
            <w:vMerge w:val="continue"/>
            <w:vAlign w:val="center"/>
          </w:tcPr>
          <w:p w14:paraId="1AA5E567">
            <w:pPr>
              <w:widowControl/>
              <w:snapToGrid w:val="0"/>
              <w:jc w:val="center"/>
              <w:rPr>
                <w:rFonts w:ascii="仿宋_GB2312" w:hAnsi="宋体" w:eastAsia="仿宋_GB2312" w:cs="Times New Roman"/>
                <w:kern w:val="0"/>
              </w:rPr>
            </w:pPr>
          </w:p>
        </w:tc>
        <w:tc>
          <w:tcPr>
            <w:tcW w:w="1122" w:type="dxa"/>
            <w:vAlign w:val="center"/>
          </w:tcPr>
          <w:p w14:paraId="5A1ECDD5">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14:paraId="38313EC8">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购置时效情况</w:t>
            </w:r>
          </w:p>
        </w:tc>
        <w:tc>
          <w:tcPr>
            <w:tcW w:w="1478" w:type="dxa"/>
            <w:vAlign w:val="center"/>
          </w:tcPr>
          <w:p w14:paraId="2DE2AA2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及时</w:t>
            </w:r>
          </w:p>
        </w:tc>
        <w:tc>
          <w:tcPr>
            <w:tcW w:w="1536" w:type="dxa"/>
            <w:vAlign w:val="center"/>
          </w:tcPr>
          <w:p w14:paraId="2B29F342">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及时</w:t>
            </w:r>
          </w:p>
        </w:tc>
      </w:tr>
      <w:tr w14:paraId="44CE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9888162">
            <w:pPr>
              <w:widowControl/>
              <w:snapToGrid w:val="0"/>
              <w:jc w:val="center"/>
              <w:rPr>
                <w:rFonts w:ascii="仿宋_GB2312" w:hAnsi="宋体" w:eastAsia="仿宋_GB2312" w:cs="Times New Roman"/>
                <w:kern w:val="0"/>
              </w:rPr>
            </w:pPr>
          </w:p>
        </w:tc>
        <w:tc>
          <w:tcPr>
            <w:tcW w:w="700" w:type="dxa"/>
            <w:vMerge w:val="restart"/>
            <w:vAlign w:val="center"/>
          </w:tcPr>
          <w:p w14:paraId="7898BE44">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14:paraId="66632892">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14:paraId="2368ED4F">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设备利用率</w:t>
            </w:r>
          </w:p>
        </w:tc>
        <w:tc>
          <w:tcPr>
            <w:tcW w:w="1478" w:type="dxa"/>
            <w:vAlign w:val="center"/>
          </w:tcPr>
          <w:p w14:paraId="116B7B36">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显著降低</w:t>
            </w:r>
          </w:p>
        </w:tc>
        <w:tc>
          <w:tcPr>
            <w:tcW w:w="1536" w:type="dxa"/>
            <w:vAlign w:val="center"/>
          </w:tcPr>
          <w:p w14:paraId="7FB5E268">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显著降低</w:t>
            </w:r>
          </w:p>
        </w:tc>
      </w:tr>
      <w:tr w14:paraId="0861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A1FCC77">
            <w:pPr>
              <w:widowControl/>
              <w:snapToGrid w:val="0"/>
              <w:jc w:val="center"/>
              <w:rPr>
                <w:rFonts w:ascii="仿宋_GB2312" w:hAnsi="宋体" w:eastAsia="仿宋_GB2312" w:cs="Times New Roman"/>
                <w:kern w:val="0"/>
              </w:rPr>
            </w:pPr>
          </w:p>
        </w:tc>
        <w:tc>
          <w:tcPr>
            <w:tcW w:w="700" w:type="dxa"/>
            <w:vMerge w:val="continue"/>
            <w:vAlign w:val="center"/>
          </w:tcPr>
          <w:p w14:paraId="52F6944C">
            <w:pPr>
              <w:snapToGrid w:val="0"/>
              <w:jc w:val="center"/>
              <w:rPr>
                <w:rFonts w:hint="eastAsia" w:ascii="仿宋_GB2312" w:hAnsi="宋体" w:eastAsia="仿宋_GB2312" w:cs="仿宋_GB2312"/>
                <w:kern w:val="0"/>
              </w:rPr>
            </w:pPr>
          </w:p>
        </w:tc>
        <w:tc>
          <w:tcPr>
            <w:tcW w:w="1122" w:type="dxa"/>
            <w:vAlign w:val="center"/>
          </w:tcPr>
          <w:p w14:paraId="4AE707DF">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284" w:type="dxa"/>
            <w:gridSpan w:val="3"/>
            <w:vAlign w:val="center"/>
          </w:tcPr>
          <w:p w14:paraId="6D6F6827">
            <w:pPr>
              <w:keepNext w:val="0"/>
              <w:keepLines w:val="0"/>
              <w:widowControl/>
              <w:suppressLineNumbers w:val="0"/>
              <w:jc w:val="left"/>
              <w:textAlignment w:val="center"/>
              <w:rPr>
                <w:rFonts w:hint="default"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设备使用年限</w:t>
            </w:r>
          </w:p>
        </w:tc>
        <w:tc>
          <w:tcPr>
            <w:tcW w:w="1478" w:type="dxa"/>
            <w:vAlign w:val="center"/>
          </w:tcPr>
          <w:p w14:paraId="1833A576">
            <w:pPr>
              <w:keepNext w:val="0"/>
              <w:keepLines w:val="0"/>
              <w:widowControl/>
              <w:suppressLineNumbers w:val="0"/>
              <w:jc w:val="center"/>
              <w:textAlignment w:val="center"/>
              <w:rPr>
                <w:rFonts w:hint="default"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≥3年</w:t>
            </w:r>
          </w:p>
        </w:tc>
        <w:tc>
          <w:tcPr>
            <w:tcW w:w="1536" w:type="dxa"/>
            <w:vAlign w:val="center"/>
          </w:tcPr>
          <w:p w14:paraId="6ECB1157">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效果显著</w:t>
            </w:r>
          </w:p>
        </w:tc>
      </w:tr>
      <w:tr w14:paraId="5C33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F18A6C3">
            <w:pPr>
              <w:widowControl/>
              <w:snapToGrid w:val="0"/>
              <w:jc w:val="center"/>
              <w:rPr>
                <w:rFonts w:ascii="仿宋_GB2312" w:hAnsi="宋体" w:eastAsia="仿宋_GB2312" w:cs="Times New Roman"/>
                <w:kern w:val="0"/>
              </w:rPr>
            </w:pPr>
          </w:p>
        </w:tc>
        <w:tc>
          <w:tcPr>
            <w:tcW w:w="700" w:type="dxa"/>
            <w:vAlign w:val="center"/>
          </w:tcPr>
          <w:p w14:paraId="0BDC31BE">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14:paraId="367966EB">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14:paraId="51EF1346">
            <w:pPr>
              <w:keepNext w:val="0"/>
              <w:keepLines w:val="0"/>
              <w:widowControl/>
              <w:suppressLineNumbers w:val="0"/>
              <w:jc w:val="left"/>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使用人员满意度</w:t>
            </w:r>
          </w:p>
        </w:tc>
        <w:tc>
          <w:tcPr>
            <w:tcW w:w="1478" w:type="dxa"/>
            <w:vAlign w:val="center"/>
          </w:tcPr>
          <w:p w14:paraId="44C088B8">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14:paraId="76E4824C">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≥95%</w:t>
            </w:r>
          </w:p>
        </w:tc>
      </w:tr>
      <w:tr w14:paraId="0FB9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14:paraId="46CD2343">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325AC0B5">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3BB45F47">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14:paraId="43CCE5DE">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14:paraId="67E8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14:paraId="05E9C905">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05BB253F">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14:paraId="1EA0023A">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2023年预算执行率高，若下年度工作目标不变，项目经费预算可保持不变。</w:t>
            </w:r>
          </w:p>
        </w:tc>
      </w:tr>
    </w:tbl>
    <w:p w14:paraId="0098475F">
      <w:pPr>
        <w:widowControl/>
        <w:rPr>
          <w:rFonts w:ascii="仿宋_GB2312" w:hAnsi="宋体" w:eastAsia="仿宋_GB2312" w:cs="Times New Roman"/>
          <w:kern w:val="0"/>
        </w:rPr>
      </w:pPr>
      <w:r>
        <w:rPr>
          <w:rFonts w:hint="eastAsia" w:ascii="仿宋_GB2312" w:hAnsi="宋体" w:eastAsia="仿宋_GB2312" w:cs="仿宋_GB2312"/>
          <w:kern w:val="0"/>
        </w:rPr>
        <w:t>备注：</w:t>
      </w:r>
    </w:p>
    <w:p w14:paraId="38538C41">
      <w:pPr>
        <w:widowControl/>
        <w:ind w:firstLine="64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14:paraId="15D79832">
      <w:pPr>
        <w:widowControl/>
        <w:ind w:firstLine="64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14:paraId="6B452184">
      <w:pPr>
        <w:widowControl/>
        <w:ind w:firstLine="64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14:paraId="48A16F8F">
      <w:pPr>
        <w:widowControl/>
        <w:ind w:firstLine="64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14:paraId="6ED10420">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附件1-6</w:t>
      </w:r>
    </w:p>
    <w:p w14:paraId="6A7D8C79">
      <w:pPr>
        <w:jc w:val="center"/>
        <w:rPr>
          <w:rFonts w:hint="eastAsia" w:ascii="方正小标宋简体" w:hAnsi="宋体" w:eastAsia="方正小标宋简体" w:cs="方正小标宋简体"/>
          <w:color w:val="auto"/>
          <w:sz w:val="44"/>
          <w:szCs w:val="44"/>
          <w:lang w:val="en-US" w:eastAsia="zh-CN"/>
        </w:rPr>
      </w:pPr>
      <w:r>
        <w:rPr>
          <w:rFonts w:hint="eastAsia" w:ascii="方正小标宋简体" w:hAnsi="宋体" w:eastAsia="方正小标宋简体" w:cs="方正小标宋简体"/>
          <w:color w:val="auto"/>
          <w:sz w:val="44"/>
          <w:szCs w:val="44"/>
          <w:lang w:val="en-US" w:eastAsia="zh-CN"/>
        </w:rPr>
        <w:t>2023</w:t>
      </w:r>
      <w:r>
        <w:rPr>
          <w:rFonts w:hint="eastAsia" w:ascii="方正小标宋简体" w:hAnsi="宋体" w:eastAsia="方正小标宋简体" w:cs="方正小标宋简体"/>
          <w:color w:val="auto"/>
          <w:sz w:val="44"/>
          <w:szCs w:val="44"/>
        </w:rPr>
        <w:t>年度</w:t>
      </w:r>
      <w:r>
        <w:rPr>
          <w:rFonts w:hint="eastAsia" w:ascii="方正小标宋简体" w:hAnsi="宋体" w:eastAsia="方正小标宋简体" w:cs="方正小标宋简体"/>
          <w:color w:val="auto"/>
          <w:sz w:val="44"/>
          <w:szCs w:val="44"/>
          <w:lang w:val="en-US" w:eastAsia="zh-CN"/>
        </w:rPr>
        <w:t>防范金融风险业务经费</w:t>
      </w:r>
    </w:p>
    <w:p w14:paraId="48FEA8F7">
      <w:pPr>
        <w:jc w:val="center"/>
        <w:rPr>
          <w:rFonts w:ascii="方正小标宋简体" w:hAnsi="宋体" w:eastAsia="方正小标宋简体" w:cs="Times New Roman"/>
          <w:color w:val="auto"/>
          <w:sz w:val="44"/>
          <w:szCs w:val="44"/>
        </w:rPr>
      </w:pPr>
      <w:r>
        <w:rPr>
          <w:rFonts w:hint="eastAsia" w:ascii="方正小标宋简体" w:hAnsi="宋体" w:eastAsia="方正小标宋简体" w:cs="方正小标宋简体"/>
          <w:color w:val="auto"/>
          <w:sz w:val="44"/>
          <w:szCs w:val="44"/>
        </w:rPr>
        <w:t>项目自评表</w:t>
      </w:r>
    </w:p>
    <w:p w14:paraId="0A2E3F0B">
      <w:pPr>
        <w:rPr>
          <w:rFonts w:cs="Times New Roman"/>
        </w:rPr>
      </w:pPr>
    </w:p>
    <w:p w14:paraId="0F722741">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鄂州葛店经济技术开发区财政金融审计局</w:t>
      </w:r>
    </w:p>
    <w:p w14:paraId="47965E2E">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14:paraId="1FFF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0BC60C3">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14:paraId="2070ABB3">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防范金融风险业务</w:t>
            </w:r>
          </w:p>
        </w:tc>
      </w:tr>
      <w:tr w14:paraId="385D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A0B75C6">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14:paraId="6F3755FA">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鄂州葛店经济技术开发区财政金融审计局</w:t>
            </w:r>
          </w:p>
        </w:tc>
        <w:tc>
          <w:tcPr>
            <w:tcW w:w="2520" w:type="dxa"/>
            <w:gridSpan w:val="2"/>
            <w:vAlign w:val="center"/>
          </w:tcPr>
          <w:p w14:paraId="01EFFA75">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14:paraId="4F67A0B3">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鄂州葛店经济技术开发区财政金融审计局</w:t>
            </w:r>
          </w:p>
        </w:tc>
      </w:tr>
      <w:tr w14:paraId="2AD59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2F6E68B0">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14:paraId="38531CFA">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14:paraId="312C7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602FAE13">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14:paraId="38AF1CEC">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444A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489B63D">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14:paraId="1DD71E99">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22CA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02ED286B">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14:paraId="13F6DB8D">
            <w:pPr>
              <w:widowControl/>
              <w:snapToGrid w:val="0"/>
              <w:jc w:val="center"/>
              <w:rPr>
                <w:rFonts w:ascii="仿宋_GB2312" w:hAnsi="宋体" w:eastAsia="仿宋_GB2312" w:cs="Times New Roman"/>
                <w:kern w:val="0"/>
              </w:rPr>
            </w:pPr>
          </w:p>
        </w:tc>
        <w:tc>
          <w:tcPr>
            <w:tcW w:w="1604" w:type="dxa"/>
            <w:vAlign w:val="center"/>
          </w:tcPr>
          <w:p w14:paraId="2055AE0F">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14:paraId="33050C84">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14:paraId="7B572C8E">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14:paraId="6402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2ED66559">
            <w:pPr>
              <w:widowControl/>
              <w:snapToGrid w:val="0"/>
              <w:jc w:val="center"/>
              <w:rPr>
                <w:rFonts w:ascii="仿宋_GB2312" w:hAnsi="宋体" w:eastAsia="仿宋_GB2312" w:cs="Times New Roman"/>
                <w:kern w:val="0"/>
              </w:rPr>
            </w:pPr>
          </w:p>
        </w:tc>
        <w:tc>
          <w:tcPr>
            <w:tcW w:w="1122" w:type="dxa"/>
            <w:vAlign w:val="center"/>
          </w:tcPr>
          <w:p w14:paraId="064968C5">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14:paraId="239260A5">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2.25</w:t>
            </w:r>
          </w:p>
        </w:tc>
        <w:tc>
          <w:tcPr>
            <w:tcW w:w="1680" w:type="dxa"/>
            <w:gridSpan w:val="2"/>
            <w:vAlign w:val="center"/>
          </w:tcPr>
          <w:p w14:paraId="796D451F">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2.25</w:t>
            </w:r>
          </w:p>
        </w:tc>
        <w:tc>
          <w:tcPr>
            <w:tcW w:w="3014" w:type="dxa"/>
            <w:gridSpan w:val="2"/>
            <w:vAlign w:val="center"/>
          </w:tcPr>
          <w:p w14:paraId="249049AC">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14:paraId="65570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1B62C9D2">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14:paraId="70256444">
            <w:pPr>
              <w:widowControl/>
              <w:snapToGrid w:val="0"/>
              <w:jc w:val="center"/>
              <w:rPr>
                <w:rFonts w:ascii="仿宋_GB2312" w:hAnsi="宋体" w:eastAsia="仿宋_GB2312" w:cs="Times New Roman"/>
                <w:kern w:val="0"/>
              </w:rPr>
            </w:pPr>
          </w:p>
        </w:tc>
        <w:tc>
          <w:tcPr>
            <w:tcW w:w="700" w:type="dxa"/>
            <w:vAlign w:val="center"/>
          </w:tcPr>
          <w:p w14:paraId="1548FAC5">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14:paraId="4A529214">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14:paraId="7DA55C83">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14:paraId="19067877">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14:paraId="709D4C4A">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14CA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5D2E3EF">
            <w:pPr>
              <w:snapToGrid w:val="0"/>
              <w:jc w:val="center"/>
              <w:rPr>
                <w:rFonts w:ascii="仿宋_GB2312" w:hAnsi="宋体" w:eastAsia="仿宋_GB2312" w:cs="Times New Roman"/>
                <w:kern w:val="0"/>
              </w:rPr>
            </w:pPr>
          </w:p>
        </w:tc>
        <w:tc>
          <w:tcPr>
            <w:tcW w:w="700" w:type="dxa"/>
            <w:vMerge w:val="restart"/>
            <w:vAlign w:val="center"/>
          </w:tcPr>
          <w:p w14:paraId="0A5B7EA5">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14:paraId="13872F11">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14:paraId="44A5F98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举办宣传活动次数</w:t>
            </w:r>
          </w:p>
        </w:tc>
        <w:tc>
          <w:tcPr>
            <w:tcW w:w="1478" w:type="dxa"/>
            <w:vAlign w:val="center"/>
          </w:tcPr>
          <w:p w14:paraId="30A8D13A">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1次</w:t>
            </w:r>
          </w:p>
        </w:tc>
        <w:tc>
          <w:tcPr>
            <w:tcW w:w="1536" w:type="dxa"/>
            <w:vAlign w:val="center"/>
          </w:tcPr>
          <w:p w14:paraId="038AFBAE">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446人</w:t>
            </w:r>
          </w:p>
        </w:tc>
      </w:tr>
      <w:tr w14:paraId="785B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652036F">
            <w:pPr>
              <w:snapToGrid w:val="0"/>
              <w:jc w:val="center"/>
              <w:rPr>
                <w:rFonts w:ascii="仿宋_GB2312" w:hAnsi="宋体" w:eastAsia="仿宋_GB2312" w:cs="Times New Roman"/>
                <w:kern w:val="0"/>
              </w:rPr>
            </w:pPr>
          </w:p>
        </w:tc>
        <w:tc>
          <w:tcPr>
            <w:tcW w:w="700" w:type="dxa"/>
            <w:vMerge w:val="continue"/>
            <w:vAlign w:val="center"/>
          </w:tcPr>
          <w:p w14:paraId="52EB6C0E">
            <w:pPr>
              <w:widowControl/>
              <w:snapToGrid w:val="0"/>
              <w:jc w:val="center"/>
              <w:rPr>
                <w:rFonts w:ascii="仿宋_GB2312" w:hAnsi="宋体" w:eastAsia="仿宋_GB2312" w:cs="Times New Roman"/>
                <w:kern w:val="0"/>
              </w:rPr>
            </w:pPr>
          </w:p>
        </w:tc>
        <w:tc>
          <w:tcPr>
            <w:tcW w:w="1122" w:type="dxa"/>
            <w:vMerge w:val="continue"/>
            <w:vAlign w:val="center"/>
          </w:tcPr>
          <w:p w14:paraId="239EE0E8">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14:paraId="412AFF9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宣传资料制作</w:t>
            </w:r>
          </w:p>
        </w:tc>
        <w:tc>
          <w:tcPr>
            <w:tcW w:w="1478" w:type="dxa"/>
            <w:vAlign w:val="center"/>
          </w:tcPr>
          <w:p w14:paraId="39124D3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4类</w:t>
            </w:r>
          </w:p>
        </w:tc>
        <w:tc>
          <w:tcPr>
            <w:tcW w:w="1536" w:type="dxa"/>
            <w:vAlign w:val="center"/>
          </w:tcPr>
          <w:p w14:paraId="473EB2AF">
            <w:pPr>
              <w:widowControl/>
              <w:snapToGrid w:val="0"/>
              <w:jc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4类</w:t>
            </w:r>
          </w:p>
        </w:tc>
      </w:tr>
      <w:tr w14:paraId="6A06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36B6717">
            <w:pPr>
              <w:snapToGrid w:val="0"/>
              <w:jc w:val="center"/>
              <w:rPr>
                <w:rFonts w:ascii="仿宋_GB2312" w:hAnsi="宋体" w:eastAsia="仿宋_GB2312" w:cs="Times New Roman"/>
                <w:kern w:val="0"/>
              </w:rPr>
            </w:pPr>
          </w:p>
        </w:tc>
        <w:tc>
          <w:tcPr>
            <w:tcW w:w="700" w:type="dxa"/>
            <w:vMerge w:val="continue"/>
            <w:vAlign w:val="center"/>
          </w:tcPr>
          <w:p w14:paraId="56806D7E">
            <w:pPr>
              <w:widowControl/>
              <w:snapToGrid w:val="0"/>
              <w:jc w:val="center"/>
              <w:rPr>
                <w:rFonts w:ascii="仿宋_GB2312" w:hAnsi="宋体" w:eastAsia="仿宋_GB2312" w:cs="Times New Roman"/>
                <w:kern w:val="0"/>
              </w:rPr>
            </w:pPr>
          </w:p>
        </w:tc>
        <w:tc>
          <w:tcPr>
            <w:tcW w:w="1122" w:type="dxa"/>
            <w:vAlign w:val="center"/>
          </w:tcPr>
          <w:p w14:paraId="5851A7F3">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14:paraId="2B82599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涉稳舆情处置率</w:t>
            </w:r>
          </w:p>
        </w:tc>
        <w:tc>
          <w:tcPr>
            <w:tcW w:w="1478" w:type="dxa"/>
            <w:vAlign w:val="center"/>
          </w:tcPr>
          <w:p w14:paraId="1788A370">
            <w:pPr>
              <w:keepNext w:val="0"/>
              <w:keepLines w:val="0"/>
              <w:widowControl/>
              <w:suppressLineNumbers w:val="0"/>
              <w:jc w:val="center"/>
              <w:textAlignment w:val="center"/>
              <w:rPr>
                <w:rFonts w:hint="default" w:ascii="仿宋" w:hAnsi="仿宋" w:eastAsia="仿宋" w:cs="仿宋"/>
                <w:kern w:val="0"/>
                <w:sz w:val="21"/>
                <w:szCs w:val="21"/>
                <w:lang w:val="en-US"/>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14:paraId="2CE4F7AF">
            <w:pPr>
              <w:widowControl/>
              <w:snapToGrid w:val="0"/>
              <w:jc w:val="center"/>
              <w:rPr>
                <w:rFonts w:ascii="仿宋_GB2312" w:hAnsi="宋体" w:eastAsia="仿宋_GB2312" w:cs="Times New Roman"/>
                <w:kern w:val="0"/>
              </w:rPr>
            </w:pPr>
            <w:r>
              <w:rPr>
                <w:rFonts w:hint="eastAsia" w:ascii="仿宋" w:hAnsi="仿宋" w:eastAsia="仿宋" w:cs="仿宋"/>
                <w:i w:val="0"/>
                <w:iCs w:val="0"/>
                <w:color w:val="000000"/>
                <w:kern w:val="0"/>
                <w:sz w:val="21"/>
                <w:szCs w:val="21"/>
                <w:u w:val="none"/>
                <w:lang w:val="en-US" w:eastAsia="zh-CN" w:bidi="ar"/>
              </w:rPr>
              <w:t>100%</w:t>
            </w:r>
          </w:p>
        </w:tc>
      </w:tr>
      <w:tr w14:paraId="316D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F030D21">
            <w:pPr>
              <w:snapToGrid w:val="0"/>
              <w:jc w:val="center"/>
              <w:rPr>
                <w:rFonts w:ascii="仿宋_GB2312" w:hAnsi="宋体" w:eastAsia="仿宋_GB2312" w:cs="Times New Roman"/>
                <w:kern w:val="0"/>
              </w:rPr>
            </w:pPr>
          </w:p>
        </w:tc>
        <w:tc>
          <w:tcPr>
            <w:tcW w:w="700" w:type="dxa"/>
            <w:vMerge w:val="continue"/>
            <w:vAlign w:val="center"/>
          </w:tcPr>
          <w:p w14:paraId="6F275C21">
            <w:pPr>
              <w:widowControl/>
              <w:snapToGrid w:val="0"/>
              <w:jc w:val="center"/>
              <w:rPr>
                <w:rFonts w:ascii="仿宋_GB2312" w:hAnsi="宋体" w:eastAsia="仿宋_GB2312" w:cs="Times New Roman"/>
                <w:kern w:val="0"/>
              </w:rPr>
            </w:pPr>
          </w:p>
        </w:tc>
        <w:tc>
          <w:tcPr>
            <w:tcW w:w="1122" w:type="dxa"/>
            <w:vAlign w:val="center"/>
          </w:tcPr>
          <w:p w14:paraId="2D1B28B4">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14:paraId="40ED2AE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预算成本控制数</w:t>
            </w:r>
          </w:p>
        </w:tc>
        <w:tc>
          <w:tcPr>
            <w:tcW w:w="1478" w:type="dxa"/>
            <w:vAlign w:val="center"/>
          </w:tcPr>
          <w:p w14:paraId="511F71C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≦2.25万元</w:t>
            </w:r>
          </w:p>
        </w:tc>
        <w:tc>
          <w:tcPr>
            <w:tcW w:w="1536" w:type="dxa"/>
            <w:vAlign w:val="center"/>
          </w:tcPr>
          <w:p w14:paraId="7B888561">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2.25万元</w:t>
            </w:r>
          </w:p>
        </w:tc>
      </w:tr>
      <w:tr w14:paraId="0F8C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45113AC">
            <w:pPr>
              <w:snapToGrid w:val="0"/>
              <w:jc w:val="center"/>
              <w:rPr>
                <w:rFonts w:ascii="仿宋_GB2312" w:hAnsi="宋体" w:eastAsia="仿宋_GB2312" w:cs="Times New Roman"/>
                <w:kern w:val="0"/>
              </w:rPr>
            </w:pPr>
          </w:p>
        </w:tc>
        <w:tc>
          <w:tcPr>
            <w:tcW w:w="700" w:type="dxa"/>
            <w:vMerge w:val="continue"/>
            <w:vAlign w:val="center"/>
          </w:tcPr>
          <w:p w14:paraId="68030BCF">
            <w:pPr>
              <w:widowControl/>
              <w:snapToGrid w:val="0"/>
              <w:jc w:val="center"/>
              <w:rPr>
                <w:rFonts w:ascii="仿宋_GB2312" w:hAnsi="宋体" w:eastAsia="仿宋_GB2312" w:cs="Times New Roman"/>
                <w:kern w:val="0"/>
              </w:rPr>
            </w:pPr>
          </w:p>
        </w:tc>
        <w:tc>
          <w:tcPr>
            <w:tcW w:w="1122" w:type="dxa"/>
            <w:vAlign w:val="center"/>
          </w:tcPr>
          <w:p w14:paraId="3CF71E3C">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14:paraId="2501866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宣传活动时间</w:t>
            </w:r>
          </w:p>
        </w:tc>
        <w:tc>
          <w:tcPr>
            <w:tcW w:w="1478" w:type="dxa"/>
            <w:vAlign w:val="center"/>
          </w:tcPr>
          <w:p w14:paraId="17161F8B">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100%</w:t>
            </w:r>
          </w:p>
        </w:tc>
        <w:tc>
          <w:tcPr>
            <w:tcW w:w="1536" w:type="dxa"/>
            <w:vAlign w:val="center"/>
          </w:tcPr>
          <w:p w14:paraId="21BC3206">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r>
      <w:tr w14:paraId="4860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080A9DC">
            <w:pPr>
              <w:widowControl/>
              <w:snapToGrid w:val="0"/>
              <w:jc w:val="center"/>
              <w:rPr>
                <w:rFonts w:ascii="仿宋_GB2312" w:hAnsi="宋体" w:eastAsia="仿宋_GB2312" w:cs="Times New Roman"/>
                <w:kern w:val="0"/>
              </w:rPr>
            </w:pPr>
          </w:p>
        </w:tc>
        <w:tc>
          <w:tcPr>
            <w:tcW w:w="700" w:type="dxa"/>
            <w:vMerge w:val="restart"/>
            <w:vAlign w:val="center"/>
          </w:tcPr>
          <w:p w14:paraId="3209CD13">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Merge w:val="restart"/>
            <w:vAlign w:val="center"/>
          </w:tcPr>
          <w:p w14:paraId="67006F0E">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284" w:type="dxa"/>
            <w:gridSpan w:val="3"/>
            <w:vAlign w:val="center"/>
          </w:tcPr>
          <w:p w14:paraId="07679E2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群众金融风险防范意识</w:t>
            </w:r>
          </w:p>
        </w:tc>
        <w:tc>
          <w:tcPr>
            <w:tcW w:w="1478" w:type="dxa"/>
            <w:vAlign w:val="center"/>
          </w:tcPr>
          <w:p w14:paraId="679E9AA3">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提高</w:t>
            </w:r>
          </w:p>
        </w:tc>
        <w:tc>
          <w:tcPr>
            <w:tcW w:w="1536" w:type="dxa"/>
            <w:vAlign w:val="center"/>
          </w:tcPr>
          <w:p w14:paraId="22F205B3">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提高</w:t>
            </w:r>
          </w:p>
        </w:tc>
      </w:tr>
      <w:tr w14:paraId="1EE2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C51406C">
            <w:pPr>
              <w:widowControl/>
              <w:snapToGrid w:val="0"/>
              <w:jc w:val="center"/>
              <w:rPr>
                <w:rFonts w:ascii="仿宋_GB2312" w:hAnsi="宋体" w:eastAsia="仿宋_GB2312" w:cs="Times New Roman"/>
                <w:kern w:val="0"/>
              </w:rPr>
            </w:pPr>
          </w:p>
        </w:tc>
        <w:tc>
          <w:tcPr>
            <w:tcW w:w="700" w:type="dxa"/>
            <w:vMerge w:val="continue"/>
            <w:vAlign w:val="center"/>
          </w:tcPr>
          <w:p w14:paraId="4A1246EE">
            <w:pPr>
              <w:snapToGrid w:val="0"/>
              <w:jc w:val="center"/>
              <w:rPr>
                <w:rFonts w:hint="eastAsia" w:ascii="仿宋_GB2312" w:hAnsi="宋体" w:eastAsia="仿宋_GB2312" w:cs="仿宋_GB2312"/>
                <w:kern w:val="0"/>
              </w:rPr>
            </w:pPr>
          </w:p>
        </w:tc>
        <w:tc>
          <w:tcPr>
            <w:tcW w:w="1122" w:type="dxa"/>
            <w:vMerge w:val="continue"/>
            <w:vAlign w:val="center"/>
          </w:tcPr>
          <w:p w14:paraId="4D9C7209">
            <w:pPr>
              <w:widowControl/>
              <w:snapToGrid w:val="0"/>
              <w:jc w:val="center"/>
              <w:rPr>
                <w:rFonts w:hint="eastAsia" w:ascii="仿宋_GB2312" w:hAnsi="宋体" w:eastAsia="仿宋_GB2312" w:cs="Times New Roman"/>
                <w:kern w:val="0"/>
                <w:sz w:val="21"/>
                <w:szCs w:val="22"/>
                <w:lang w:val="en-US" w:eastAsia="zh-CN" w:bidi="ar-SA"/>
              </w:rPr>
            </w:pPr>
          </w:p>
        </w:tc>
        <w:tc>
          <w:tcPr>
            <w:tcW w:w="3284" w:type="dxa"/>
            <w:gridSpan w:val="3"/>
            <w:vAlign w:val="center"/>
          </w:tcPr>
          <w:p w14:paraId="507606F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社会政治</w:t>
            </w:r>
          </w:p>
        </w:tc>
        <w:tc>
          <w:tcPr>
            <w:tcW w:w="1478" w:type="dxa"/>
            <w:vAlign w:val="center"/>
          </w:tcPr>
          <w:p w14:paraId="3D55B82D">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效果显著</w:t>
            </w:r>
          </w:p>
        </w:tc>
        <w:tc>
          <w:tcPr>
            <w:tcW w:w="1536" w:type="dxa"/>
            <w:vAlign w:val="center"/>
          </w:tcPr>
          <w:p w14:paraId="130F94F3">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效果显著</w:t>
            </w:r>
          </w:p>
        </w:tc>
      </w:tr>
      <w:tr w14:paraId="0741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757ABF7">
            <w:pPr>
              <w:widowControl/>
              <w:snapToGrid w:val="0"/>
              <w:jc w:val="center"/>
              <w:rPr>
                <w:rFonts w:ascii="仿宋_GB2312" w:hAnsi="宋体" w:eastAsia="仿宋_GB2312" w:cs="Times New Roman"/>
                <w:kern w:val="0"/>
              </w:rPr>
            </w:pPr>
          </w:p>
        </w:tc>
        <w:tc>
          <w:tcPr>
            <w:tcW w:w="700" w:type="dxa"/>
            <w:vAlign w:val="center"/>
          </w:tcPr>
          <w:p w14:paraId="2379BA3A">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14:paraId="301AEF17">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14:paraId="59C0A29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社会公众满意度</w:t>
            </w:r>
          </w:p>
        </w:tc>
        <w:tc>
          <w:tcPr>
            <w:tcW w:w="1478" w:type="dxa"/>
            <w:vAlign w:val="center"/>
          </w:tcPr>
          <w:p w14:paraId="12DDD614">
            <w:pPr>
              <w:keepNext w:val="0"/>
              <w:keepLines w:val="0"/>
              <w:widowControl/>
              <w:suppressLineNumbers w:val="0"/>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1"/>
                <w:szCs w:val="21"/>
                <w:u w:val="none"/>
                <w:lang w:val="en-US" w:eastAsia="zh-CN" w:bidi="ar"/>
              </w:rPr>
              <w:t>≧95%</w:t>
            </w:r>
          </w:p>
        </w:tc>
        <w:tc>
          <w:tcPr>
            <w:tcW w:w="1536" w:type="dxa"/>
            <w:vAlign w:val="center"/>
          </w:tcPr>
          <w:p w14:paraId="40287DAF">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≧95%</w:t>
            </w:r>
          </w:p>
        </w:tc>
      </w:tr>
      <w:tr w14:paraId="44B3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14:paraId="33D6830C">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407491C3">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0CFCF1B8">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14:paraId="2D07B83F">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14:paraId="5D44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14:paraId="0EF2B95A">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74E9D70A">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14:paraId="585E7E1D">
            <w:pPr>
              <w:widowControl/>
              <w:jc w:val="left"/>
              <w:rPr>
                <w:rFonts w:ascii="仿宋_GB2312" w:hAnsi="宋体" w:eastAsia="仿宋_GB2312" w:cs="Times New Roman"/>
                <w:kern w:val="0"/>
              </w:rPr>
            </w:pPr>
            <w:r>
              <w:rPr>
                <w:rFonts w:hint="eastAsia" w:ascii="仿宋_GB2312" w:hAnsi="宋体" w:eastAsia="仿宋_GB2312" w:cs="Times New Roman"/>
                <w:kern w:val="0"/>
                <w:lang w:val="en-US" w:eastAsia="zh-CN"/>
              </w:rPr>
              <w:t>2023年预算执行率高，若下年度工作目标不变，项目经费预算可不进行调整。</w:t>
            </w:r>
          </w:p>
        </w:tc>
      </w:tr>
    </w:tbl>
    <w:p w14:paraId="6F047907">
      <w:pPr>
        <w:widowControl/>
        <w:rPr>
          <w:rFonts w:ascii="仿宋_GB2312" w:hAnsi="宋体" w:eastAsia="仿宋_GB2312" w:cs="Times New Roman"/>
          <w:kern w:val="0"/>
        </w:rPr>
      </w:pPr>
      <w:r>
        <w:rPr>
          <w:rFonts w:hint="eastAsia" w:ascii="仿宋_GB2312" w:hAnsi="宋体" w:eastAsia="仿宋_GB2312" w:cs="仿宋_GB2312"/>
          <w:kern w:val="0"/>
        </w:rPr>
        <w:t>备注：</w:t>
      </w:r>
    </w:p>
    <w:p w14:paraId="1FF5DF4B">
      <w:pPr>
        <w:widowControl/>
        <w:ind w:firstLine="64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14:paraId="3520E1D0">
      <w:pPr>
        <w:widowControl/>
        <w:ind w:firstLine="64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14:paraId="6038E10C">
      <w:pPr>
        <w:widowControl/>
        <w:ind w:firstLine="64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14:paraId="3EAEFDB2">
      <w:pPr>
        <w:widowControl/>
        <w:ind w:firstLine="64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14:paraId="330EAEF0">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附件1-7</w:t>
      </w:r>
    </w:p>
    <w:p w14:paraId="61D2F5D0">
      <w:pPr>
        <w:jc w:val="center"/>
        <w:rPr>
          <w:rFonts w:hint="eastAsia" w:ascii="方正小标宋简体" w:hAnsi="宋体" w:eastAsia="方正小标宋简体" w:cs="方正小标宋简体"/>
          <w:sz w:val="44"/>
          <w:szCs w:val="44"/>
          <w:lang w:val="en-US" w:eastAsia="zh-CN"/>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一卡通突出问题专项治理</w:t>
      </w:r>
    </w:p>
    <w:p w14:paraId="2988663B">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项目自评表</w:t>
      </w:r>
    </w:p>
    <w:p w14:paraId="74861DA4">
      <w:pPr>
        <w:rPr>
          <w:rFonts w:cs="Times New Roman"/>
        </w:rPr>
      </w:pPr>
    </w:p>
    <w:p w14:paraId="3416261F">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鄂州葛店经济技术开发区财政金融审计局</w:t>
      </w:r>
    </w:p>
    <w:p w14:paraId="51B4DA73">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14:paraId="04B4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16A738AC">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14:paraId="45EBAE68">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一卡通突出问题专项治理</w:t>
            </w:r>
          </w:p>
        </w:tc>
      </w:tr>
      <w:tr w14:paraId="5A79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B8FE8CE">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14:paraId="298C913A">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鄂州葛店经济技术开发区财政金融审计局</w:t>
            </w:r>
          </w:p>
        </w:tc>
        <w:tc>
          <w:tcPr>
            <w:tcW w:w="2520" w:type="dxa"/>
            <w:gridSpan w:val="2"/>
            <w:vAlign w:val="center"/>
          </w:tcPr>
          <w:p w14:paraId="1BA96731">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14:paraId="3ACB51C0">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鄂州葛店经济技术开发区财政金融审计局</w:t>
            </w:r>
          </w:p>
        </w:tc>
      </w:tr>
      <w:tr w14:paraId="2DEB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7DA6295">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14:paraId="40B7CD56">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3618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38E02C4B">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14:paraId="03F4A4D4">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14:paraId="4156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A690D39">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14:paraId="5B8F4AB6">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14:paraId="27E2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56F570E0">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14:paraId="551B6429">
            <w:pPr>
              <w:widowControl/>
              <w:snapToGrid w:val="0"/>
              <w:jc w:val="center"/>
              <w:rPr>
                <w:rFonts w:ascii="仿宋_GB2312" w:hAnsi="宋体" w:eastAsia="仿宋_GB2312" w:cs="Times New Roman"/>
                <w:kern w:val="0"/>
              </w:rPr>
            </w:pPr>
          </w:p>
        </w:tc>
        <w:tc>
          <w:tcPr>
            <w:tcW w:w="1604" w:type="dxa"/>
            <w:vAlign w:val="center"/>
          </w:tcPr>
          <w:p w14:paraId="4A78BCF1">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14:paraId="1D89E1F0">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14:paraId="4BFEE164">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14:paraId="53F6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0565BA94">
            <w:pPr>
              <w:widowControl/>
              <w:snapToGrid w:val="0"/>
              <w:jc w:val="center"/>
              <w:rPr>
                <w:rFonts w:ascii="仿宋_GB2312" w:hAnsi="宋体" w:eastAsia="仿宋_GB2312" w:cs="Times New Roman"/>
                <w:kern w:val="0"/>
              </w:rPr>
            </w:pPr>
          </w:p>
        </w:tc>
        <w:tc>
          <w:tcPr>
            <w:tcW w:w="1122" w:type="dxa"/>
            <w:vAlign w:val="center"/>
          </w:tcPr>
          <w:p w14:paraId="6921791D">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vAlign w:val="center"/>
          </w:tcPr>
          <w:p w14:paraId="193DEEE8">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3.00</w:t>
            </w:r>
          </w:p>
        </w:tc>
        <w:tc>
          <w:tcPr>
            <w:tcW w:w="1680" w:type="dxa"/>
            <w:gridSpan w:val="2"/>
            <w:vAlign w:val="center"/>
          </w:tcPr>
          <w:p w14:paraId="48B585E1">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3.00</w:t>
            </w:r>
          </w:p>
        </w:tc>
        <w:tc>
          <w:tcPr>
            <w:tcW w:w="3014" w:type="dxa"/>
            <w:gridSpan w:val="2"/>
            <w:vAlign w:val="center"/>
          </w:tcPr>
          <w:p w14:paraId="6D86188F">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r>
      <w:tr w14:paraId="546C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50AE9CAB">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14:paraId="3A43E85D">
            <w:pPr>
              <w:widowControl/>
              <w:snapToGrid w:val="0"/>
              <w:jc w:val="center"/>
              <w:rPr>
                <w:rFonts w:ascii="仿宋_GB2312" w:hAnsi="宋体" w:eastAsia="仿宋_GB2312" w:cs="Times New Roman"/>
                <w:kern w:val="0"/>
              </w:rPr>
            </w:pPr>
          </w:p>
        </w:tc>
        <w:tc>
          <w:tcPr>
            <w:tcW w:w="700" w:type="dxa"/>
            <w:vAlign w:val="center"/>
          </w:tcPr>
          <w:p w14:paraId="43426D66">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14:paraId="37B4ACEB">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14:paraId="655BE732">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14:paraId="7AD17A89">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14:paraId="557F475B">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656EB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4E71C0F2">
            <w:pPr>
              <w:snapToGrid w:val="0"/>
              <w:jc w:val="center"/>
              <w:rPr>
                <w:rFonts w:ascii="仿宋_GB2312" w:hAnsi="宋体" w:eastAsia="仿宋_GB2312" w:cs="Times New Roman"/>
                <w:kern w:val="0"/>
              </w:rPr>
            </w:pPr>
          </w:p>
        </w:tc>
        <w:tc>
          <w:tcPr>
            <w:tcW w:w="700" w:type="dxa"/>
            <w:vMerge w:val="restart"/>
            <w:vAlign w:val="center"/>
          </w:tcPr>
          <w:p w14:paraId="7C905DE3">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Align w:val="center"/>
          </w:tcPr>
          <w:p w14:paraId="2B2B6D79">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14:paraId="561CC51C">
            <w:pPr>
              <w:keepNext w:val="0"/>
              <w:keepLines w:val="0"/>
              <w:widowControl/>
              <w:suppressLineNumbers w:val="0"/>
              <w:jc w:val="left"/>
              <w:textAlignment w:val="center"/>
              <w:rPr>
                <w:rFonts w:hint="default" w:ascii="仿宋" w:hAnsi="仿宋" w:eastAsia="仿宋" w:cs="仿宋"/>
                <w:kern w:val="0"/>
                <w:sz w:val="21"/>
                <w:szCs w:val="21"/>
                <w:highlight w:val="yellow"/>
                <w:lang w:val="en-US" w:eastAsia="zh-CN"/>
              </w:rPr>
            </w:pPr>
            <w:r>
              <w:rPr>
                <w:rFonts w:hint="eastAsia" w:ascii="仿宋" w:hAnsi="仿宋" w:eastAsia="仿宋" w:cs="仿宋"/>
                <w:kern w:val="0"/>
                <w:sz w:val="21"/>
                <w:szCs w:val="21"/>
                <w:highlight w:val="none"/>
                <w:lang w:val="en-US" w:eastAsia="zh-CN"/>
              </w:rPr>
              <w:t>需要整改问题类型</w:t>
            </w:r>
          </w:p>
        </w:tc>
        <w:tc>
          <w:tcPr>
            <w:tcW w:w="1478" w:type="dxa"/>
            <w:vAlign w:val="center"/>
          </w:tcPr>
          <w:p w14:paraId="7ADCDBE7">
            <w:pPr>
              <w:keepNext w:val="0"/>
              <w:keepLines w:val="0"/>
              <w:widowControl/>
              <w:suppressLineNumbers w:val="0"/>
              <w:jc w:val="center"/>
              <w:textAlignment w:val="center"/>
              <w:rPr>
                <w:rFonts w:hint="default" w:ascii="仿宋" w:hAnsi="仿宋" w:eastAsia="仿宋" w:cs="仿宋"/>
                <w:kern w:val="0"/>
                <w:sz w:val="21"/>
                <w:szCs w:val="21"/>
                <w:highlight w:val="yellow"/>
                <w:lang w:val="en-US"/>
              </w:rPr>
            </w:pPr>
            <w:r>
              <w:rPr>
                <w:rFonts w:hint="eastAsia" w:ascii="仿宋" w:hAnsi="仿宋" w:eastAsia="仿宋" w:cs="仿宋"/>
                <w:i w:val="0"/>
                <w:iCs w:val="0"/>
                <w:color w:val="000000"/>
                <w:kern w:val="0"/>
                <w:sz w:val="21"/>
                <w:szCs w:val="21"/>
                <w:highlight w:val="none"/>
                <w:u w:val="none"/>
                <w:lang w:val="en-US" w:eastAsia="zh-CN" w:bidi="ar"/>
              </w:rPr>
              <w:t>≧1批</w:t>
            </w:r>
          </w:p>
        </w:tc>
        <w:tc>
          <w:tcPr>
            <w:tcW w:w="1536" w:type="dxa"/>
            <w:vAlign w:val="center"/>
          </w:tcPr>
          <w:p w14:paraId="3E36A023">
            <w:pPr>
              <w:widowControl/>
              <w:snapToGrid w:val="0"/>
              <w:jc w:val="center"/>
              <w:rPr>
                <w:rFonts w:hint="default" w:ascii="仿宋_GB2312" w:hAnsi="宋体" w:eastAsia="仿宋_GB2312" w:cs="Times New Roman"/>
                <w:kern w:val="0"/>
                <w:highlight w:val="yellow"/>
                <w:lang w:val="en-US" w:eastAsia="zh-CN"/>
              </w:rPr>
            </w:pPr>
            <w:r>
              <w:rPr>
                <w:rFonts w:hint="eastAsia" w:ascii="仿宋" w:hAnsi="仿宋" w:eastAsia="仿宋" w:cs="仿宋"/>
                <w:i w:val="0"/>
                <w:iCs w:val="0"/>
                <w:color w:val="000000"/>
                <w:kern w:val="0"/>
                <w:sz w:val="21"/>
                <w:szCs w:val="21"/>
                <w:highlight w:val="none"/>
                <w:u w:val="none"/>
                <w:lang w:val="en-US" w:eastAsia="zh-CN" w:bidi="ar"/>
              </w:rPr>
              <w:t>1批</w:t>
            </w:r>
          </w:p>
        </w:tc>
      </w:tr>
      <w:tr w14:paraId="04C9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99978C0">
            <w:pPr>
              <w:snapToGrid w:val="0"/>
              <w:jc w:val="center"/>
              <w:rPr>
                <w:rFonts w:ascii="仿宋_GB2312" w:hAnsi="宋体" w:eastAsia="仿宋_GB2312" w:cs="Times New Roman"/>
                <w:kern w:val="0"/>
              </w:rPr>
            </w:pPr>
          </w:p>
        </w:tc>
        <w:tc>
          <w:tcPr>
            <w:tcW w:w="700" w:type="dxa"/>
            <w:vMerge w:val="continue"/>
            <w:vAlign w:val="center"/>
          </w:tcPr>
          <w:p w14:paraId="03E991CC">
            <w:pPr>
              <w:widowControl/>
              <w:snapToGrid w:val="0"/>
              <w:jc w:val="center"/>
              <w:rPr>
                <w:rFonts w:ascii="仿宋_GB2312" w:hAnsi="宋体" w:eastAsia="仿宋_GB2312" w:cs="Times New Roman"/>
                <w:kern w:val="0"/>
              </w:rPr>
            </w:pPr>
          </w:p>
        </w:tc>
        <w:tc>
          <w:tcPr>
            <w:tcW w:w="1122" w:type="dxa"/>
            <w:vAlign w:val="center"/>
          </w:tcPr>
          <w:p w14:paraId="36B4ADF7">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14:paraId="0B74CA04">
            <w:pPr>
              <w:keepNext w:val="0"/>
              <w:keepLines w:val="0"/>
              <w:widowControl/>
              <w:suppressLineNumbers w:val="0"/>
              <w:jc w:val="left"/>
              <w:textAlignment w:val="center"/>
              <w:rPr>
                <w:rFonts w:hint="default" w:ascii="仿宋" w:hAnsi="仿宋" w:eastAsia="仿宋" w:cs="仿宋"/>
                <w:kern w:val="0"/>
                <w:sz w:val="21"/>
                <w:szCs w:val="21"/>
                <w:highlight w:val="yellow"/>
                <w:lang w:val="en-US"/>
              </w:rPr>
            </w:pPr>
            <w:r>
              <w:rPr>
                <w:rFonts w:hint="eastAsia" w:ascii="仿宋" w:hAnsi="仿宋" w:eastAsia="仿宋" w:cs="仿宋"/>
                <w:i w:val="0"/>
                <w:iCs w:val="0"/>
                <w:color w:val="000000"/>
                <w:kern w:val="0"/>
                <w:sz w:val="21"/>
                <w:szCs w:val="21"/>
                <w:highlight w:val="none"/>
                <w:u w:val="none"/>
                <w:lang w:val="en-US" w:eastAsia="zh-CN" w:bidi="ar"/>
              </w:rPr>
              <w:t>整改情况</w:t>
            </w:r>
          </w:p>
        </w:tc>
        <w:tc>
          <w:tcPr>
            <w:tcW w:w="1478" w:type="dxa"/>
            <w:vAlign w:val="center"/>
          </w:tcPr>
          <w:p w14:paraId="068CF47E">
            <w:pPr>
              <w:keepNext w:val="0"/>
              <w:keepLines w:val="0"/>
              <w:widowControl/>
              <w:suppressLineNumbers w:val="0"/>
              <w:jc w:val="center"/>
              <w:textAlignment w:val="center"/>
              <w:rPr>
                <w:rFonts w:hint="default" w:ascii="仿宋" w:hAnsi="仿宋" w:eastAsia="仿宋" w:cs="仿宋"/>
                <w:kern w:val="0"/>
                <w:sz w:val="21"/>
                <w:szCs w:val="21"/>
                <w:highlight w:val="yellow"/>
                <w:lang w:val="en-US"/>
              </w:rPr>
            </w:pPr>
            <w:r>
              <w:rPr>
                <w:rFonts w:hint="eastAsia" w:ascii="仿宋" w:hAnsi="仿宋" w:eastAsia="仿宋" w:cs="仿宋"/>
                <w:i w:val="0"/>
                <w:iCs w:val="0"/>
                <w:color w:val="000000"/>
                <w:kern w:val="0"/>
                <w:sz w:val="21"/>
                <w:szCs w:val="21"/>
                <w:highlight w:val="none"/>
                <w:u w:val="none"/>
                <w:lang w:val="en-US" w:eastAsia="zh-CN" w:bidi="ar"/>
              </w:rPr>
              <w:t>应整尽整</w:t>
            </w:r>
          </w:p>
        </w:tc>
        <w:tc>
          <w:tcPr>
            <w:tcW w:w="1536" w:type="dxa"/>
            <w:vAlign w:val="center"/>
          </w:tcPr>
          <w:p w14:paraId="445D4DBA">
            <w:pPr>
              <w:widowControl/>
              <w:snapToGrid w:val="0"/>
              <w:jc w:val="center"/>
              <w:rPr>
                <w:rFonts w:ascii="仿宋_GB2312" w:hAnsi="宋体" w:eastAsia="仿宋_GB2312" w:cs="Times New Roman"/>
                <w:kern w:val="0"/>
                <w:highlight w:val="yellow"/>
              </w:rPr>
            </w:pPr>
            <w:r>
              <w:rPr>
                <w:rFonts w:hint="eastAsia" w:ascii="仿宋" w:hAnsi="仿宋" w:eastAsia="仿宋" w:cs="仿宋"/>
                <w:i w:val="0"/>
                <w:iCs w:val="0"/>
                <w:color w:val="000000"/>
                <w:kern w:val="0"/>
                <w:sz w:val="21"/>
                <w:szCs w:val="21"/>
                <w:highlight w:val="none"/>
                <w:u w:val="none"/>
                <w:lang w:val="en-US" w:eastAsia="zh-CN" w:bidi="ar"/>
              </w:rPr>
              <w:t>应整尽整</w:t>
            </w:r>
          </w:p>
        </w:tc>
      </w:tr>
      <w:tr w14:paraId="0434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7C8097C">
            <w:pPr>
              <w:snapToGrid w:val="0"/>
              <w:jc w:val="center"/>
              <w:rPr>
                <w:rFonts w:ascii="仿宋_GB2312" w:hAnsi="宋体" w:eastAsia="仿宋_GB2312" w:cs="Times New Roman"/>
                <w:kern w:val="0"/>
              </w:rPr>
            </w:pPr>
          </w:p>
        </w:tc>
        <w:tc>
          <w:tcPr>
            <w:tcW w:w="700" w:type="dxa"/>
            <w:vMerge w:val="continue"/>
            <w:vAlign w:val="center"/>
          </w:tcPr>
          <w:p w14:paraId="53FCAB78">
            <w:pPr>
              <w:widowControl/>
              <w:snapToGrid w:val="0"/>
              <w:jc w:val="center"/>
              <w:rPr>
                <w:rFonts w:ascii="仿宋_GB2312" w:hAnsi="宋体" w:eastAsia="仿宋_GB2312" w:cs="Times New Roman"/>
                <w:kern w:val="0"/>
              </w:rPr>
            </w:pPr>
          </w:p>
        </w:tc>
        <w:tc>
          <w:tcPr>
            <w:tcW w:w="1122" w:type="dxa"/>
            <w:vAlign w:val="center"/>
          </w:tcPr>
          <w:p w14:paraId="735274B6">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14:paraId="45CA72D0">
            <w:pPr>
              <w:keepNext w:val="0"/>
              <w:keepLines w:val="0"/>
              <w:widowControl/>
              <w:suppressLineNumbers w:val="0"/>
              <w:jc w:val="left"/>
              <w:textAlignment w:val="center"/>
              <w:rPr>
                <w:rFonts w:hint="eastAsia" w:ascii="仿宋" w:hAnsi="仿宋" w:eastAsia="仿宋" w:cs="仿宋"/>
                <w:kern w:val="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预算成本控制数</w:t>
            </w:r>
          </w:p>
        </w:tc>
        <w:tc>
          <w:tcPr>
            <w:tcW w:w="1478" w:type="dxa"/>
            <w:vAlign w:val="center"/>
          </w:tcPr>
          <w:p w14:paraId="0722F135">
            <w:pPr>
              <w:keepNext w:val="0"/>
              <w:keepLines w:val="0"/>
              <w:widowControl/>
              <w:suppressLineNumbers w:val="0"/>
              <w:jc w:val="center"/>
              <w:textAlignment w:val="center"/>
              <w:rPr>
                <w:rFonts w:hint="eastAsia" w:ascii="仿宋" w:hAnsi="仿宋" w:eastAsia="仿宋" w:cs="仿宋"/>
                <w:kern w:val="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≦3万元</w:t>
            </w:r>
          </w:p>
        </w:tc>
        <w:tc>
          <w:tcPr>
            <w:tcW w:w="1536" w:type="dxa"/>
            <w:vAlign w:val="center"/>
          </w:tcPr>
          <w:p w14:paraId="30AD7C9F">
            <w:pPr>
              <w:widowControl/>
              <w:snapToGrid w:val="0"/>
              <w:jc w:val="center"/>
              <w:rPr>
                <w:rFonts w:hint="default" w:ascii="仿宋_GB2312" w:hAnsi="宋体" w:eastAsia="仿宋_GB2312" w:cs="Times New Roman"/>
                <w:kern w:val="0"/>
                <w:highlight w:val="yellow"/>
                <w:lang w:val="en-US" w:eastAsia="zh-CN"/>
              </w:rPr>
            </w:pPr>
            <w:r>
              <w:rPr>
                <w:rFonts w:hint="eastAsia" w:ascii="仿宋" w:hAnsi="仿宋" w:eastAsia="仿宋" w:cs="仿宋"/>
                <w:i w:val="0"/>
                <w:iCs w:val="0"/>
                <w:color w:val="000000"/>
                <w:kern w:val="0"/>
                <w:sz w:val="21"/>
                <w:szCs w:val="21"/>
                <w:highlight w:val="none"/>
                <w:u w:val="none"/>
                <w:lang w:val="en-US" w:eastAsia="zh-CN" w:bidi="ar"/>
              </w:rPr>
              <w:t>3万元</w:t>
            </w:r>
          </w:p>
        </w:tc>
      </w:tr>
      <w:tr w14:paraId="35602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FC330CF">
            <w:pPr>
              <w:snapToGrid w:val="0"/>
              <w:jc w:val="center"/>
              <w:rPr>
                <w:rFonts w:ascii="仿宋_GB2312" w:hAnsi="宋体" w:eastAsia="仿宋_GB2312" w:cs="Times New Roman"/>
                <w:kern w:val="0"/>
              </w:rPr>
            </w:pPr>
          </w:p>
        </w:tc>
        <w:tc>
          <w:tcPr>
            <w:tcW w:w="700" w:type="dxa"/>
            <w:vMerge w:val="continue"/>
            <w:vAlign w:val="center"/>
          </w:tcPr>
          <w:p w14:paraId="2B9A695E">
            <w:pPr>
              <w:widowControl/>
              <w:snapToGrid w:val="0"/>
              <w:jc w:val="center"/>
              <w:rPr>
                <w:rFonts w:ascii="仿宋_GB2312" w:hAnsi="宋体" w:eastAsia="仿宋_GB2312" w:cs="Times New Roman"/>
                <w:kern w:val="0"/>
              </w:rPr>
            </w:pPr>
          </w:p>
        </w:tc>
        <w:tc>
          <w:tcPr>
            <w:tcW w:w="1122" w:type="dxa"/>
            <w:vAlign w:val="center"/>
          </w:tcPr>
          <w:p w14:paraId="4A4F7D72">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14:paraId="3ABC069E">
            <w:pPr>
              <w:keepNext w:val="0"/>
              <w:keepLines w:val="0"/>
              <w:widowControl/>
              <w:suppressLineNumbers w:val="0"/>
              <w:jc w:val="left"/>
              <w:textAlignment w:val="center"/>
              <w:rPr>
                <w:rFonts w:hint="default" w:ascii="仿宋" w:hAnsi="仿宋" w:eastAsia="仿宋" w:cs="仿宋"/>
                <w:kern w:val="0"/>
                <w:sz w:val="21"/>
                <w:szCs w:val="21"/>
                <w:highlight w:val="none"/>
                <w:lang w:val="en-US"/>
              </w:rPr>
            </w:pPr>
            <w:r>
              <w:rPr>
                <w:rFonts w:hint="eastAsia" w:ascii="仿宋" w:hAnsi="仿宋" w:eastAsia="仿宋" w:cs="仿宋"/>
                <w:i w:val="0"/>
                <w:iCs w:val="0"/>
                <w:color w:val="000000"/>
                <w:kern w:val="0"/>
                <w:sz w:val="21"/>
                <w:szCs w:val="21"/>
                <w:highlight w:val="none"/>
                <w:u w:val="none"/>
                <w:lang w:val="en-US" w:eastAsia="zh-CN" w:bidi="ar"/>
              </w:rPr>
              <w:t>问题整改及时性</w:t>
            </w:r>
          </w:p>
        </w:tc>
        <w:tc>
          <w:tcPr>
            <w:tcW w:w="1478" w:type="dxa"/>
            <w:vAlign w:val="center"/>
          </w:tcPr>
          <w:p w14:paraId="09EA1B63">
            <w:pPr>
              <w:keepNext w:val="0"/>
              <w:keepLines w:val="0"/>
              <w:widowControl/>
              <w:suppressLineNumbers w:val="0"/>
              <w:jc w:val="center"/>
              <w:textAlignment w:val="center"/>
              <w:rPr>
                <w:rFonts w:hint="eastAsia" w:ascii="仿宋" w:hAnsi="仿宋" w:eastAsia="仿宋" w:cs="仿宋"/>
                <w:kern w:val="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及时</w:t>
            </w:r>
          </w:p>
        </w:tc>
        <w:tc>
          <w:tcPr>
            <w:tcW w:w="1536" w:type="dxa"/>
            <w:vAlign w:val="center"/>
          </w:tcPr>
          <w:p w14:paraId="29A6EE52">
            <w:pPr>
              <w:keepNext w:val="0"/>
              <w:keepLines w:val="0"/>
              <w:widowControl/>
              <w:suppressLineNumbers w:val="0"/>
              <w:jc w:val="center"/>
              <w:textAlignment w:val="center"/>
              <w:rPr>
                <w:rFonts w:hint="eastAsia" w:ascii="仿宋" w:hAnsi="仿宋" w:eastAsia="仿宋" w:cs="仿宋"/>
                <w:kern w:val="0"/>
                <w:sz w:val="21"/>
                <w:szCs w:val="21"/>
                <w:highlight w:val="yellow"/>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及时</w:t>
            </w:r>
          </w:p>
        </w:tc>
      </w:tr>
      <w:tr w14:paraId="0531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DB94C93">
            <w:pPr>
              <w:widowControl/>
              <w:snapToGrid w:val="0"/>
              <w:jc w:val="center"/>
              <w:rPr>
                <w:rFonts w:ascii="仿宋_GB2312" w:hAnsi="宋体" w:eastAsia="仿宋_GB2312" w:cs="Times New Roman"/>
                <w:kern w:val="0"/>
              </w:rPr>
            </w:pPr>
          </w:p>
        </w:tc>
        <w:tc>
          <w:tcPr>
            <w:tcW w:w="700" w:type="dxa"/>
            <w:vMerge w:val="restart"/>
            <w:vAlign w:val="center"/>
          </w:tcPr>
          <w:p w14:paraId="65D97A6A">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14:paraId="4956FD2C">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社会效益指标</w:t>
            </w:r>
          </w:p>
        </w:tc>
        <w:tc>
          <w:tcPr>
            <w:tcW w:w="3284" w:type="dxa"/>
            <w:gridSpan w:val="3"/>
            <w:vAlign w:val="center"/>
          </w:tcPr>
          <w:p w14:paraId="34BC54D5">
            <w:pPr>
              <w:keepNext w:val="0"/>
              <w:keepLines w:val="0"/>
              <w:widowControl/>
              <w:suppressLineNumbers w:val="0"/>
              <w:jc w:val="left"/>
              <w:textAlignment w:val="center"/>
              <w:rPr>
                <w:rFonts w:hint="default" w:ascii="仿宋" w:hAnsi="仿宋" w:eastAsia="仿宋" w:cs="仿宋"/>
                <w:kern w:val="0"/>
                <w:sz w:val="21"/>
                <w:szCs w:val="21"/>
                <w:highlight w:val="yellow"/>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惠民政策</w:t>
            </w:r>
          </w:p>
        </w:tc>
        <w:tc>
          <w:tcPr>
            <w:tcW w:w="1478" w:type="dxa"/>
            <w:vAlign w:val="center"/>
          </w:tcPr>
          <w:p w14:paraId="62804CEE">
            <w:pPr>
              <w:keepNext w:val="0"/>
              <w:keepLines w:val="0"/>
              <w:widowControl/>
              <w:suppressLineNumbers w:val="0"/>
              <w:jc w:val="center"/>
              <w:textAlignment w:val="center"/>
              <w:rPr>
                <w:rFonts w:hint="default" w:ascii="仿宋" w:hAnsi="仿宋" w:eastAsia="仿宋" w:cs="仿宋"/>
                <w:kern w:val="0"/>
                <w:sz w:val="21"/>
                <w:szCs w:val="21"/>
                <w:highlight w:val="yellow"/>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精准落地</w:t>
            </w:r>
          </w:p>
        </w:tc>
        <w:tc>
          <w:tcPr>
            <w:tcW w:w="1536" w:type="dxa"/>
            <w:vAlign w:val="center"/>
          </w:tcPr>
          <w:p w14:paraId="55B449AC">
            <w:pPr>
              <w:keepNext w:val="0"/>
              <w:keepLines w:val="0"/>
              <w:widowControl/>
              <w:suppressLineNumbers w:val="0"/>
              <w:jc w:val="center"/>
              <w:textAlignment w:val="center"/>
              <w:rPr>
                <w:rFonts w:hint="eastAsia" w:ascii="仿宋" w:hAnsi="仿宋" w:eastAsia="仿宋" w:cs="仿宋"/>
                <w:kern w:val="0"/>
                <w:sz w:val="21"/>
                <w:szCs w:val="21"/>
                <w:highlight w:val="yellow"/>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精准落地</w:t>
            </w:r>
          </w:p>
        </w:tc>
      </w:tr>
      <w:tr w14:paraId="6550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D085C21">
            <w:pPr>
              <w:widowControl/>
              <w:snapToGrid w:val="0"/>
              <w:jc w:val="center"/>
              <w:rPr>
                <w:rFonts w:ascii="仿宋_GB2312" w:hAnsi="宋体" w:eastAsia="仿宋_GB2312" w:cs="Times New Roman"/>
                <w:kern w:val="0"/>
              </w:rPr>
            </w:pPr>
          </w:p>
        </w:tc>
        <w:tc>
          <w:tcPr>
            <w:tcW w:w="700" w:type="dxa"/>
            <w:vMerge w:val="continue"/>
            <w:vAlign w:val="center"/>
          </w:tcPr>
          <w:p w14:paraId="5087DDAC">
            <w:pPr>
              <w:snapToGrid w:val="0"/>
              <w:jc w:val="center"/>
              <w:rPr>
                <w:rFonts w:hint="eastAsia" w:ascii="仿宋_GB2312" w:hAnsi="宋体" w:eastAsia="仿宋_GB2312" w:cs="仿宋_GB2312"/>
                <w:kern w:val="0"/>
              </w:rPr>
            </w:pPr>
          </w:p>
        </w:tc>
        <w:tc>
          <w:tcPr>
            <w:tcW w:w="1122" w:type="dxa"/>
            <w:vMerge w:val="restart"/>
            <w:vAlign w:val="center"/>
          </w:tcPr>
          <w:p w14:paraId="2D829128">
            <w:pPr>
              <w:widowControl/>
              <w:snapToGrid w:val="0"/>
              <w:jc w:val="center"/>
              <w:rPr>
                <w:rFonts w:hint="eastAsia"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可持续影响指标</w:t>
            </w:r>
          </w:p>
        </w:tc>
        <w:tc>
          <w:tcPr>
            <w:tcW w:w="3284" w:type="dxa"/>
            <w:gridSpan w:val="3"/>
            <w:vAlign w:val="center"/>
          </w:tcPr>
          <w:p w14:paraId="31C6C04F">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一卡通管理</w:t>
            </w:r>
          </w:p>
        </w:tc>
        <w:tc>
          <w:tcPr>
            <w:tcW w:w="1478" w:type="dxa"/>
            <w:vAlign w:val="center"/>
          </w:tcPr>
          <w:p w14:paraId="124104A2">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规范有序</w:t>
            </w:r>
          </w:p>
        </w:tc>
        <w:tc>
          <w:tcPr>
            <w:tcW w:w="1536" w:type="dxa"/>
            <w:vAlign w:val="center"/>
          </w:tcPr>
          <w:p w14:paraId="7B91E81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规范有序</w:t>
            </w:r>
          </w:p>
        </w:tc>
      </w:tr>
      <w:tr w14:paraId="0165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2796192">
            <w:pPr>
              <w:widowControl/>
              <w:snapToGrid w:val="0"/>
              <w:jc w:val="center"/>
              <w:rPr>
                <w:rFonts w:ascii="仿宋_GB2312" w:hAnsi="宋体" w:eastAsia="仿宋_GB2312" w:cs="Times New Roman"/>
                <w:kern w:val="0"/>
              </w:rPr>
            </w:pPr>
          </w:p>
        </w:tc>
        <w:tc>
          <w:tcPr>
            <w:tcW w:w="700" w:type="dxa"/>
            <w:vMerge w:val="continue"/>
            <w:vAlign w:val="center"/>
          </w:tcPr>
          <w:p w14:paraId="33D65F24">
            <w:pPr>
              <w:snapToGrid w:val="0"/>
              <w:jc w:val="center"/>
              <w:rPr>
                <w:rFonts w:hint="eastAsia" w:ascii="仿宋_GB2312" w:hAnsi="宋体" w:eastAsia="仿宋_GB2312" w:cs="仿宋_GB2312"/>
                <w:kern w:val="0"/>
              </w:rPr>
            </w:pPr>
          </w:p>
        </w:tc>
        <w:tc>
          <w:tcPr>
            <w:tcW w:w="1122" w:type="dxa"/>
            <w:vMerge w:val="continue"/>
            <w:vAlign w:val="center"/>
          </w:tcPr>
          <w:p w14:paraId="40DA66E4">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14:paraId="62C9F494">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专项治理成果</w:t>
            </w:r>
          </w:p>
        </w:tc>
        <w:tc>
          <w:tcPr>
            <w:tcW w:w="1478" w:type="dxa"/>
            <w:vAlign w:val="center"/>
          </w:tcPr>
          <w:p w14:paraId="22AD6C90">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得到巩固</w:t>
            </w:r>
          </w:p>
        </w:tc>
        <w:tc>
          <w:tcPr>
            <w:tcW w:w="1536" w:type="dxa"/>
            <w:vAlign w:val="center"/>
          </w:tcPr>
          <w:p w14:paraId="18E9AEA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得到巩固</w:t>
            </w:r>
          </w:p>
        </w:tc>
      </w:tr>
      <w:tr w14:paraId="40E6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80E9698">
            <w:pPr>
              <w:widowControl/>
              <w:snapToGrid w:val="0"/>
              <w:jc w:val="center"/>
              <w:rPr>
                <w:rFonts w:ascii="仿宋_GB2312" w:hAnsi="宋体" w:eastAsia="仿宋_GB2312" w:cs="Times New Roman"/>
                <w:kern w:val="0"/>
              </w:rPr>
            </w:pPr>
          </w:p>
        </w:tc>
        <w:tc>
          <w:tcPr>
            <w:tcW w:w="700" w:type="dxa"/>
            <w:vAlign w:val="center"/>
          </w:tcPr>
          <w:p w14:paraId="31D64AD5">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14:paraId="045F5EF5">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14:paraId="362044AA">
            <w:pPr>
              <w:keepNext w:val="0"/>
              <w:keepLines w:val="0"/>
              <w:widowControl/>
              <w:suppressLineNumbers w:val="0"/>
              <w:jc w:val="left"/>
              <w:textAlignment w:val="center"/>
              <w:rPr>
                <w:rFonts w:hint="eastAsia" w:ascii="仿宋" w:hAnsi="仿宋" w:eastAsia="仿宋" w:cs="仿宋"/>
                <w:kern w:val="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整改单位满意度</w:t>
            </w:r>
          </w:p>
        </w:tc>
        <w:tc>
          <w:tcPr>
            <w:tcW w:w="1478" w:type="dxa"/>
            <w:vAlign w:val="center"/>
          </w:tcPr>
          <w:p w14:paraId="5E1158AD">
            <w:pPr>
              <w:keepNext w:val="0"/>
              <w:keepLines w:val="0"/>
              <w:widowControl/>
              <w:suppressLineNumbers w:val="0"/>
              <w:jc w:val="center"/>
              <w:textAlignment w:val="center"/>
              <w:rPr>
                <w:rFonts w:hint="eastAsia" w:ascii="仿宋" w:hAnsi="仿宋" w:eastAsia="仿宋" w:cs="仿宋"/>
                <w:kern w:val="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≥95%</w:t>
            </w:r>
          </w:p>
        </w:tc>
        <w:tc>
          <w:tcPr>
            <w:tcW w:w="1536" w:type="dxa"/>
            <w:vAlign w:val="center"/>
          </w:tcPr>
          <w:p w14:paraId="5A042340">
            <w:pPr>
              <w:keepNext w:val="0"/>
              <w:keepLines w:val="0"/>
              <w:widowControl/>
              <w:suppressLineNumbers w:val="0"/>
              <w:jc w:val="center"/>
              <w:textAlignment w:val="center"/>
              <w:rPr>
                <w:rFonts w:hint="eastAsia" w:ascii="仿宋" w:hAnsi="仿宋" w:eastAsia="仿宋" w:cs="仿宋"/>
                <w:kern w:val="0"/>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≥95%</w:t>
            </w:r>
          </w:p>
        </w:tc>
      </w:tr>
      <w:tr w14:paraId="3BE6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14:paraId="62B3B135">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0DF59733">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2AD004C8">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14:paraId="4841B12D">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14:paraId="7D58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14:paraId="20D48090">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6416D1AF">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14:paraId="19B858D2">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bl>
    <w:p w14:paraId="189C8F07">
      <w:pPr>
        <w:widowControl/>
        <w:rPr>
          <w:rFonts w:ascii="仿宋_GB2312" w:hAnsi="宋体" w:eastAsia="仿宋_GB2312" w:cs="Times New Roman"/>
          <w:kern w:val="0"/>
        </w:rPr>
      </w:pPr>
      <w:r>
        <w:rPr>
          <w:rFonts w:hint="eastAsia" w:ascii="仿宋_GB2312" w:hAnsi="宋体" w:eastAsia="仿宋_GB2312" w:cs="仿宋_GB2312"/>
          <w:kern w:val="0"/>
        </w:rPr>
        <w:t>备注：</w:t>
      </w:r>
    </w:p>
    <w:p w14:paraId="3CD7FBC0">
      <w:pPr>
        <w:widowControl/>
        <w:ind w:firstLine="64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14:paraId="441DC611">
      <w:pPr>
        <w:widowControl/>
        <w:ind w:firstLine="64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14:paraId="5832F6A9">
      <w:pPr>
        <w:widowControl/>
        <w:ind w:firstLine="64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14:paraId="20405E0B">
      <w:pPr>
        <w:widowControl/>
        <w:ind w:firstLine="640" w:firstLineChars="200"/>
        <w:rPr>
          <w:rFonts w:hint="eastAsia" w:ascii="仿宋_GB2312" w:hAnsi="宋体" w:eastAsia="仿宋_GB2312" w:cs="仿宋_GB2312"/>
          <w:kern w:val="0"/>
          <w:lang w:val="en-US" w:eastAsia="zh-CN"/>
        </w:rPr>
        <w:sectPr>
          <w:pgSz w:w="11906" w:h="16838"/>
          <w:pgMar w:top="1440" w:right="1800" w:bottom="1440" w:left="1800" w:header="851" w:footer="992" w:gutter="0"/>
          <w:cols w:space="425" w:num="1"/>
          <w:docGrid w:type="lines" w:linePitch="312" w:charSpace="0"/>
        </w:sectPr>
      </w:pPr>
    </w:p>
    <w:p w14:paraId="29EC272B">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附件1-8</w:t>
      </w:r>
    </w:p>
    <w:p w14:paraId="1B0A7A40">
      <w:pPr>
        <w:jc w:val="center"/>
        <w:rPr>
          <w:rFonts w:ascii="方正小标宋简体" w:hAnsi="宋体" w:eastAsia="方正小标宋简体" w:cs="Times New Roman"/>
          <w:color w:val="auto"/>
          <w:sz w:val="44"/>
          <w:szCs w:val="44"/>
        </w:rPr>
      </w:pPr>
      <w:r>
        <w:rPr>
          <w:rFonts w:hint="eastAsia" w:ascii="方正小标宋简体" w:hAnsi="宋体" w:eastAsia="方正小标宋简体" w:cs="方正小标宋简体"/>
          <w:color w:val="auto"/>
          <w:sz w:val="44"/>
          <w:szCs w:val="44"/>
          <w:lang w:val="en-US" w:eastAsia="zh-CN"/>
        </w:rPr>
        <w:t>2023</w:t>
      </w:r>
      <w:r>
        <w:rPr>
          <w:rFonts w:hint="eastAsia" w:ascii="方正小标宋简体" w:hAnsi="宋体" w:eastAsia="方正小标宋简体" w:cs="方正小标宋简体"/>
          <w:color w:val="auto"/>
          <w:sz w:val="44"/>
          <w:szCs w:val="44"/>
        </w:rPr>
        <w:t>年度</w:t>
      </w:r>
      <w:r>
        <w:rPr>
          <w:rFonts w:hint="eastAsia" w:ascii="方正小标宋简体" w:hAnsi="宋体" w:eastAsia="方正小标宋简体" w:cs="方正小标宋简体"/>
          <w:color w:val="auto"/>
          <w:sz w:val="44"/>
          <w:szCs w:val="44"/>
          <w:lang w:val="en-US" w:eastAsia="zh-CN"/>
        </w:rPr>
        <w:t>金融“早春行”活动</w:t>
      </w:r>
      <w:r>
        <w:rPr>
          <w:rFonts w:hint="eastAsia" w:ascii="方正小标宋简体" w:hAnsi="宋体" w:eastAsia="方正小标宋简体" w:cs="方正小标宋简体"/>
          <w:color w:val="auto"/>
          <w:sz w:val="44"/>
          <w:szCs w:val="44"/>
        </w:rPr>
        <w:t>项目自评表</w:t>
      </w:r>
    </w:p>
    <w:p w14:paraId="64611508">
      <w:pPr>
        <w:rPr>
          <w:rFonts w:cs="Times New Roman"/>
        </w:rPr>
      </w:pPr>
    </w:p>
    <w:p w14:paraId="5E20C054">
      <w:pPr>
        <w:widowControl/>
        <w:jc w:val="left"/>
        <w:rPr>
          <w:rFonts w:hint="eastAsia" w:ascii="楷体_GB2312" w:hAnsi="仿宋" w:eastAsia="楷体_GB2312" w:cs="楷体_GB2312"/>
          <w:kern w:val="0"/>
          <w:sz w:val="28"/>
          <w:szCs w:val="2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鄂州葛店经济技术开发区财政金融审计局</w:t>
      </w:r>
    </w:p>
    <w:p w14:paraId="33394DFC">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r>
        <w:rPr>
          <w:rFonts w:ascii="楷体_GB2312" w:hAnsi="仿宋" w:eastAsia="楷体_GB2312" w:cs="楷体_GB2312"/>
          <w:kern w:val="0"/>
          <w:sz w:val="28"/>
          <w:szCs w:val="28"/>
        </w:rPr>
        <w:t xml:space="preserve">                </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604"/>
        <w:gridCol w:w="638"/>
        <w:gridCol w:w="1042"/>
        <w:gridCol w:w="1478"/>
        <w:gridCol w:w="1536"/>
      </w:tblGrid>
      <w:tr w14:paraId="46B1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7EA79127">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14:paraId="057A8644">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金融“早春行”活动</w:t>
            </w:r>
          </w:p>
        </w:tc>
      </w:tr>
      <w:tr w14:paraId="4D06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5D765965">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3364" w:type="dxa"/>
            <w:gridSpan w:val="3"/>
            <w:vAlign w:val="center"/>
          </w:tcPr>
          <w:p w14:paraId="79E3CB99">
            <w:pPr>
              <w:widowControl/>
              <w:snapToGrid w:val="0"/>
              <w:jc w:val="left"/>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鄂州葛店经济技术开发区财政金融审计局</w:t>
            </w:r>
          </w:p>
        </w:tc>
        <w:tc>
          <w:tcPr>
            <w:tcW w:w="2520" w:type="dxa"/>
            <w:gridSpan w:val="2"/>
            <w:vAlign w:val="center"/>
          </w:tcPr>
          <w:p w14:paraId="2E430059">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36" w:type="dxa"/>
            <w:vAlign w:val="center"/>
          </w:tcPr>
          <w:p w14:paraId="74CE0BF7">
            <w:pPr>
              <w:widowControl/>
              <w:snapToGrid w:val="0"/>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鄂州葛店经济技术开发区财政金融审计局</w:t>
            </w:r>
          </w:p>
        </w:tc>
      </w:tr>
      <w:tr w14:paraId="29C6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213E3C82">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14:paraId="7525253E">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6948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C10C434">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14:paraId="58946098">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w:t>
            </w:r>
          </w:p>
        </w:tc>
      </w:tr>
      <w:tr w14:paraId="3D12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40D984D5">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14:paraId="6FCFF0F8">
            <w:pPr>
              <w:widowControl/>
              <w:snapToGrid w:val="0"/>
              <w:jc w:val="left"/>
              <w:rPr>
                <w:rFonts w:hint="eastAsia" w:ascii="仿宋_GB2312" w:hAnsi="宋体" w:eastAsia="仿宋_GB2312" w:cs="Times New Roman"/>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14:paraId="40BE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09677C46">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14:paraId="292C542E">
            <w:pPr>
              <w:widowControl/>
              <w:snapToGrid w:val="0"/>
              <w:jc w:val="center"/>
              <w:rPr>
                <w:rFonts w:ascii="仿宋_GB2312" w:hAnsi="宋体" w:eastAsia="仿宋_GB2312" w:cs="Times New Roman"/>
                <w:kern w:val="0"/>
              </w:rPr>
            </w:pPr>
          </w:p>
        </w:tc>
        <w:tc>
          <w:tcPr>
            <w:tcW w:w="1604" w:type="dxa"/>
            <w:vAlign w:val="center"/>
          </w:tcPr>
          <w:p w14:paraId="2B0587A6">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gridSpan w:val="2"/>
            <w:vAlign w:val="center"/>
          </w:tcPr>
          <w:p w14:paraId="6F1849D3">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14:paraId="56750357">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14:paraId="224C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013D368C">
            <w:pPr>
              <w:widowControl/>
              <w:snapToGrid w:val="0"/>
              <w:jc w:val="center"/>
              <w:rPr>
                <w:rFonts w:ascii="仿宋_GB2312" w:hAnsi="宋体" w:eastAsia="仿宋_GB2312" w:cs="Times New Roman"/>
                <w:kern w:val="0"/>
              </w:rPr>
            </w:pPr>
          </w:p>
        </w:tc>
        <w:tc>
          <w:tcPr>
            <w:tcW w:w="1122" w:type="dxa"/>
            <w:vAlign w:val="center"/>
          </w:tcPr>
          <w:p w14:paraId="47E70624">
            <w:pPr>
              <w:widowControl/>
              <w:snapToGrid w:val="0"/>
              <w:jc w:val="center"/>
              <w:rPr>
                <w:rFonts w:ascii="仿宋_GB2312" w:hAnsi="宋体" w:eastAsia="仿宋_GB2312" w:cs="Times New Roman"/>
                <w:color w:val="auto"/>
                <w:kern w:val="0"/>
              </w:rPr>
            </w:pPr>
            <w:r>
              <w:rPr>
                <w:rFonts w:hint="eastAsia" w:ascii="仿宋_GB2312" w:hAnsi="宋体" w:eastAsia="仿宋_GB2312" w:cs="仿宋_GB2312"/>
                <w:color w:val="auto"/>
                <w:kern w:val="0"/>
              </w:rPr>
              <w:t>年度财政资金总额</w:t>
            </w:r>
          </w:p>
        </w:tc>
        <w:tc>
          <w:tcPr>
            <w:tcW w:w="1604" w:type="dxa"/>
            <w:vAlign w:val="center"/>
          </w:tcPr>
          <w:p w14:paraId="7D6AF902">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32.20</w:t>
            </w:r>
          </w:p>
        </w:tc>
        <w:tc>
          <w:tcPr>
            <w:tcW w:w="1680" w:type="dxa"/>
            <w:gridSpan w:val="2"/>
            <w:vAlign w:val="center"/>
          </w:tcPr>
          <w:p w14:paraId="23012B57">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32.20</w:t>
            </w:r>
          </w:p>
        </w:tc>
        <w:tc>
          <w:tcPr>
            <w:tcW w:w="3014" w:type="dxa"/>
            <w:gridSpan w:val="2"/>
            <w:vAlign w:val="center"/>
          </w:tcPr>
          <w:p w14:paraId="13C8CD9E">
            <w:pPr>
              <w:widowControl/>
              <w:snapToGrid w:val="0"/>
              <w:jc w:val="center"/>
              <w:rPr>
                <w:rFonts w:hint="default" w:ascii="仿宋_GB2312" w:hAnsi="宋体" w:eastAsia="仿宋_GB2312" w:cs="Times New Roman"/>
                <w:color w:val="auto"/>
                <w:kern w:val="0"/>
                <w:lang w:val="en-US" w:eastAsia="zh-CN"/>
              </w:rPr>
            </w:pPr>
            <w:r>
              <w:rPr>
                <w:rFonts w:hint="eastAsia" w:ascii="仿宋_GB2312" w:hAnsi="宋体" w:eastAsia="仿宋_GB2312" w:cs="Times New Roman"/>
                <w:color w:val="auto"/>
                <w:kern w:val="0"/>
                <w:lang w:val="en-US" w:eastAsia="zh-CN"/>
              </w:rPr>
              <w:t>100%</w:t>
            </w:r>
          </w:p>
        </w:tc>
      </w:tr>
      <w:tr w14:paraId="6046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3CD88A8E">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14:paraId="005CBA4B">
            <w:pPr>
              <w:widowControl/>
              <w:snapToGrid w:val="0"/>
              <w:jc w:val="center"/>
              <w:rPr>
                <w:rFonts w:ascii="仿宋_GB2312" w:hAnsi="宋体" w:eastAsia="仿宋_GB2312" w:cs="Times New Roman"/>
                <w:kern w:val="0"/>
              </w:rPr>
            </w:pPr>
          </w:p>
        </w:tc>
        <w:tc>
          <w:tcPr>
            <w:tcW w:w="700" w:type="dxa"/>
            <w:vAlign w:val="center"/>
          </w:tcPr>
          <w:p w14:paraId="25895750">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14:paraId="5476B05D">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14:paraId="1E929D6E">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78" w:type="dxa"/>
            <w:vAlign w:val="center"/>
          </w:tcPr>
          <w:p w14:paraId="5B869599">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36" w:type="dxa"/>
            <w:vAlign w:val="center"/>
          </w:tcPr>
          <w:p w14:paraId="54D67727">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51F4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3792FF7">
            <w:pPr>
              <w:snapToGrid w:val="0"/>
              <w:jc w:val="center"/>
              <w:rPr>
                <w:rFonts w:ascii="仿宋_GB2312" w:hAnsi="宋体" w:eastAsia="仿宋_GB2312" w:cs="Times New Roman"/>
                <w:kern w:val="0"/>
              </w:rPr>
            </w:pPr>
          </w:p>
        </w:tc>
        <w:tc>
          <w:tcPr>
            <w:tcW w:w="700" w:type="dxa"/>
            <w:vMerge w:val="restart"/>
            <w:vAlign w:val="center"/>
          </w:tcPr>
          <w:p w14:paraId="62535E8B">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14:paraId="1930B054">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14:paraId="40F9D665">
            <w:pPr>
              <w:keepNext w:val="0"/>
              <w:keepLines w:val="0"/>
              <w:widowControl/>
              <w:suppressLineNumbers w:val="0"/>
              <w:jc w:val="left"/>
              <w:textAlignment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举办活动次数</w:t>
            </w:r>
          </w:p>
        </w:tc>
        <w:tc>
          <w:tcPr>
            <w:tcW w:w="1478" w:type="dxa"/>
            <w:vAlign w:val="center"/>
          </w:tcPr>
          <w:p w14:paraId="335985FE">
            <w:pPr>
              <w:keepNext w:val="0"/>
              <w:keepLines w:val="0"/>
              <w:widowControl/>
              <w:suppressLineNumbers w:val="0"/>
              <w:jc w:val="center"/>
              <w:textAlignment w:val="center"/>
              <w:rPr>
                <w:rFonts w:hint="default" w:ascii="仿宋" w:hAnsi="仿宋" w:eastAsia="仿宋" w:cs="仿宋"/>
                <w:kern w:val="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≥1次</w:t>
            </w:r>
          </w:p>
        </w:tc>
        <w:tc>
          <w:tcPr>
            <w:tcW w:w="1536" w:type="dxa"/>
            <w:vAlign w:val="center"/>
          </w:tcPr>
          <w:p w14:paraId="18C19194">
            <w:pPr>
              <w:widowControl/>
              <w:snapToGrid w:val="0"/>
              <w:jc w:val="center"/>
              <w:rPr>
                <w:rFonts w:hint="default" w:ascii="仿宋_GB2312" w:hAnsi="宋体" w:eastAsia="仿宋_GB2312" w:cs="Times New Roman"/>
                <w:kern w:val="0"/>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1次</w:t>
            </w:r>
          </w:p>
        </w:tc>
      </w:tr>
      <w:tr w14:paraId="3036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49D4626">
            <w:pPr>
              <w:snapToGrid w:val="0"/>
              <w:jc w:val="center"/>
              <w:rPr>
                <w:rFonts w:ascii="仿宋_GB2312" w:hAnsi="宋体" w:eastAsia="仿宋_GB2312" w:cs="Times New Roman"/>
                <w:kern w:val="0"/>
              </w:rPr>
            </w:pPr>
          </w:p>
        </w:tc>
        <w:tc>
          <w:tcPr>
            <w:tcW w:w="700" w:type="dxa"/>
            <w:vMerge w:val="continue"/>
            <w:vAlign w:val="center"/>
          </w:tcPr>
          <w:p w14:paraId="5435F52D">
            <w:pPr>
              <w:snapToGrid w:val="0"/>
              <w:jc w:val="center"/>
              <w:rPr>
                <w:rFonts w:hint="eastAsia" w:ascii="仿宋_GB2312" w:hAnsi="宋体" w:eastAsia="仿宋_GB2312" w:cs="仿宋_GB2312"/>
                <w:kern w:val="0"/>
              </w:rPr>
            </w:pPr>
          </w:p>
        </w:tc>
        <w:tc>
          <w:tcPr>
            <w:tcW w:w="1122" w:type="dxa"/>
            <w:vMerge w:val="continue"/>
            <w:vAlign w:val="center"/>
          </w:tcPr>
          <w:p w14:paraId="3E04B3F5">
            <w:pPr>
              <w:widowControl/>
              <w:snapToGrid w:val="0"/>
              <w:jc w:val="center"/>
              <w:rPr>
                <w:rFonts w:hint="eastAsia" w:ascii="仿宋_GB2312" w:hAnsi="宋体" w:eastAsia="仿宋_GB2312" w:cs="仿宋_GB2312"/>
                <w:kern w:val="0"/>
                <w:lang w:val="en-US" w:eastAsia="zh-CN"/>
              </w:rPr>
            </w:pPr>
          </w:p>
        </w:tc>
        <w:tc>
          <w:tcPr>
            <w:tcW w:w="3284" w:type="dxa"/>
            <w:gridSpan w:val="3"/>
            <w:vAlign w:val="center"/>
          </w:tcPr>
          <w:p w14:paraId="3FBFC334">
            <w:pPr>
              <w:keepNext w:val="0"/>
              <w:keepLines w:val="0"/>
              <w:widowControl/>
              <w:suppressLineNumbers w:val="0"/>
              <w:jc w:val="left"/>
              <w:textAlignment w:val="center"/>
              <w:rPr>
                <w:rFonts w:hint="default"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举办活动天数</w:t>
            </w:r>
          </w:p>
        </w:tc>
        <w:tc>
          <w:tcPr>
            <w:tcW w:w="1478" w:type="dxa"/>
            <w:vAlign w:val="center"/>
          </w:tcPr>
          <w:p w14:paraId="3073618E">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≥1天</w:t>
            </w:r>
          </w:p>
        </w:tc>
        <w:tc>
          <w:tcPr>
            <w:tcW w:w="1536" w:type="dxa"/>
            <w:vAlign w:val="center"/>
          </w:tcPr>
          <w:p w14:paraId="7A37C09B">
            <w:pPr>
              <w:widowControl/>
              <w:snapToGrid w:val="0"/>
              <w:jc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1天</w:t>
            </w:r>
          </w:p>
        </w:tc>
      </w:tr>
      <w:tr w14:paraId="3553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1D235BB">
            <w:pPr>
              <w:snapToGrid w:val="0"/>
              <w:jc w:val="center"/>
              <w:rPr>
                <w:rFonts w:ascii="仿宋_GB2312" w:hAnsi="宋体" w:eastAsia="仿宋_GB2312" w:cs="Times New Roman"/>
                <w:kern w:val="0"/>
              </w:rPr>
            </w:pPr>
          </w:p>
        </w:tc>
        <w:tc>
          <w:tcPr>
            <w:tcW w:w="700" w:type="dxa"/>
            <w:vMerge w:val="continue"/>
            <w:vAlign w:val="center"/>
          </w:tcPr>
          <w:p w14:paraId="04F58089">
            <w:pPr>
              <w:snapToGrid w:val="0"/>
              <w:jc w:val="center"/>
              <w:rPr>
                <w:rFonts w:hint="eastAsia" w:ascii="仿宋_GB2312" w:hAnsi="宋体" w:eastAsia="仿宋_GB2312" w:cs="仿宋_GB2312"/>
                <w:kern w:val="0"/>
              </w:rPr>
            </w:pPr>
          </w:p>
        </w:tc>
        <w:tc>
          <w:tcPr>
            <w:tcW w:w="1122" w:type="dxa"/>
            <w:vMerge w:val="restart"/>
            <w:vAlign w:val="center"/>
          </w:tcPr>
          <w:p w14:paraId="2A1FEA5A">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质量指标</w:t>
            </w:r>
          </w:p>
        </w:tc>
        <w:tc>
          <w:tcPr>
            <w:tcW w:w="3284" w:type="dxa"/>
            <w:gridSpan w:val="3"/>
            <w:vAlign w:val="center"/>
          </w:tcPr>
          <w:p w14:paraId="2A53FF26">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活动人员参与率</w:t>
            </w:r>
          </w:p>
        </w:tc>
        <w:tc>
          <w:tcPr>
            <w:tcW w:w="1478" w:type="dxa"/>
            <w:vAlign w:val="center"/>
          </w:tcPr>
          <w:p w14:paraId="5DB0F7B4">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1536" w:type="dxa"/>
            <w:vAlign w:val="center"/>
          </w:tcPr>
          <w:p w14:paraId="1050F6D5">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r>
      <w:tr w14:paraId="42BA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3F3D9CF">
            <w:pPr>
              <w:snapToGrid w:val="0"/>
              <w:jc w:val="center"/>
              <w:rPr>
                <w:rFonts w:ascii="仿宋_GB2312" w:hAnsi="宋体" w:eastAsia="仿宋_GB2312" w:cs="Times New Roman"/>
                <w:kern w:val="0"/>
              </w:rPr>
            </w:pPr>
          </w:p>
        </w:tc>
        <w:tc>
          <w:tcPr>
            <w:tcW w:w="700" w:type="dxa"/>
            <w:vMerge w:val="continue"/>
            <w:vAlign w:val="center"/>
          </w:tcPr>
          <w:p w14:paraId="5A6D053B">
            <w:pPr>
              <w:snapToGrid w:val="0"/>
              <w:jc w:val="center"/>
              <w:rPr>
                <w:rFonts w:hint="eastAsia" w:ascii="仿宋_GB2312" w:hAnsi="宋体" w:eastAsia="仿宋_GB2312" w:cs="仿宋_GB2312"/>
                <w:kern w:val="0"/>
              </w:rPr>
            </w:pPr>
          </w:p>
        </w:tc>
        <w:tc>
          <w:tcPr>
            <w:tcW w:w="1122" w:type="dxa"/>
            <w:vMerge w:val="continue"/>
            <w:vAlign w:val="center"/>
          </w:tcPr>
          <w:p w14:paraId="6EEBBA17">
            <w:pPr>
              <w:widowControl/>
              <w:snapToGrid w:val="0"/>
              <w:jc w:val="center"/>
              <w:rPr>
                <w:rFonts w:hint="eastAsia" w:ascii="仿宋_GB2312" w:hAnsi="宋体" w:eastAsia="仿宋_GB2312" w:cs="Times New Roman"/>
                <w:kern w:val="0"/>
                <w:lang w:val="en-US" w:eastAsia="zh-CN"/>
              </w:rPr>
            </w:pPr>
          </w:p>
        </w:tc>
        <w:tc>
          <w:tcPr>
            <w:tcW w:w="3284" w:type="dxa"/>
            <w:gridSpan w:val="3"/>
            <w:vAlign w:val="center"/>
          </w:tcPr>
          <w:p w14:paraId="25FA5703">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活动安全保障率</w:t>
            </w:r>
          </w:p>
        </w:tc>
        <w:tc>
          <w:tcPr>
            <w:tcW w:w="1478" w:type="dxa"/>
            <w:vAlign w:val="center"/>
          </w:tcPr>
          <w:p w14:paraId="30689D2C">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c>
          <w:tcPr>
            <w:tcW w:w="1536" w:type="dxa"/>
            <w:vAlign w:val="center"/>
          </w:tcPr>
          <w:p w14:paraId="335C40E7">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100%</w:t>
            </w:r>
          </w:p>
        </w:tc>
      </w:tr>
      <w:tr w14:paraId="524C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28" w:type="dxa"/>
            <w:vMerge w:val="continue"/>
            <w:vAlign w:val="center"/>
          </w:tcPr>
          <w:p w14:paraId="415DA75D">
            <w:pPr>
              <w:snapToGrid w:val="0"/>
              <w:jc w:val="center"/>
              <w:rPr>
                <w:rFonts w:ascii="仿宋_GB2312" w:hAnsi="宋体" w:eastAsia="仿宋_GB2312" w:cs="Times New Roman"/>
                <w:kern w:val="0"/>
              </w:rPr>
            </w:pPr>
          </w:p>
        </w:tc>
        <w:tc>
          <w:tcPr>
            <w:tcW w:w="700" w:type="dxa"/>
            <w:vMerge w:val="continue"/>
            <w:vAlign w:val="center"/>
          </w:tcPr>
          <w:p w14:paraId="30824416">
            <w:pPr>
              <w:widowControl/>
              <w:snapToGrid w:val="0"/>
              <w:jc w:val="center"/>
              <w:rPr>
                <w:rFonts w:ascii="仿宋_GB2312" w:hAnsi="宋体" w:eastAsia="仿宋_GB2312" w:cs="Times New Roman"/>
                <w:kern w:val="0"/>
              </w:rPr>
            </w:pPr>
          </w:p>
        </w:tc>
        <w:tc>
          <w:tcPr>
            <w:tcW w:w="1122" w:type="dxa"/>
            <w:vAlign w:val="center"/>
          </w:tcPr>
          <w:p w14:paraId="3A29C217">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成本指标</w:t>
            </w:r>
          </w:p>
        </w:tc>
        <w:tc>
          <w:tcPr>
            <w:tcW w:w="3284" w:type="dxa"/>
            <w:gridSpan w:val="3"/>
            <w:vAlign w:val="center"/>
          </w:tcPr>
          <w:p w14:paraId="6FB80B96">
            <w:pPr>
              <w:keepNext w:val="0"/>
              <w:keepLines w:val="0"/>
              <w:widowControl/>
              <w:suppressLineNumbers w:val="0"/>
              <w:jc w:val="left"/>
              <w:textAlignment w:val="center"/>
              <w:rPr>
                <w:rFonts w:hint="default" w:ascii="仿宋" w:hAnsi="仿宋" w:eastAsia="仿宋" w:cs="仿宋"/>
                <w:i w:val="0"/>
                <w:iCs w:val="0"/>
                <w:color w:val="000000"/>
                <w:kern w:val="2"/>
                <w:sz w:val="21"/>
                <w:szCs w:val="21"/>
                <w:highlight w:val="yellow"/>
                <w:u w:val="none"/>
                <w:lang w:val="en-US" w:eastAsia="zh-CN" w:bidi="ar-SA"/>
              </w:rPr>
            </w:pPr>
            <w:r>
              <w:rPr>
                <w:rFonts w:hint="eastAsia" w:ascii="仿宋" w:hAnsi="仿宋" w:eastAsia="仿宋" w:cs="仿宋"/>
                <w:i w:val="0"/>
                <w:iCs w:val="0"/>
                <w:color w:val="000000"/>
                <w:kern w:val="2"/>
                <w:sz w:val="21"/>
                <w:szCs w:val="21"/>
                <w:highlight w:val="none"/>
                <w:u w:val="none"/>
                <w:shd w:val="clear"/>
                <w:lang w:val="en-US" w:eastAsia="zh-CN" w:bidi="ar-SA"/>
              </w:rPr>
              <w:t>预算成本控制数</w:t>
            </w:r>
          </w:p>
        </w:tc>
        <w:tc>
          <w:tcPr>
            <w:tcW w:w="1478" w:type="dxa"/>
            <w:vAlign w:val="center"/>
          </w:tcPr>
          <w:p w14:paraId="09806FB5">
            <w:pPr>
              <w:keepNext w:val="0"/>
              <w:keepLines w:val="0"/>
              <w:widowControl/>
              <w:suppressLineNumbers w:val="0"/>
              <w:jc w:val="center"/>
              <w:textAlignment w:val="center"/>
              <w:rPr>
                <w:rFonts w:hint="default" w:ascii="仿宋" w:hAnsi="仿宋" w:eastAsia="仿宋" w:cs="仿宋"/>
                <w:kern w:val="0"/>
                <w:sz w:val="21"/>
                <w:szCs w:val="21"/>
                <w:highlight w:val="none"/>
                <w:lang w:val="en-US" w:eastAsia="zh-CN"/>
              </w:rPr>
            </w:pPr>
            <w:r>
              <w:rPr>
                <w:rFonts w:hint="eastAsia" w:ascii="仿宋" w:hAnsi="仿宋" w:eastAsia="仿宋" w:cs="仿宋"/>
                <w:i w:val="0"/>
                <w:iCs w:val="0"/>
                <w:color w:val="000000"/>
                <w:kern w:val="0"/>
                <w:sz w:val="21"/>
                <w:szCs w:val="21"/>
                <w:highlight w:val="none"/>
                <w:u w:val="none"/>
                <w:lang w:val="en-US" w:eastAsia="zh-CN" w:bidi="ar"/>
              </w:rPr>
              <w:t>≦32.20万元</w:t>
            </w:r>
          </w:p>
        </w:tc>
        <w:tc>
          <w:tcPr>
            <w:tcW w:w="1536" w:type="dxa"/>
            <w:vAlign w:val="center"/>
          </w:tcPr>
          <w:p w14:paraId="4A9BB6E0">
            <w:pPr>
              <w:widowControl/>
              <w:snapToGrid w:val="0"/>
              <w:jc w:val="center"/>
              <w:rPr>
                <w:rFonts w:hint="default" w:ascii="仿宋_GB2312" w:hAnsi="宋体" w:eastAsia="仿宋_GB2312" w:cs="Times New Roman"/>
                <w:kern w:val="0"/>
                <w:highlight w:val="none"/>
                <w:lang w:val="en-US" w:eastAsia="zh-CN"/>
              </w:rPr>
            </w:pPr>
            <w:r>
              <w:rPr>
                <w:rFonts w:hint="eastAsia" w:ascii="仿宋_GB2312" w:hAnsi="宋体" w:eastAsia="仿宋_GB2312" w:cs="Times New Roman"/>
                <w:kern w:val="0"/>
                <w:highlight w:val="none"/>
                <w:lang w:val="en-US" w:eastAsia="zh-CN"/>
              </w:rPr>
              <w:t>32.20万元</w:t>
            </w:r>
          </w:p>
        </w:tc>
      </w:tr>
      <w:tr w14:paraId="18CA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28" w:type="dxa"/>
            <w:vMerge w:val="continue"/>
            <w:vAlign w:val="center"/>
          </w:tcPr>
          <w:p w14:paraId="1C7BA3FD">
            <w:pPr>
              <w:snapToGrid w:val="0"/>
              <w:jc w:val="center"/>
              <w:rPr>
                <w:rFonts w:ascii="仿宋_GB2312" w:hAnsi="宋体" w:eastAsia="仿宋_GB2312" w:cs="Times New Roman"/>
                <w:kern w:val="0"/>
              </w:rPr>
            </w:pPr>
          </w:p>
        </w:tc>
        <w:tc>
          <w:tcPr>
            <w:tcW w:w="700" w:type="dxa"/>
            <w:vMerge w:val="continue"/>
            <w:vAlign w:val="center"/>
          </w:tcPr>
          <w:p w14:paraId="79563622">
            <w:pPr>
              <w:widowControl/>
              <w:snapToGrid w:val="0"/>
              <w:jc w:val="center"/>
              <w:rPr>
                <w:rFonts w:ascii="仿宋_GB2312" w:hAnsi="宋体" w:eastAsia="仿宋_GB2312" w:cs="Times New Roman"/>
                <w:kern w:val="0"/>
              </w:rPr>
            </w:pPr>
          </w:p>
        </w:tc>
        <w:tc>
          <w:tcPr>
            <w:tcW w:w="1122" w:type="dxa"/>
            <w:vAlign w:val="center"/>
          </w:tcPr>
          <w:p w14:paraId="44865DB7">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时效指标</w:t>
            </w:r>
          </w:p>
        </w:tc>
        <w:tc>
          <w:tcPr>
            <w:tcW w:w="3284" w:type="dxa"/>
            <w:gridSpan w:val="3"/>
            <w:vAlign w:val="center"/>
          </w:tcPr>
          <w:p w14:paraId="3775C793">
            <w:pPr>
              <w:keepNext w:val="0"/>
              <w:keepLines w:val="0"/>
              <w:widowControl/>
              <w:suppressLineNumbers w:val="0"/>
              <w:jc w:val="left"/>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活动举办时间</w:t>
            </w:r>
          </w:p>
        </w:tc>
        <w:tc>
          <w:tcPr>
            <w:tcW w:w="1478" w:type="dxa"/>
            <w:vAlign w:val="center"/>
          </w:tcPr>
          <w:p w14:paraId="72AE94AA">
            <w:pPr>
              <w:keepNext w:val="0"/>
              <w:keepLines w:val="0"/>
              <w:widowControl/>
              <w:suppressLineNumbers w:val="0"/>
              <w:jc w:val="center"/>
              <w:textAlignment w:val="center"/>
              <w:rPr>
                <w:rFonts w:hint="default" w:ascii="仿宋" w:hAnsi="仿宋" w:eastAsia="仿宋" w:cs="仿宋"/>
                <w:kern w:val="0"/>
                <w:sz w:val="21"/>
                <w:szCs w:val="21"/>
                <w:highlight w:val="yellow"/>
                <w:lang w:val="en-US" w:eastAsia="zh-CN"/>
              </w:rPr>
            </w:pPr>
            <w:r>
              <w:rPr>
                <w:rFonts w:hint="eastAsia" w:ascii="仿宋" w:hAnsi="仿宋" w:eastAsia="仿宋" w:cs="仿宋"/>
                <w:kern w:val="0"/>
                <w:sz w:val="21"/>
                <w:szCs w:val="21"/>
                <w:highlight w:val="none"/>
                <w:lang w:val="en-US" w:eastAsia="zh-CN"/>
              </w:rPr>
              <w:t>3月底之前</w:t>
            </w:r>
          </w:p>
        </w:tc>
        <w:tc>
          <w:tcPr>
            <w:tcW w:w="1536" w:type="dxa"/>
            <w:vAlign w:val="center"/>
          </w:tcPr>
          <w:p w14:paraId="08BE2636">
            <w:pPr>
              <w:widowControl/>
              <w:snapToGrid w:val="0"/>
              <w:jc w:val="center"/>
              <w:rPr>
                <w:rFonts w:hint="default" w:ascii="仿宋_GB2312" w:hAnsi="宋体" w:eastAsia="仿宋_GB2312" w:cs="Times New Roman"/>
                <w:kern w:val="0"/>
                <w:highlight w:val="yellow"/>
                <w:lang w:val="en-US" w:eastAsia="zh-CN"/>
              </w:rPr>
            </w:pPr>
            <w:r>
              <w:rPr>
                <w:rFonts w:hint="eastAsia" w:ascii="仿宋_GB2312" w:hAnsi="宋体" w:eastAsia="仿宋_GB2312" w:cs="Times New Roman"/>
                <w:kern w:val="0"/>
                <w:highlight w:val="none"/>
                <w:lang w:val="en-US" w:eastAsia="zh-CN"/>
              </w:rPr>
              <w:t>2月3日</w:t>
            </w:r>
          </w:p>
        </w:tc>
      </w:tr>
      <w:tr w14:paraId="7D06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0DB9684E">
            <w:pPr>
              <w:widowControl/>
              <w:snapToGrid w:val="0"/>
              <w:jc w:val="center"/>
              <w:rPr>
                <w:rFonts w:ascii="仿宋_GB2312" w:hAnsi="宋体" w:eastAsia="仿宋_GB2312" w:cs="Times New Roman"/>
                <w:kern w:val="0"/>
              </w:rPr>
            </w:pPr>
          </w:p>
        </w:tc>
        <w:tc>
          <w:tcPr>
            <w:tcW w:w="700" w:type="dxa"/>
            <w:vMerge w:val="restart"/>
            <w:vAlign w:val="center"/>
          </w:tcPr>
          <w:p w14:paraId="4D49ECF4">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14:paraId="4EA8E7B6">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经济效益指标</w:t>
            </w:r>
          </w:p>
        </w:tc>
        <w:tc>
          <w:tcPr>
            <w:tcW w:w="3284" w:type="dxa"/>
            <w:gridSpan w:val="3"/>
            <w:vAlign w:val="center"/>
          </w:tcPr>
          <w:p w14:paraId="37931EBE">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经济发展</w:t>
            </w:r>
          </w:p>
        </w:tc>
        <w:tc>
          <w:tcPr>
            <w:tcW w:w="1478" w:type="dxa"/>
            <w:vAlign w:val="center"/>
          </w:tcPr>
          <w:p w14:paraId="73EA5BBC">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得到促进</w:t>
            </w:r>
          </w:p>
        </w:tc>
        <w:tc>
          <w:tcPr>
            <w:tcW w:w="1536" w:type="dxa"/>
            <w:vAlign w:val="center"/>
          </w:tcPr>
          <w:p w14:paraId="1E6CE646">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yellow"/>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得到促进</w:t>
            </w:r>
          </w:p>
        </w:tc>
      </w:tr>
      <w:tr w14:paraId="0355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25406B2E">
            <w:pPr>
              <w:widowControl/>
              <w:snapToGrid w:val="0"/>
              <w:jc w:val="center"/>
              <w:rPr>
                <w:rFonts w:ascii="仿宋_GB2312" w:hAnsi="宋体" w:eastAsia="仿宋_GB2312" w:cs="Times New Roman"/>
                <w:kern w:val="0"/>
              </w:rPr>
            </w:pPr>
          </w:p>
        </w:tc>
        <w:tc>
          <w:tcPr>
            <w:tcW w:w="700" w:type="dxa"/>
            <w:vMerge w:val="continue"/>
            <w:vAlign w:val="center"/>
          </w:tcPr>
          <w:p w14:paraId="17AE4AFF">
            <w:pPr>
              <w:snapToGrid w:val="0"/>
              <w:jc w:val="center"/>
              <w:rPr>
                <w:rFonts w:ascii="仿宋_GB2312" w:hAnsi="宋体" w:eastAsia="仿宋_GB2312" w:cs="Times New Roman"/>
                <w:kern w:val="0"/>
              </w:rPr>
            </w:pPr>
          </w:p>
        </w:tc>
        <w:tc>
          <w:tcPr>
            <w:tcW w:w="1122" w:type="dxa"/>
            <w:vAlign w:val="center"/>
          </w:tcPr>
          <w:p w14:paraId="044E08AD">
            <w:pPr>
              <w:widowControl/>
              <w:snapToGrid w:val="0"/>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社会效益指标</w:t>
            </w:r>
          </w:p>
        </w:tc>
        <w:tc>
          <w:tcPr>
            <w:tcW w:w="3284" w:type="dxa"/>
            <w:gridSpan w:val="3"/>
            <w:vAlign w:val="center"/>
          </w:tcPr>
          <w:p w14:paraId="4FE3823D">
            <w:pPr>
              <w:keepNext w:val="0"/>
              <w:keepLines w:val="0"/>
              <w:widowControl/>
              <w:suppressLineNumbers w:val="0"/>
              <w:jc w:val="left"/>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人员就业</w:t>
            </w:r>
          </w:p>
        </w:tc>
        <w:tc>
          <w:tcPr>
            <w:tcW w:w="1478" w:type="dxa"/>
            <w:vAlign w:val="center"/>
          </w:tcPr>
          <w:p w14:paraId="28FF6DEC">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促进</w:t>
            </w:r>
          </w:p>
        </w:tc>
        <w:tc>
          <w:tcPr>
            <w:tcW w:w="1536" w:type="dxa"/>
            <w:vAlign w:val="center"/>
          </w:tcPr>
          <w:p w14:paraId="2F353BE4">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促进</w:t>
            </w:r>
          </w:p>
        </w:tc>
      </w:tr>
      <w:tr w14:paraId="45F5A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165D2EB">
            <w:pPr>
              <w:widowControl/>
              <w:snapToGrid w:val="0"/>
              <w:jc w:val="center"/>
              <w:rPr>
                <w:rFonts w:ascii="仿宋_GB2312" w:hAnsi="宋体" w:eastAsia="仿宋_GB2312" w:cs="Times New Roman"/>
                <w:kern w:val="0"/>
              </w:rPr>
            </w:pPr>
          </w:p>
        </w:tc>
        <w:tc>
          <w:tcPr>
            <w:tcW w:w="700" w:type="dxa"/>
            <w:vMerge w:val="continue"/>
            <w:vAlign w:val="center"/>
          </w:tcPr>
          <w:p w14:paraId="5BA99113">
            <w:pPr>
              <w:snapToGrid w:val="0"/>
              <w:jc w:val="center"/>
              <w:rPr>
                <w:rFonts w:ascii="仿宋_GB2312" w:hAnsi="宋体" w:eastAsia="仿宋_GB2312" w:cs="Times New Roman"/>
                <w:kern w:val="0"/>
              </w:rPr>
            </w:pPr>
          </w:p>
        </w:tc>
        <w:tc>
          <w:tcPr>
            <w:tcW w:w="1122" w:type="dxa"/>
            <w:vAlign w:val="center"/>
          </w:tcPr>
          <w:p w14:paraId="76E8D521">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可持续影响指标</w:t>
            </w:r>
          </w:p>
        </w:tc>
        <w:tc>
          <w:tcPr>
            <w:tcW w:w="3284" w:type="dxa"/>
            <w:gridSpan w:val="3"/>
            <w:vAlign w:val="center"/>
          </w:tcPr>
          <w:p w14:paraId="0AACC536">
            <w:pPr>
              <w:keepNext w:val="0"/>
              <w:keepLines w:val="0"/>
              <w:widowControl/>
              <w:suppressLineNumbers w:val="0"/>
              <w:jc w:val="left"/>
              <w:textAlignment w:val="center"/>
              <w:rPr>
                <w:rFonts w:hint="default"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2"/>
                <w:sz w:val="21"/>
                <w:szCs w:val="21"/>
                <w:highlight w:val="none"/>
                <w:u w:val="none"/>
                <w:lang w:val="en-US" w:eastAsia="zh-CN" w:bidi="ar-SA"/>
              </w:rPr>
              <w:t>当地企业发展</w:t>
            </w:r>
          </w:p>
        </w:tc>
        <w:tc>
          <w:tcPr>
            <w:tcW w:w="1478" w:type="dxa"/>
            <w:vAlign w:val="center"/>
          </w:tcPr>
          <w:p w14:paraId="07600B15">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得到支持</w:t>
            </w:r>
          </w:p>
        </w:tc>
        <w:tc>
          <w:tcPr>
            <w:tcW w:w="1536" w:type="dxa"/>
            <w:vAlign w:val="center"/>
          </w:tcPr>
          <w:p w14:paraId="3B138F8B">
            <w:pPr>
              <w:keepNext w:val="0"/>
              <w:keepLines w:val="0"/>
              <w:widowControl/>
              <w:suppressLineNumbers w:val="0"/>
              <w:jc w:val="center"/>
              <w:textAlignment w:val="center"/>
              <w:rPr>
                <w:rFonts w:hint="default"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得到支持</w:t>
            </w:r>
          </w:p>
        </w:tc>
      </w:tr>
      <w:tr w14:paraId="0FAF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A33DF99">
            <w:pPr>
              <w:widowControl/>
              <w:snapToGrid w:val="0"/>
              <w:jc w:val="center"/>
              <w:rPr>
                <w:rFonts w:ascii="仿宋_GB2312" w:hAnsi="宋体" w:eastAsia="仿宋_GB2312" w:cs="Times New Roman"/>
                <w:kern w:val="0"/>
              </w:rPr>
            </w:pPr>
          </w:p>
        </w:tc>
        <w:tc>
          <w:tcPr>
            <w:tcW w:w="700" w:type="dxa"/>
            <w:vAlign w:val="center"/>
          </w:tcPr>
          <w:p w14:paraId="1DA93E4E">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14:paraId="37452AD5">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满意度指标</w:t>
            </w:r>
          </w:p>
        </w:tc>
        <w:tc>
          <w:tcPr>
            <w:tcW w:w="3284" w:type="dxa"/>
            <w:gridSpan w:val="3"/>
            <w:vAlign w:val="center"/>
          </w:tcPr>
          <w:p w14:paraId="7B01A5BC">
            <w:pPr>
              <w:keepNext w:val="0"/>
              <w:keepLines w:val="0"/>
              <w:widowControl/>
              <w:suppressLineNumbers w:val="0"/>
              <w:jc w:val="left"/>
              <w:textAlignment w:val="center"/>
              <w:rPr>
                <w:rFonts w:hint="eastAsia" w:ascii="仿宋" w:hAnsi="仿宋" w:eastAsia="仿宋" w:cs="仿宋"/>
                <w:i w:val="0"/>
                <w:iCs w:val="0"/>
                <w:color w:val="000000"/>
                <w:kern w:val="2"/>
                <w:sz w:val="21"/>
                <w:szCs w:val="21"/>
                <w:highlight w:val="none"/>
                <w:u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参与人员满意度</w:t>
            </w:r>
          </w:p>
        </w:tc>
        <w:tc>
          <w:tcPr>
            <w:tcW w:w="1478" w:type="dxa"/>
            <w:vAlign w:val="center"/>
          </w:tcPr>
          <w:p w14:paraId="7AE44CEB">
            <w:pPr>
              <w:keepNext w:val="0"/>
              <w:keepLines w:val="0"/>
              <w:widowControl/>
              <w:suppressLineNumbers w:val="0"/>
              <w:jc w:val="center"/>
              <w:textAlignment w:val="center"/>
              <w:rPr>
                <w:rFonts w:hint="eastAsia" w:ascii="仿宋" w:hAnsi="仿宋" w:eastAsia="仿宋" w:cs="仿宋"/>
                <w:kern w:val="0"/>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≥90%</w:t>
            </w:r>
          </w:p>
        </w:tc>
        <w:tc>
          <w:tcPr>
            <w:tcW w:w="1536" w:type="dxa"/>
            <w:vAlign w:val="center"/>
          </w:tcPr>
          <w:p w14:paraId="538C810D">
            <w:pPr>
              <w:keepNext w:val="0"/>
              <w:keepLines w:val="0"/>
              <w:widowControl/>
              <w:suppressLineNumbers w:val="0"/>
              <w:jc w:val="center"/>
              <w:textAlignment w:val="center"/>
              <w:rPr>
                <w:rFonts w:hint="eastAsia" w:ascii="仿宋" w:hAnsi="仿宋" w:eastAsia="仿宋" w:cs="仿宋"/>
                <w:kern w:val="0"/>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≥90%</w:t>
            </w:r>
          </w:p>
        </w:tc>
      </w:tr>
      <w:tr w14:paraId="7C56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14:paraId="09326A93">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0334BBF0">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0B7FDC1E">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14:paraId="7DA66082">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14:paraId="23BF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14:paraId="1A546EC7">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273EC38B">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14:paraId="0DC1F336">
            <w:pPr>
              <w:widowControl/>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2023年预算执行率高，若下年度工作目标不变，项目经费预算可保持不变。</w:t>
            </w:r>
          </w:p>
        </w:tc>
      </w:tr>
    </w:tbl>
    <w:p w14:paraId="1C6F0A8C">
      <w:pPr>
        <w:widowControl/>
        <w:rPr>
          <w:rFonts w:ascii="仿宋_GB2312" w:hAnsi="宋体" w:eastAsia="仿宋_GB2312" w:cs="Times New Roman"/>
          <w:kern w:val="0"/>
        </w:rPr>
      </w:pPr>
      <w:r>
        <w:rPr>
          <w:rFonts w:hint="eastAsia" w:ascii="仿宋_GB2312" w:hAnsi="宋体" w:eastAsia="仿宋_GB2312" w:cs="仿宋_GB2312"/>
          <w:kern w:val="0"/>
        </w:rPr>
        <w:t>备注：</w:t>
      </w:r>
    </w:p>
    <w:p w14:paraId="6C5ABF9E">
      <w:pPr>
        <w:widowControl/>
        <w:ind w:firstLine="64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14:paraId="1DA41694">
      <w:pPr>
        <w:widowControl/>
        <w:ind w:firstLine="64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14:paraId="48364743">
      <w:pPr>
        <w:widowControl/>
        <w:ind w:firstLine="64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14:paraId="000147E2">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6202D922">
      <w:pPr>
        <w:jc w:val="center"/>
        <w:rPr>
          <w:rFonts w:hint="eastAsia" w:ascii="方正小标宋简体" w:hAnsi="宋体" w:eastAsia="方正小标宋简体" w:cs="方正小标宋简体"/>
          <w:color w:val="auto"/>
          <w:sz w:val="44"/>
          <w:szCs w:val="44"/>
          <w:lang w:val="en-US" w:eastAsia="zh-CN"/>
        </w:rPr>
      </w:pPr>
    </w:p>
    <w:p w14:paraId="7AF7EB42">
      <w:pPr>
        <w:jc w:val="center"/>
        <w:rPr>
          <w:rFonts w:hint="eastAsia" w:ascii="方正小标宋简体" w:hAnsi="宋体" w:eastAsia="方正小标宋简体" w:cs="方正小标宋简体"/>
          <w:color w:val="auto"/>
          <w:sz w:val="44"/>
          <w:szCs w:val="44"/>
          <w:lang w:val="en-US" w:eastAsia="zh-CN"/>
        </w:rPr>
      </w:pPr>
    </w:p>
    <w:p w14:paraId="3D517247">
      <w:pPr>
        <w:jc w:val="center"/>
        <w:rPr>
          <w:rFonts w:hint="eastAsia" w:ascii="方正小标宋简体" w:hAnsi="宋体" w:eastAsia="方正小标宋简体" w:cs="方正小标宋简体"/>
          <w:color w:val="auto"/>
          <w:sz w:val="44"/>
          <w:szCs w:val="44"/>
          <w:lang w:val="en-US" w:eastAsia="zh-CN"/>
        </w:rPr>
      </w:pPr>
    </w:p>
    <w:p w14:paraId="16550AB2">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18E45070">
      <w:pPr>
        <w:rPr>
          <w:rFonts w:hint="eastAsia" w:ascii="宋体" w:hAnsi="宋体" w:eastAsia="宋体" w:cs="宋体"/>
          <w:b w:val="0"/>
          <w:bCs w:val="0"/>
          <w:color w:val="auto"/>
          <w:kern w:val="0"/>
          <w:sz w:val="30"/>
          <w:szCs w:val="30"/>
        </w:rPr>
      </w:pPr>
    </w:p>
    <w:p w14:paraId="34ABCD4D">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0C1D020B">
      <w:pPr>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年度鄂州葛店经济技术开发区财政金融审计局部门整体绩效自评表</w:t>
      </w:r>
    </w:p>
    <w:p w14:paraId="61DACD41">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鄂州葛店经济技术开发区财政金融审计局</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2024年4月16日</w:t>
      </w:r>
    </w:p>
    <w:tbl>
      <w:tblPr>
        <w:tblStyle w:val="4"/>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79"/>
        <w:gridCol w:w="1646"/>
        <w:gridCol w:w="1617"/>
        <w:gridCol w:w="573"/>
        <w:gridCol w:w="1245"/>
        <w:gridCol w:w="1200"/>
        <w:gridCol w:w="1225"/>
      </w:tblGrid>
      <w:tr w14:paraId="3C9F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29" w:type="dxa"/>
            <w:gridSpan w:val="2"/>
            <w:noWrap w:val="0"/>
            <w:vAlign w:val="center"/>
          </w:tcPr>
          <w:p w14:paraId="569F9D42">
            <w:pPr>
              <w:widowControl/>
              <w:jc w:val="center"/>
              <w:rPr>
                <w:rFonts w:ascii="仿宋_GB2312" w:hAnsi="宋体" w:eastAsia="仿宋_GB2312" w:cs="Times New Roman"/>
                <w:kern w:val="0"/>
              </w:rPr>
            </w:pPr>
            <w:r>
              <w:rPr>
                <w:rFonts w:hint="eastAsia" w:ascii="仿宋_GB2312" w:hAnsi="宋体" w:eastAsia="仿宋_GB2312" w:cs="仿宋_GB2312"/>
                <w:kern w:val="0"/>
              </w:rPr>
              <w:t>单位名称</w:t>
            </w:r>
          </w:p>
        </w:tc>
        <w:tc>
          <w:tcPr>
            <w:tcW w:w="7506" w:type="dxa"/>
            <w:gridSpan w:val="6"/>
            <w:noWrap w:val="0"/>
            <w:vAlign w:val="center"/>
          </w:tcPr>
          <w:p w14:paraId="2FA35A23">
            <w:pPr>
              <w:widowControl/>
              <w:jc w:val="center"/>
              <w:rPr>
                <w:rFonts w:ascii="仿宋_GB2312" w:hAnsi="宋体" w:eastAsia="仿宋_GB2312" w:cs="Times New Roman"/>
                <w:kern w:val="0"/>
              </w:rPr>
            </w:pPr>
            <w:r>
              <w:rPr>
                <w:rFonts w:hint="eastAsia" w:ascii="仿宋" w:hAnsi="仿宋" w:eastAsia="仿宋" w:cs="仿宋"/>
                <w:kern w:val="0"/>
                <w:sz w:val="21"/>
                <w:szCs w:val="21"/>
                <w:lang w:val="en-US" w:eastAsia="zh-CN"/>
              </w:rPr>
              <w:t>鄂州葛店经济技术开发区财政金融审计局</w:t>
            </w:r>
          </w:p>
        </w:tc>
      </w:tr>
      <w:tr w14:paraId="56A2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29" w:type="dxa"/>
            <w:gridSpan w:val="2"/>
            <w:noWrap w:val="0"/>
            <w:vAlign w:val="center"/>
          </w:tcPr>
          <w:p w14:paraId="1CB6B3B7">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rPr>
              <w:t>基本支出总额</w:t>
            </w:r>
            <w:r>
              <w:rPr>
                <w:rFonts w:hint="eastAsia" w:ascii="仿宋_GB2312" w:hAnsi="宋体" w:eastAsia="仿宋_GB2312" w:cs="Times New Roman"/>
                <w:kern w:val="0"/>
                <w:lang w:eastAsia="zh-CN"/>
              </w:rPr>
              <w:t>（</w:t>
            </w:r>
            <w:r>
              <w:rPr>
                <w:rFonts w:hint="eastAsia" w:ascii="仿宋_GB2312" w:hAnsi="宋体" w:eastAsia="仿宋_GB2312" w:cs="Times New Roman"/>
                <w:kern w:val="0"/>
                <w:lang w:val="en-US" w:eastAsia="zh-CN"/>
              </w:rPr>
              <w:t>万元）</w:t>
            </w:r>
          </w:p>
        </w:tc>
        <w:tc>
          <w:tcPr>
            <w:tcW w:w="3263" w:type="dxa"/>
            <w:gridSpan w:val="2"/>
            <w:noWrap w:val="0"/>
            <w:vAlign w:val="center"/>
          </w:tcPr>
          <w:p w14:paraId="5F7141F6">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1"/>
                <w:szCs w:val="21"/>
                <w:u w:val="none"/>
                <w:lang w:val="en-US" w:eastAsia="zh-CN" w:bidi="ar"/>
              </w:rPr>
              <w:t>272.49</w:t>
            </w:r>
          </w:p>
        </w:tc>
        <w:tc>
          <w:tcPr>
            <w:tcW w:w="1818" w:type="dxa"/>
            <w:gridSpan w:val="2"/>
            <w:noWrap w:val="0"/>
            <w:vAlign w:val="center"/>
          </w:tcPr>
          <w:p w14:paraId="16F4DA33">
            <w:pPr>
              <w:widowControl/>
              <w:jc w:val="center"/>
              <w:rPr>
                <w:rFonts w:hint="eastAsia" w:ascii="仿宋_GB2312" w:hAnsi="宋体" w:eastAsia="仿宋_GB2312" w:cs="仿宋_GB2312"/>
                <w:kern w:val="0"/>
              </w:rPr>
            </w:pPr>
            <w:r>
              <w:rPr>
                <w:rFonts w:hint="eastAsia" w:ascii="仿宋_GB2312" w:hAnsi="宋体" w:eastAsia="仿宋_GB2312" w:cs="仿宋_GB2312"/>
                <w:kern w:val="0"/>
              </w:rPr>
              <w:t>项目支出总额</w:t>
            </w:r>
          </w:p>
          <w:p w14:paraId="5AD46172">
            <w:pPr>
              <w:widowControl/>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eastAsia="zh-CN"/>
              </w:rPr>
              <w:t>（</w:t>
            </w:r>
            <w:r>
              <w:rPr>
                <w:rFonts w:hint="eastAsia" w:ascii="仿宋_GB2312" w:hAnsi="宋体" w:eastAsia="仿宋_GB2312" w:cs="仿宋_GB2312"/>
                <w:kern w:val="0"/>
                <w:lang w:val="en-US" w:eastAsia="zh-CN"/>
              </w:rPr>
              <w:t>万元）</w:t>
            </w:r>
          </w:p>
        </w:tc>
        <w:tc>
          <w:tcPr>
            <w:tcW w:w="2425" w:type="dxa"/>
            <w:gridSpan w:val="2"/>
            <w:noWrap w:val="0"/>
            <w:vAlign w:val="center"/>
          </w:tcPr>
          <w:p w14:paraId="21E110CA">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仿宋" w:hAnsi="仿宋" w:eastAsia="仿宋" w:cs="仿宋"/>
                <w:i w:val="0"/>
                <w:iCs w:val="0"/>
                <w:color w:val="000000"/>
                <w:kern w:val="0"/>
                <w:sz w:val="21"/>
                <w:szCs w:val="21"/>
                <w:u w:val="none"/>
                <w:lang w:val="en-US" w:eastAsia="zh-CN" w:bidi="ar"/>
              </w:rPr>
              <w:t>204.55</w:t>
            </w:r>
          </w:p>
        </w:tc>
      </w:tr>
      <w:tr w14:paraId="6F4D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29" w:type="dxa"/>
            <w:gridSpan w:val="2"/>
            <w:noWrap w:val="0"/>
            <w:vAlign w:val="center"/>
          </w:tcPr>
          <w:p w14:paraId="379DAECE">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w:t>
            </w:r>
          </w:p>
        </w:tc>
        <w:tc>
          <w:tcPr>
            <w:tcW w:w="7506" w:type="dxa"/>
            <w:gridSpan w:val="6"/>
            <w:noWrap w:val="0"/>
            <w:vAlign w:val="center"/>
          </w:tcPr>
          <w:p w14:paraId="1AEB50DA">
            <w:pPr>
              <w:widowControl/>
              <w:ind w:firstLine="420" w:firstLineChars="200"/>
              <w:jc w:val="left"/>
              <w:rPr>
                <w:rFonts w:hint="eastAsia" w:ascii="仿宋_GB2312" w:hAnsi="宋体" w:eastAsia="仿宋_GB2312" w:cs="Times New Roman"/>
                <w:kern w:val="0"/>
                <w:lang w:eastAsia="zh-CN"/>
              </w:rPr>
            </w:pPr>
            <w:r>
              <w:rPr>
                <w:rFonts w:hint="eastAsia" w:ascii="仿宋" w:hAnsi="仿宋" w:eastAsia="仿宋" w:cs="仿宋"/>
                <w:kern w:val="0"/>
                <w:sz w:val="21"/>
                <w:szCs w:val="21"/>
                <w:lang w:val="en-US" w:eastAsia="zh-CN"/>
              </w:rPr>
              <w:t>坚持以习近平新时代中国特色社会主义思想为指导，紧紧围绕经开区的发展战略和决策部署，强化政治担当，凝心聚力抓落实，实干笃行开新局，为经开区高质量发展提供坚实财力保障。</w:t>
            </w:r>
          </w:p>
        </w:tc>
      </w:tr>
      <w:tr w14:paraId="24B4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restart"/>
            <w:noWrap w:val="0"/>
            <w:tcMar>
              <w:left w:w="57" w:type="dxa"/>
              <w:right w:w="57" w:type="dxa"/>
            </w:tcMar>
            <w:vAlign w:val="center"/>
          </w:tcPr>
          <w:p w14:paraId="579C3DFC">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eastAsia="zh-CN"/>
              </w:rPr>
              <w:t>年度</w:t>
            </w:r>
            <w:r>
              <w:rPr>
                <w:rFonts w:hint="eastAsia" w:ascii="仿宋_GB2312" w:hAnsi="宋体" w:eastAsia="仿宋_GB2312" w:cs="仿宋_GB2312"/>
                <w:color w:val="auto"/>
                <w:kern w:val="0"/>
                <w:highlight w:val="none"/>
              </w:rPr>
              <w:t>绩效指标</w:t>
            </w:r>
          </w:p>
        </w:tc>
        <w:tc>
          <w:tcPr>
            <w:tcW w:w="979" w:type="dxa"/>
            <w:noWrap w:val="0"/>
            <w:tcMar>
              <w:left w:w="57" w:type="dxa"/>
              <w:right w:w="57" w:type="dxa"/>
            </w:tcMar>
            <w:vAlign w:val="center"/>
          </w:tcPr>
          <w:p w14:paraId="581D84FC">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14:paraId="585DBABB">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646" w:type="dxa"/>
            <w:noWrap w:val="0"/>
            <w:tcMar>
              <w:left w:w="57" w:type="dxa"/>
              <w:right w:w="57" w:type="dxa"/>
            </w:tcMar>
            <w:vAlign w:val="center"/>
          </w:tcPr>
          <w:p w14:paraId="17E50C92">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2190" w:type="dxa"/>
            <w:gridSpan w:val="2"/>
            <w:noWrap w:val="0"/>
            <w:tcMar>
              <w:left w:w="57" w:type="dxa"/>
              <w:right w:w="57" w:type="dxa"/>
            </w:tcMar>
            <w:vAlign w:val="center"/>
          </w:tcPr>
          <w:p w14:paraId="0B896049">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245" w:type="dxa"/>
            <w:noWrap w:val="0"/>
            <w:tcMar>
              <w:left w:w="57" w:type="dxa"/>
              <w:right w:w="57" w:type="dxa"/>
            </w:tcMar>
            <w:vAlign w:val="center"/>
          </w:tcPr>
          <w:p w14:paraId="71121975">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指标分类</w:t>
            </w:r>
          </w:p>
        </w:tc>
        <w:tc>
          <w:tcPr>
            <w:tcW w:w="1200" w:type="dxa"/>
            <w:noWrap w:val="0"/>
            <w:tcMar>
              <w:left w:w="57" w:type="dxa"/>
              <w:right w:w="57" w:type="dxa"/>
            </w:tcMar>
            <w:vAlign w:val="center"/>
          </w:tcPr>
          <w:p w14:paraId="6444F591">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225" w:type="dxa"/>
            <w:noWrap w:val="0"/>
            <w:tcMar>
              <w:left w:w="57" w:type="dxa"/>
              <w:right w:w="57" w:type="dxa"/>
            </w:tcMar>
            <w:vAlign w:val="center"/>
          </w:tcPr>
          <w:p w14:paraId="625FA25C">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1A05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594F52E4">
            <w:pPr>
              <w:widowControl/>
              <w:snapToGrid w:val="0"/>
              <w:jc w:val="left"/>
              <w:rPr>
                <w:rFonts w:ascii="仿宋_GB2312" w:hAnsi="宋体" w:eastAsia="仿宋_GB2312"/>
                <w:color w:val="auto"/>
                <w:kern w:val="0"/>
                <w:highlight w:val="none"/>
              </w:rPr>
            </w:pPr>
          </w:p>
        </w:tc>
        <w:tc>
          <w:tcPr>
            <w:tcW w:w="979" w:type="dxa"/>
            <w:vMerge w:val="restart"/>
            <w:noWrap w:val="0"/>
            <w:tcMar>
              <w:left w:w="57" w:type="dxa"/>
              <w:right w:w="57" w:type="dxa"/>
            </w:tcMar>
            <w:vAlign w:val="center"/>
          </w:tcPr>
          <w:p w14:paraId="120E742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14:paraId="20FC520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646" w:type="dxa"/>
            <w:noWrap w:val="0"/>
            <w:tcMar>
              <w:left w:w="57" w:type="dxa"/>
              <w:right w:w="57" w:type="dxa"/>
            </w:tcMar>
            <w:vAlign w:val="center"/>
          </w:tcPr>
          <w:p w14:paraId="6F027710">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2190" w:type="dxa"/>
            <w:gridSpan w:val="2"/>
            <w:noWrap w:val="0"/>
            <w:tcMar>
              <w:left w:w="57" w:type="dxa"/>
              <w:right w:w="57" w:type="dxa"/>
            </w:tcMar>
            <w:vAlign w:val="center"/>
          </w:tcPr>
          <w:p w14:paraId="0794715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245" w:type="dxa"/>
            <w:noWrap w:val="0"/>
            <w:tcMar>
              <w:left w:w="57" w:type="dxa"/>
              <w:right w:w="57" w:type="dxa"/>
            </w:tcMar>
            <w:vAlign w:val="center"/>
          </w:tcPr>
          <w:p w14:paraId="0AFE0CBF">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00CEA23D">
            <w:pPr>
              <w:widowControl/>
              <w:snapToGrid w:val="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lang w:val="en-US" w:eastAsia="zh-CN"/>
              </w:rPr>
              <w:t>≦100%</w:t>
            </w:r>
          </w:p>
        </w:tc>
        <w:tc>
          <w:tcPr>
            <w:tcW w:w="1225" w:type="dxa"/>
            <w:noWrap w:val="0"/>
            <w:tcMar>
              <w:left w:w="57" w:type="dxa"/>
              <w:right w:w="57" w:type="dxa"/>
            </w:tcMar>
            <w:vAlign w:val="center"/>
          </w:tcPr>
          <w:p w14:paraId="1EC6BB1F">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69.88%</w:t>
            </w:r>
          </w:p>
        </w:tc>
      </w:tr>
      <w:tr w14:paraId="56E6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6EAEDB17">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19EDAEA9">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14:paraId="09F663D2">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2190" w:type="dxa"/>
            <w:gridSpan w:val="2"/>
            <w:noWrap w:val="0"/>
            <w:tcMar>
              <w:left w:w="57" w:type="dxa"/>
              <w:right w:w="57" w:type="dxa"/>
            </w:tcMar>
            <w:vAlign w:val="center"/>
          </w:tcPr>
          <w:p w14:paraId="5BA8491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245" w:type="dxa"/>
            <w:noWrap w:val="0"/>
            <w:tcMar>
              <w:left w:w="57" w:type="dxa"/>
              <w:right w:w="57" w:type="dxa"/>
            </w:tcMar>
            <w:vAlign w:val="center"/>
          </w:tcPr>
          <w:p w14:paraId="0D45689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3FFC8AA9">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≦100%</w:t>
            </w:r>
          </w:p>
        </w:tc>
        <w:tc>
          <w:tcPr>
            <w:tcW w:w="1225" w:type="dxa"/>
            <w:noWrap w:val="0"/>
            <w:tcMar>
              <w:left w:w="57" w:type="dxa"/>
              <w:right w:w="57" w:type="dxa"/>
            </w:tcMar>
            <w:vAlign w:val="center"/>
          </w:tcPr>
          <w:p w14:paraId="40A8E6D4">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r>
      <w:tr w14:paraId="41C8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31F35094">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20F5D045">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14:paraId="38BD9E3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2190" w:type="dxa"/>
            <w:gridSpan w:val="2"/>
            <w:noWrap w:val="0"/>
            <w:tcMar>
              <w:left w:w="57" w:type="dxa"/>
              <w:right w:w="57" w:type="dxa"/>
            </w:tcMar>
            <w:vAlign w:val="center"/>
          </w:tcPr>
          <w:p w14:paraId="0D976DC1">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会议费控制率</w:t>
            </w:r>
          </w:p>
        </w:tc>
        <w:tc>
          <w:tcPr>
            <w:tcW w:w="1245" w:type="dxa"/>
            <w:noWrap w:val="0"/>
            <w:tcMar>
              <w:left w:w="57" w:type="dxa"/>
              <w:right w:w="57" w:type="dxa"/>
            </w:tcMar>
            <w:vAlign w:val="center"/>
          </w:tcPr>
          <w:p w14:paraId="7F6E547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53144328">
            <w:pPr>
              <w:widowControl/>
              <w:snapToGrid w:val="0"/>
              <w:jc w:val="center"/>
              <w:rPr>
                <w:rFonts w:hint="default" w:ascii="仿宋" w:hAnsi="仿宋" w:eastAsia="仿宋" w:cs="仿宋"/>
                <w:color w:val="auto"/>
                <w:kern w:val="0"/>
                <w:highlight w:val="none"/>
                <w:lang w:val="en-US"/>
              </w:rPr>
            </w:pPr>
            <w:r>
              <w:rPr>
                <w:rFonts w:hint="eastAsia" w:ascii="仿宋" w:hAnsi="仿宋" w:eastAsia="仿宋" w:cs="仿宋"/>
                <w:color w:val="auto"/>
                <w:kern w:val="0"/>
                <w:highlight w:val="none"/>
                <w:lang w:val="en-US" w:eastAsia="zh-CN"/>
              </w:rPr>
              <w:t>≦100%</w:t>
            </w:r>
          </w:p>
        </w:tc>
        <w:tc>
          <w:tcPr>
            <w:tcW w:w="1225" w:type="dxa"/>
            <w:noWrap w:val="0"/>
            <w:tcMar>
              <w:left w:w="57" w:type="dxa"/>
              <w:right w:w="57" w:type="dxa"/>
            </w:tcMar>
            <w:vAlign w:val="center"/>
          </w:tcPr>
          <w:p w14:paraId="0E06FE10">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0</w:t>
            </w:r>
          </w:p>
        </w:tc>
      </w:tr>
      <w:tr w14:paraId="4DD4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29AF4CE7">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15F4A14B">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51439E21">
            <w:pPr>
              <w:widowControl/>
              <w:snapToGrid w:val="0"/>
              <w:jc w:val="center"/>
              <w:rPr>
                <w:rFonts w:hint="eastAsia" w:ascii="仿宋_GB2312" w:hAnsi="宋体" w:eastAsia="仿宋_GB2312"/>
                <w:color w:val="auto"/>
                <w:kern w:val="0"/>
                <w:highlight w:val="none"/>
              </w:rPr>
            </w:pPr>
          </w:p>
        </w:tc>
        <w:tc>
          <w:tcPr>
            <w:tcW w:w="2190" w:type="dxa"/>
            <w:gridSpan w:val="2"/>
            <w:noWrap w:val="0"/>
            <w:tcMar>
              <w:left w:w="57" w:type="dxa"/>
              <w:right w:w="57" w:type="dxa"/>
            </w:tcMar>
            <w:vAlign w:val="center"/>
          </w:tcPr>
          <w:p w14:paraId="0B57017C">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“三公经费”变动率</w:t>
            </w:r>
          </w:p>
        </w:tc>
        <w:tc>
          <w:tcPr>
            <w:tcW w:w="1245" w:type="dxa"/>
            <w:noWrap w:val="0"/>
            <w:tcMar>
              <w:left w:w="57" w:type="dxa"/>
              <w:right w:w="57" w:type="dxa"/>
            </w:tcMar>
            <w:vAlign w:val="center"/>
          </w:tcPr>
          <w:p w14:paraId="308E5B9B">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395E352C">
            <w:pPr>
              <w:widowControl/>
              <w:snapToGrid w:val="0"/>
              <w:jc w:val="center"/>
              <w:rPr>
                <w:rFonts w:hint="default" w:ascii="仿宋" w:hAnsi="仿宋" w:eastAsia="仿宋" w:cs="仿宋"/>
                <w:color w:val="auto"/>
                <w:kern w:val="0"/>
                <w:sz w:val="21"/>
                <w:szCs w:val="22"/>
                <w:highlight w:val="none"/>
                <w:lang w:val="en-US" w:eastAsia="zh-CN" w:bidi="ar-SA"/>
              </w:rPr>
            </w:pPr>
            <w:r>
              <w:rPr>
                <w:rFonts w:hint="eastAsia" w:ascii="仿宋" w:hAnsi="仿宋" w:eastAsia="仿宋" w:cs="仿宋"/>
                <w:color w:val="auto"/>
                <w:kern w:val="0"/>
                <w:highlight w:val="none"/>
                <w:lang w:val="en-US" w:eastAsia="zh-CN"/>
              </w:rPr>
              <w:t>≦100%</w:t>
            </w:r>
          </w:p>
        </w:tc>
        <w:tc>
          <w:tcPr>
            <w:tcW w:w="1225" w:type="dxa"/>
            <w:noWrap w:val="0"/>
            <w:tcMar>
              <w:left w:w="57" w:type="dxa"/>
              <w:right w:w="57" w:type="dxa"/>
            </w:tcMar>
            <w:vAlign w:val="center"/>
          </w:tcPr>
          <w:p w14:paraId="6FC582AB">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0</w:t>
            </w:r>
          </w:p>
        </w:tc>
      </w:tr>
      <w:tr w14:paraId="2E59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67290169">
            <w:pPr>
              <w:widowControl/>
              <w:snapToGrid w:val="0"/>
              <w:jc w:val="left"/>
              <w:rPr>
                <w:rFonts w:ascii="仿宋_GB2312" w:hAnsi="宋体" w:eastAsia="仿宋_GB2312"/>
                <w:color w:val="auto"/>
                <w:kern w:val="0"/>
                <w:highlight w:val="none"/>
              </w:rPr>
            </w:pPr>
          </w:p>
        </w:tc>
        <w:tc>
          <w:tcPr>
            <w:tcW w:w="979" w:type="dxa"/>
            <w:vMerge w:val="restart"/>
            <w:noWrap w:val="0"/>
            <w:tcMar>
              <w:left w:w="57" w:type="dxa"/>
              <w:right w:w="57" w:type="dxa"/>
            </w:tcMar>
            <w:vAlign w:val="center"/>
          </w:tcPr>
          <w:p w14:paraId="38ADE47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14:paraId="47D79EE6">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646" w:type="dxa"/>
            <w:vMerge w:val="restart"/>
            <w:noWrap w:val="0"/>
            <w:tcMar>
              <w:left w:w="57" w:type="dxa"/>
              <w:right w:w="57" w:type="dxa"/>
            </w:tcMar>
            <w:vAlign w:val="center"/>
          </w:tcPr>
          <w:p w14:paraId="71A0FA61">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2190" w:type="dxa"/>
            <w:gridSpan w:val="2"/>
            <w:noWrap w:val="0"/>
            <w:tcMar>
              <w:left w:w="57" w:type="dxa"/>
              <w:right w:w="57" w:type="dxa"/>
            </w:tcMar>
            <w:vAlign w:val="center"/>
          </w:tcPr>
          <w:p w14:paraId="684748F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245" w:type="dxa"/>
            <w:noWrap w:val="0"/>
            <w:tcMar>
              <w:left w:w="57" w:type="dxa"/>
              <w:right w:w="57" w:type="dxa"/>
            </w:tcMar>
            <w:vAlign w:val="center"/>
          </w:tcPr>
          <w:p w14:paraId="1A379BF2">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13D8B692">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相符</w:t>
            </w:r>
          </w:p>
        </w:tc>
        <w:tc>
          <w:tcPr>
            <w:tcW w:w="1225" w:type="dxa"/>
            <w:noWrap w:val="0"/>
            <w:tcMar>
              <w:left w:w="57" w:type="dxa"/>
              <w:right w:w="57" w:type="dxa"/>
            </w:tcMar>
            <w:vAlign w:val="center"/>
          </w:tcPr>
          <w:p w14:paraId="2A875CB5">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未编制中长期规划</w:t>
            </w:r>
          </w:p>
        </w:tc>
      </w:tr>
      <w:tr w14:paraId="3B1A4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3DBFDE4A">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472A7608">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00A2D0B4">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4530799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245" w:type="dxa"/>
            <w:noWrap w:val="0"/>
            <w:tcMar>
              <w:left w:w="57" w:type="dxa"/>
              <w:right w:w="57" w:type="dxa"/>
            </w:tcMar>
            <w:vAlign w:val="center"/>
          </w:tcPr>
          <w:p w14:paraId="652F0400">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1036A7A0">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健全</w:t>
            </w:r>
          </w:p>
        </w:tc>
        <w:tc>
          <w:tcPr>
            <w:tcW w:w="1225" w:type="dxa"/>
            <w:noWrap w:val="0"/>
            <w:tcMar>
              <w:left w:w="57" w:type="dxa"/>
              <w:right w:w="57" w:type="dxa"/>
            </w:tcMar>
            <w:vAlign w:val="center"/>
          </w:tcPr>
          <w:p w14:paraId="1BC27B12">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健全</w:t>
            </w:r>
          </w:p>
        </w:tc>
      </w:tr>
      <w:tr w14:paraId="525F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0E7A54A8">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0CDE24A4">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14:paraId="0B51E763">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2190" w:type="dxa"/>
            <w:gridSpan w:val="2"/>
            <w:noWrap w:val="0"/>
            <w:tcMar>
              <w:left w:w="57" w:type="dxa"/>
              <w:right w:w="57" w:type="dxa"/>
            </w:tcMar>
            <w:vAlign w:val="center"/>
          </w:tcPr>
          <w:p w14:paraId="1870E9C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245" w:type="dxa"/>
            <w:noWrap w:val="0"/>
            <w:tcMar>
              <w:left w:w="57" w:type="dxa"/>
              <w:right w:w="57" w:type="dxa"/>
            </w:tcMar>
            <w:vAlign w:val="center"/>
          </w:tcPr>
          <w:p w14:paraId="3EEDA133">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31D190D3">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科学</w:t>
            </w:r>
          </w:p>
        </w:tc>
        <w:tc>
          <w:tcPr>
            <w:tcW w:w="1225" w:type="dxa"/>
            <w:noWrap w:val="0"/>
            <w:tcMar>
              <w:left w:w="57" w:type="dxa"/>
              <w:right w:w="57" w:type="dxa"/>
            </w:tcMar>
            <w:vAlign w:val="center"/>
          </w:tcPr>
          <w:p w14:paraId="37263FB3">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较科学</w:t>
            </w:r>
          </w:p>
        </w:tc>
      </w:tr>
      <w:tr w14:paraId="00E7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73A8B09C">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5FCA27DC">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5A09D335">
            <w:pPr>
              <w:widowControl/>
              <w:snapToGrid w:val="0"/>
              <w:jc w:val="center"/>
              <w:rPr>
                <w:rFonts w:ascii="仿宋_GB2312" w:hAnsi="宋体" w:eastAsia="仿宋_GB2312"/>
                <w:color w:val="auto"/>
                <w:kern w:val="0"/>
                <w:highlight w:val="none"/>
                <w:u w:val="single"/>
              </w:rPr>
            </w:pPr>
          </w:p>
        </w:tc>
        <w:tc>
          <w:tcPr>
            <w:tcW w:w="2190" w:type="dxa"/>
            <w:gridSpan w:val="2"/>
            <w:noWrap w:val="0"/>
            <w:tcMar>
              <w:left w:w="57" w:type="dxa"/>
              <w:right w:w="57" w:type="dxa"/>
            </w:tcMar>
            <w:vAlign w:val="center"/>
          </w:tcPr>
          <w:p w14:paraId="4D1A65E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245" w:type="dxa"/>
            <w:noWrap w:val="0"/>
            <w:tcMar>
              <w:left w:w="57" w:type="dxa"/>
              <w:right w:w="57" w:type="dxa"/>
            </w:tcMar>
            <w:vAlign w:val="center"/>
          </w:tcPr>
          <w:p w14:paraId="0D9589F0">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0E8AFB7B">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合理</w:t>
            </w:r>
          </w:p>
        </w:tc>
        <w:tc>
          <w:tcPr>
            <w:tcW w:w="1225" w:type="dxa"/>
            <w:noWrap w:val="0"/>
            <w:tcMar>
              <w:left w:w="57" w:type="dxa"/>
              <w:right w:w="57" w:type="dxa"/>
            </w:tcMar>
            <w:vAlign w:val="center"/>
          </w:tcPr>
          <w:p w14:paraId="6EFD4335">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较合理</w:t>
            </w:r>
          </w:p>
        </w:tc>
      </w:tr>
      <w:tr w14:paraId="431A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1AFA0A42">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270F6935">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22882076">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482614B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245" w:type="dxa"/>
            <w:noWrap w:val="0"/>
            <w:tcMar>
              <w:left w:w="57" w:type="dxa"/>
              <w:right w:w="57" w:type="dxa"/>
            </w:tcMar>
            <w:vAlign w:val="center"/>
          </w:tcPr>
          <w:p w14:paraId="2544FFD0">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770B6CDB">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规范</w:t>
            </w:r>
          </w:p>
        </w:tc>
        <w:tc>
          <w:tcPr>
            <w:tcW w:w="1225" w:type="dxa"/>
            <w:noWrap w:val="0"/>
            <w:tcMar>
              <w:left w:w="57" w:type="dxa"/>
              <w:right w:w="57" w:type="dxa"/>
            </w:tcMar>
            <w:vAlign w:val="center"/>
          </w:tcPr>
          <w:p w14:paraId="6F19A988">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较规范</w:t>
            </w:r>
          </w:p>
        </w:tc>
      </w:tr>
      <w:tr w14:paraId="446D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28FE1166">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4EAFEB79">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69F747CF">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16A11213">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245" w:type="dxa"/>
            <w:noWrap w:val="0"/>
            <w:tcMar>
              <w:left w:w="57" w:type="dxa"/>
              <w:right w:w="57" w:type="dxa"/>
            </w:tcMar>
            <w:vAlign w:val="center"/>
          </w:tcPr>
          <w:p w14:paraId="52680DC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6321CF89">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sz w:val="21"/>
                <w:szCs w:val="21"/>
                <w:highlight w:val="none"/>
                <w:lang w:val="en-US" w:eastAsia="zh-CN"/>
              </w:rPr>
              <w:t>0%</w:t>
            </w:r>
          </w:p>
        </w:tc>
        <w:tc>
          <w:tcPr>
            <w:tcW w:w="1225" w:type="dxa"/>
            <w:noWrap w:val="0"/>
            <w:tcMar>
              <w:left w:w="57" w:type="dxa"/>
              <w:right w:w="57" w:type="dxa"/>
            </w:tcMar>
            <w:vAlign w:val="center"/>
          </w:tcPr>
          <w:p w14:paraId="19463354">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53.79%</w:t>
            </w:r>
          </w:p>
        </w:tc>
      </w:tr>
      <w:tr w14:paraId="5A4F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19CF80E1">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51856D85">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14:paraId="7B0EA328">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2190" w:type="dxa"/>
            <w:gridSpan w:val="2"/>
            <w:noWrap w:val="0"/>
            <w:tcMar>
              <w:left w:w="57" w:type="dxa"/>
              <w:right w:w="57" w:type="dxa"/>
            </w:tcMar>
            <w:vAlign w:val="center"/>
          </w:tcPr>
          <w:p w14:paraId="2AC8847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245" w:type="dxa"/>
            <w:noWrap w:val="0"/>
            <w:tcMar>
              <w:left w:w="57" w:type="dxa"/>
              <w:right w:w="57" w:type="dxa"/>
            </w:tcMar>
            <w:vAlign w:val="center"/>
          </w:tcPr>
          <w:p w14:paraId="64F866C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1554E7DF">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100%</w:t>
            </w:r>
          </w:p>
        </w:tc>
        <w:tc>
          <w:tcPr>
            <w:tcW w:w="1225" w:type="dxa"/>
            <w:noWrap w:val="0"/>
            <w:tcMar>
              <w:left w:w="57" w:type="dxa"/>
              <w:right w:w="57" w:type="dxa"/>
            </w:tcMar>
            <w:vAlign w:val="center"/>
          </w:tcPr>
          <w:p w14:paraId="0C279F94">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87.05%</w:t>
            </w:r>
          </w:p>
        </w:tc>
      </w:tr>
      <w:tr w14:paraId="15EC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7180B3DE">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77400C8E">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14CDFF87">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6E78B1B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245" w:type="dxa"/>
            <w:noWrap w:val="0"/>
            <w:tcMar>
              <w:left w:w="57" w:type="dxa"/>
              <w:right w:w="57" w:type="dxa"/>
            </w:tcMar>
            <w:vAlign w:val="center"/>
          </w:tcPr>
          <w:p w14:paraId="1BEE0FD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4A13CAF5">
            <w:pPr>
              <w:widowControl/>
              <w:snapToGrid w:val="0"/>
              <w:jc w:val="center"/>
              <w:rPr>
                <w:rFonts w:hint="default"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0%</w:t>
            </w:r>
          </w:p>
        </w:tc>
        <w:tc>
          <w:tcPr>
            <w:tcW w:w="1225" w:type="dxa"/>
            <w:noWrap w:val="0"/>
            <w:tcMar>
              <w:left w:w="57" w:type="dxa"/>
              <w:right w:w="57" w:type="dxa"/>
            </w:tcMar>
            <w:vAlign w:val="center"/>
          </w:tcPr>
          <w:p w14:paraId="4DF1071E">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12.95%</w:t>
            </w:r>
          </w:p>
        </w:tc>
      </w:tr>
      <w:tr w14:paraId="55D1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5B0F2688">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5E1E975E">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10332060">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1E00E85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245" w:type="dxa"/>
            <w:noWrap w:val="0"/>
            <w:tcMar>
              <w:left w:w="57" w:type="dxa"/>
              <w:right w:w="57" w:type="dxa"/>
            </w:tcMar>
            <w:vAlign w:val="center"/>
          </w:tcPr>
          <w:p w14:paraId="24D0381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5B291B60">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noWrap w:val="0"/>
            <w:tcMar>
              <w:left w:w="57" w:type="dxa"/>
              <w:right w:w="57" w:type="dxa"/>
            </w:tcMar>
            <w:vAlign w:val="center"/>
          </w:tcPr>
          <w:p w14:paraId="4B23E978">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79.68%</w:t>
            </w:r>
          </w:p>
        </w:tc>
      </w:tr>
      <w:tr w14:paraId="7DEA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35964B3A">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214B0EAF">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4BE6EC6A">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368053F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245" w:type="dxa"/>
            <w:noWrap w:val="0"/>
            <w:tcMar>
              <w:left w:w="57" w:type="dxa"/>
              <w:right w:w="57" w:type="dxa"/>
            </w:tcMar>
            <w:vAlign w:val="center"/>
          </w:tcPr>
          <w:p w14:paraId="5F53CBA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1BD7ADD2">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不涉及</w:t>
            </w:r>
          </w:p>
        </w:tc>
        <w:tc>
          <w:tcPr>
            <w:tcW w:w="1225" w:type="dxa"/>
            <w:noWrap w:val="0"/>
            <w:tcMar>
              <w:left w:w="57" w:type="dxa"/>
              <w:right w:w="57" w:type="dxa"/>
            </w:tcMar>
            <w:vAlign w:val="center"/>
          </w:tcPr>
          <w:p w14:paraId="03E86E37">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不涉及</w:t>
            </w:r>
          </w:p>
        </w:tc>
      </w:tr>
      <w:tr w14:paraId="4FA8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667A8687">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44B96F09">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14:paraId="2E4CCACB">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2190" w:type="dxa"/>
            <w:gridSpan w:val="2"/>
            <w:noWrap w:val="0"/>
            <w:tcMar>
              <w:left w:w="57" w:type="dxa"/>
              <w:right w:w="57" w:type="dxa"/>
            </w:tcMar>
            <w:vAlign w:val="center"/>
          </w:tcPr>
          <w:p w14:paraId="7859535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245" w:type="dxa"/>
            <w:noWrap w:val="0"/>
            <w:tcMar>
              <w:left w:w="57" w:type="dxa"/>
              <w:right w:w="57" w:type="dxa"/>
            </w:tcMar>
            <w:vAlign w:val="center"/>
          </w:tcPr>
          <w:p w14:paraId="71E60A2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18F558B0">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noWrap w:val="0"/>
            <w:tcMar>
              <w:left w:w="57" w:type="dxa"/>
              <w:right w:w="57" w:type="dxa"/>
            </w:tcMar>
            <w:vAlign w:val="center"/>
          </w:tcPr>
          <w:p w14:paraId="73E09142">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r>
      <w:tr w14:paraId="605F8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48E872C1">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405D6635">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473B7083">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0122EFD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245" w:type="dxa"/>
            <w:noWrap w:val="0"/>
            <w:tcMar>
              <w:left w:w="57" w:type="dxa"/>
              <w:right w:w="57" w:type="dxa"/>
            </w:tcMar>
            <w:vAlign w:val="center"/>
          </w:tcPr>
          <w:p w14:paraId="544160F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7000DA47">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合理</w:t>
            </w:r>
          </w:p>
        </w:tc>
        <w:tc>
          <w:tcPr>
            <w:tcW w:w="1225" w:type="dxa"/>
            <w:noWrap w:val="0"/>
            <w:tcMar>
              <w:left w:w="57" w:type="dxa"/>
              <w:right w:w="57" w:type="dxa"/>
            </w:tcMar>
            <w:vAlign w:val="center"/>
          </w:tcPr>
          <w:p w14:paraId="77EE9358">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较合理</w:t>
            </w:r>
          </w:p>
        </w:tc>
      </w:tr>
      <w:tr w14:paraId="3194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0" w:type="dxa"/>
            <w:vMerge w:val="continue"/>
            <w:noWrap w:val="0"/>
            <w:tcMar>
              <w:left w:w="57" w:type="dxa"/>
              <w:right w:w="57" w:type="dxa"/>
            </w:tcMar>
            <w:vAlign w:val="center"/>
          </w:tcPr>
          <w:p w14:paraId="4C229E48">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78197FCB">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619440B3">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7CE8A91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245" w:type="dxa"/>
            <w:noWrap w:val="0"/>
            <w:tcMar>
              <w:left w:w="57" w:type="dxa"/>
              <w:right w:w="57" w:type="dxa"/>
            </w:tcMar>
            <w:vAlign w:val="center"/>
          </w:tcPr>
          <w:p w14:paraId="13E01E5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4BDF0E3D">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noWrap w:val="0"/>
            <w:tcMar>
              <w:left w:w="57" w:type="dxa"/>
              <w:right w:w="57" w:type="dxa"/>
            </w:tcMar>
            <w:vAlign w:val="center"/>
          </w:tcPr>
          <w:p w14:paraId="627A557A">
            <w:pPr>
              <w:widowControl/>
              <w:snapToGrid w:val="0"/>
              <w:jc w:val="center"/>
              <w:rPr>
                <w:rFonts w:hint="default" w:ascii="仿宋_GB2312" w:hAnsi="宋体" w:eastAsia="仿宋_GB2312" w:cs="仿宋_GB2312"/>
                <w:color w:val="auto"/>
                <w:kern w:val="0"/>
                <w:highlight w:val="yellow"/>
                <w:lang w:val="en-US" w:eastAsia="zh-CN"/>
              </w:rPr>
            </w:pPr>
            <w:r>
              <w:rPr>
                <w:rFonts w:hint="eastAsia" w:ascii="仿宋_GB2312" w:hAnsi="宋体" w:eastAsia="仿宋_GB2312"/>
                <w:color w:val="auto"/>
                <w:kern w:val="0"/>
                <w:highlight w:val="none"/>
                <w:lang w:val="en-US" w:eastAsia="zh-CN"/>
              </w:rPr>
              <w:t>100%</w:t>
            </w:r>
          </w:p>
        </w:tc>
      </w:tr>
      <w:tr w14:paraId="2ADE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1E09FE3F">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03182270">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00583FA5">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1A9814D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245" w:type="dxa"/>
            <w:noWrap w:val="0"/>
            <w:tcMar>
              <w:left w:w="57" w:type="dxa"/>
              <w:right w:w="57" w:type="dxa"/>
            </w:tcMar>
            <w:vAlign w:val="center"/>
          </w:tcPr>
          <w:p w14:paraId="6D9DB9C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7085EE17">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noWrap w:val="0"/>
            <w:tcMar>
              <w:left w:w="57" w:type="dxa"/>
              <w:right w:w="57" w:type="dxa"/>
            </w:tcMar>
            <w:vAlign w:val="center"/>
          </w:tcPr>
          <w:p w14:paraId="7A6009A8">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r>
      <w:tr w14:paraId="1E83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033CC161">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0467B1C7">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6F608710">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3BB9570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245" w:type="dxa"/>
            <w:noWrap w:val="0"/>
            <w:tcMar>
              <w:left w:w="57" w:type="dxa"/>
              <w:right w:w="57" w:type="dxa"/>
            </w:tcMar>
            <w:vAlign w:val="center"/>
          </w:tcPr>
          <w:p w14:paraId="3F1C88D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009E7322">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25" w:type="dxa"/>
            <w:noWrap w:val="0"/>
            <w:tcMar>
              <w:left w:w="57" w:type="dxa"/>
              <w:right w:w="57" w:type="dxa"/>
            </w:tcMar>
            <w:vAlign w:val="center"/>
          </w:tcPr>
          <w:p w14:paraId="50BAACED">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r>
      <w:tr w14:paraId="3583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28794ECB">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08045C9C">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14:paraId="33339536">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2190" w:type="dxa"/>
            <w:gridSpan w:val="2"/>
            <w:noWrap w:val="0"/>
            <w:tcMar>
              <w:left w:w="57" w:type="dxa"/>
              <w:right w:w="57" w:type="dxa"/>
            </w:tcMar>
            <w:vAlign w:val="center"/>
          </w:tcPr>
          <w:p w14:paraId="4E167CF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245" w:type="dxa"/>
            <w:noWrap w:val="0"/>
            <w:tcMar>
              <w:left w:w="57" w:type="dxa"/>
              <w:right w:w="57" w:type="dxa"/>
            </w:tcMar>
            <w:vAlign w:val="center"/>
          </w:tcPr>
          <w:p w14:paraId="479CCA2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3CDECFC0">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健全</w:t>
            </w:r>
          </w:p>
        </w:tc>
        <w:tc>
          <w:tcPr>
            <w:tcW w:w="1225" w:type="dxa"/>
            <w:noWrap w:val="0"/>
            <w:tcMar>
              <w:left w:w="57" w:type="dxa"/>
              <w:right w:w="57" w:type="dxa"/>
            </w:tcMar>
            <w:vAlign w:val="center"/>
          </w:tcPr>
          <w:p w14:paraId="4542605E">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较健全</w:t>
            </w:r>
          </w:p>
        </w:tc>
      </w:tr>
      <w:tr w14:paraId="2CB6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0942C49C">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70223FCA">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7915F8A9">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21935E7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245" w:type="dxa"/>
            <w:noWrap w:val="0"/>
            <w:tcMar>
              <w:left w:w="57" w:type="dxa"/>
              <w:right w:w="57" w:type="dxa"/>
            </w:tcMar>
            <w:vAlign w:val="center"/>
          </w:tcPr>
          <w:p w14:paraId="09BE1E5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31B94F08">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规范</w:t>
            </w:r>
          </w:p>
        </w:tc>
        <w:tc>
          <w:tcPr>
            <w:tcW w:w="1225" w:type="dxa"/>
            <w:noWrap w:val="0"/>
            <w:tcMar>
              <w:left w:w="57" w:type="dxa"/>
              <w:right w:w="57" w:type="dxa"/>
            </w:tcMar>
            <w:vAlign w:val="center"/>
          </w:tcPr>
          <w:p w14:paraId="5D49B398">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较规范</w:t>
            </w:r>
          </w:p>
        </w:tc>
      </w:tr>
      <w:tr w14:paraId="50C9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74F24E4E">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155FECAE">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14:paraId="015AAA11">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2190" w:type="dxa"/>
            <w:gridSpan w:val="2"/>
            <w:noWrap w:val="0"/>
            <w:tcMar>
              <w:left w:w="57" w:type="dxa"/>
              <w:right w:w="57" w:type="dxa"/>
            </w:tcMar>
            <w:vAlign w:val="center"/>
          </w:tcPr>
          <w:p w14:paraId="5742283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245" w:type="dxa"/>
            <w:noWrap w:val="0"/>
            <w:tcMar>
              <w:left w:w="57" w:type="dxa"/>
              <w:right w:w="57" w:type="dxa"/>
            </w:tcMar>
            <w:vAlign w:val="center"/>
          </w:tcPr>
          <w:p w14:paraId="7DE74C8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6CDF75B5">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健全</w:t>
            </w:r>
          </w:p>
        </w:tc>
        <w:tc>
          <w:tcPr>
            <w:tcW w:w="1225" w:type="dxa"/>
            <w:noWrap w:val="0"/>
            <w:tcMar>
              <w:left w:w="57" w:type="dxa"/>
              <w:right w:w="57" w:type="dxa"/>
            </w:tcMar>
            <w:vAlign w:val="center"/>
          </w:tcPr>
          <w:p w14:paraId="29D7889E">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较健全</w:t>
            </w:r>
          </w:p>
        </w:tc>
      </w:tr>
      <w:tr w14:paraId="0CCA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40589B17">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16EB6985">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02FF9359">
            <w:pPr>
              <w:widowControl/>
              <w:snapToGrid w:val="0"/>
              <w:jc w:val="center"/>
              <w:rPr>
                <w:rFonts w:ascii="仿宋_GB2312" w:hAnsi="宋体" w:eastAsia="仿宋_GB2312"/>
                <w:color w:val="auto"/>
                <w:kern w:val="0"/>
                <w:highlight w:val="none"/>
              </w:rPr>
            </w:pPr>
          </w:p>
        </w:tc>
        <w:tc>
          <w:tcPr>
            <w:tcW w:w="2190" w:type="dxa"/>
            <w:gridSpan w:val="2"/>
            <w:noWrap w:val="0"/>
            <w:tcMar>
              <w:left w:w="57" w:type="dxa"/>
              <w:right w:w="57" w:type="dxa"/>
            </w:tcMar>
            <w:vAlign w:val="center"/>
          </w:tcPr>
          <w:p w14:paraId="58FAA6D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245" w:type="dxa"/>
            <w:noWrap w:val="0"/>
            <w:tcMar>
              <w:left w:w="57" w:type="dxa"/>
              <w:right w:w="57" w:type="dxa"/>
            </w:tcMar>
            <w:vAlign w:val="center"/>
          </w:tcPr>
          <w:p w14:paraId="746A753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38B70A28">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规范</w:t>
            </w:r>
          </w:p>
        </w:tc>
        <w:tc>
          <w:tcPr>
            <w:tcW w:w="1225" w:type="dxa"/>
            <w:noWrap w:val="0"/>
            <w:tcMar>
              <w:left w:w="57" w:type="dxa"/>
              <w:right w:w="57" w:type="dxa"/>
            </w:tcMar>
            <w:vAlign w:val="center"/>
          </w:tcPr>
          <w:p w14:paraId="63E5B010">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规范</w:t>
            </w:r>
          </w:p>
        </w:tc>
      </w:tr>
      <w:tr w14:paraId="77B0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3637FA78">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7344464F">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2346AD16">
            <w:pPr>
              <w:widowControl/>
              <w:snapToGrid w:val="0"/>
              <w:jc w:val="center"/>
              <w:rPr>
                <w:rFonts w:ascii="仿宋_GB2312" w:hAnsi="宋体" w:eastAsia="仿宋_GB2312"/>
                <w:color w:val="auto"/>
                <w:kern w:val="0"/>
                <w:highlight w:val="none"/>
              </w:rPr>
            </w:pPr>
          </w:p>
        </w:tc>
        <w:tc>
          <w:tcPr>
            <w:tcW w:w="2190" w:type="dxa"/>
            <w:gridSpan w:val="2"/>
            <w:noWrap w:val="0"/>
            <w:tcMar>
              <w:left w:w="57" w:type="dxa"/>
              <w:right w:w="57" w:type="dxa"/>
            </w:tcMar>
            <w:vAlign w:val="center"/>
          </w:tcPr>
          <w:p w14:paraId="5AAA85C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245" w:type="dxa"/>
            <w:noWrap w:val="0"/>
            <w:tcMar>
              <w:left w:w="57" w:type="dxa"/>
              <w:right w:w="57" w:type="dxa"/>
            </w:tcMar>
            <w:vAlign w:val="center"/>
          </w:tcPr>
          <w:p w14:paraId="66480A8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5BF994E1">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合规</w:t>
            </w:r>
          </w:p>
        </w:tc>
        <w:tc>
          <w:tcPr>
            <w:tcW w:w="1225" w:type="dxa"/>
            <w:noWrap w:val="0"/>
            <w:tcMar>
              <w:left w:w="57" w:type="dxa"/>
              <w:right w:w="57" w:type="dxa"/>
            </w:tcMar>
            <w:vAlign w:val="center"/>
          </w:tcPr>
          <w:p w14:paraId="45A23EDD">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合规</w:t>
            </w:r>
          </w:p>
        </w:tc>
      </w:tr>
      <w:tr w14:paraId="436E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2E83F6F9">
            <w:pPr>
              <w:widowControl/>
              <w:snapToGrid w:val="0"/>
              <w:jc w:val="left"/>
              <w:rPr>
                <w:rFonts w:ascii="仿宋_GB2312" w:hAnsi="宋体" w:eastAsia="仿宋_GB2312"/>
                <w:color w:val="auto"/>
                <w:kern w:val="0"/>
                <w:highlight w:val="none"/>
              </w:rPr>
            </w:pPr>
          </w:p>
        </w:tc>
        <w:tc>
          <w:tcPr>
            <w:tcW w:w="979" w:type="dxa"/>
            <w:vMerge w:val="restart"/>
            <w:noWrap w:val="0"/>
            <w:tcMar>
              <w:left w:w="57" w:type="dxa"/>
              <w:right w:w="57" w:type="dxa"/>
            </w:tcMar>
            <w:vAlign w:val="center"/>
          </w:tcPr>
          <w:p w14:paraId="2F608C4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14:paraId="2ABA3AF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646" w:type="dxa"/>
            <w:vMerge w:val="restart"/>
            <w:noWrap w:val="0"/>
            <w:tcMar>
              <w:left w:w="57" w:type="dxa"/>
              <w:right w:w="57" w:type="dxa"/>
            </w:tcMar>
            <w:vAlign w:val="center"/>
          </w:tcPr>
          <w:p w14:paraId="4261926A">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推进预算绩效管理工作</w:t>
            </w:r>
          </w:p>
        </w:tc>
        <w:tc>
          <w:tcPr>
            <w:tcW w:w="2190" w:type="dxa"/>
            <w:gridSpan w:val="2"/>
            <w:noWrap w:val="0"/>
            <w:tcMar>
              <w:left w:w="57" w:type="dxa"/>
              <w:right w:w="57" w:type="dxa"/>
            </w:tcMar>
            <w:vAlign w:val="center"/>
          </w:tcPr>
          <w:p w14:paraId="049AC003">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财政资金使用效益</w:t>
            </w:r>
          </w:p>
        </w:tc>
        <w:tc>
          <w:tcPr>
            <w:tcW w:w="1245" w:type="dxa"/>
            <w:noWrap w:val="0"/>
            <w:tcMar>
              <w:left w:w="57" w:type="dxa"/>
              <w:right w:w="57" w:type="dxa"/>
            </w:tcMar>
            <w:vAlign w:val="center"/>
          </w:tcPr>
          <w:p w14:paraId="6C95F61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7B1E6193">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得到提高</w:t>
            </w:r>
          </w:p>
        </w:tc>
        <w:tc>
          <w:tcPr>
            <w:tcW w:w="1225" w:type="dxa"/>
            <w:noWrap w:val="0"/>
            <w:tcMar>
              <w:left w:w="57" w:type="dxa"/>
              <w:right w:w="57" w:type="dxa"/>
            </w:tcMar>
            <w:vAlign w:val="center"/>
          </w:tcPr>
          <w:p w14:paraId="76C78E45">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得到提高</w:t>
            </w:r>
          </w:p>
        </w:tc>
      </w:tr>
      <w:tr w14:paraId="30EF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2A44708B">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44FB1084">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7E120A0E">
            <w:pPr>
              <w:widowControl/>
              <w:snapToGrid w:val="0"/>
              <w:jc w:val="center"/>
              <w:rPr>
                <w:rFonts w:hint="eastAsia" w:ascii="仿宋_GB2312" w:hAnsi="宋体" w:eastAsia="仿宋_GB2312" w:cs="仿宋_GB2312"/>
                <w:color w:val="auto"/>
                <w:kern w:val="0"/>
                <w:highlight w:val="none"/>
                <w:lang w:val="en-US" w:eastAsia="zh-CN"/>
              </w:rPr>
            </w:pPr>
          </w:p>
        </w:tc>
        <w:tc>
          <w:tcPr>
            <w:tcW w:w="2190" w:type="dxa"/>
            <w:gridSpan w:val="2"/>
            <w:noWrap w:val="0"/>
            <w:tcMar>
              <w:left w:w="57" w:type="dxa"/>
              <w:right w:w="57" w:type="dxa"/>
            </w:tcMar>
            <w:vAlign w:val="center"/>
          </w:tcPr>
          <w:p w14:paraId="2404DDC6">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资源配置</w:t>
            </w:r>
          </w:p>
        </w:tc>
        <w:tc>
          <w:tcPr>
            <w:tcW w:w="1245" w:type="dxa"/>
            <w:noWrap w:val="0"/>
            <w:tcMar>
              <w:left w:w="57" w:type="dxa"/>
              <w:right w:w="57" w:type="dxa"/>
            </w:tcMar>
            <w:vAlign w:val="center"/>
          </w:tcPr>
          <w:p w14:paraId="709BB2B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21DC9552">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得到优化</w:t>
            </w:r>
          </w:p>
        </w:tc>
        <w:tc>
          <w:tcPr>
            <w:tcW w:w="1225" w:type="dxa"/>
            <w:noWrap w:val="0"/>
            <w:tcMar>
              <w:left w:w="57" w:type="dxa"/>
              <w:right w:w="57" w:type="dxa"/>
            </w:tcMar>
            <w:vAlign w:val="center"/>
          </w:tcPr>
          <w:p w14:paraId="0DE593A8">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得到优化</w:t>
            </w:r>
          </w:p>
        </w:tc>
      </w:tr>
      <w:tr w14:paraId="0BDE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6E40F5D2">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19F1487E">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14:paraId="515B87FF">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促进财务管理规范化</w:t>
            </w:r>
          </w:p>
        </w:tc>
        <w:tc>
          <w:tcPr>
            <w:tcW w:w="2190" w:type="dxa"/>
            <w:gridSpan w:val="2"/>
            <w:noWrap w:val="0"/>
            <w:tcMar>
              <w:left w:w="57" w:type="dxa"/>
              <w:right w:w="57" w:type="dxa"/>
            </w:tcMar>
            <w:vAlign w:val="center"/>
          </w:tcPr>
          <w:p w14:paraId="1D3B01CF">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会计基础工作质量</w:t>
            </w:r>
          </w:p>
        </w:tc>
        <w:tc>
          <w:tcPr>
            <w:tcW w:w="1245" w:type="dxa"/>
            <w:noWrap w:val="0"/>
            <w:tcMar>
              <w:left w:w="57" w:type="dxa"/>
              <w:right w:w="57" w:type="dxa"/>
            </w:tcMar>
            <w:vAlign w:val="center"/>
          </w:tcPr>
          <w:p w14:paraId="4131FE8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3FF19729">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显著提高</w:t>
            </w:r>
          </w:p>
        </w:tc>
        <w:tc>
          <w:tcPr>
            <w:tcW w:w="1225" w:type="dxa"/>
            <w:noWrap w:val="0"/>
            <w:tcMar>
              <w:left w:w="57" w:type="dxa"/>
              <w:right w:w="57" w:type="dxa"/>
            </w:tcMar>
            <w:vAlign w:val="center"/>
          </w:tcPr>
          <w:p w14:paraId="49EE17C1">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显著提高</w:t>
            </w:r>
          </w:p>
        </w:tc>
      </w:tr>
      <w:tr w14:paraId="2451F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378BEFE8">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4665974D">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4E3E9DC4">
            <w:pPr>
              <w:widowControl/>
              <w:snapToGrid w:val="0"/>
              <w:jc w:val="center"/>
              <w:rPr>
                <w:rFonts w:hint="eastAsia" w:ascii="仿宋_GB2312" w:hAnsi="宋体" w:eastAsia="仿宋_GB2312" w:cs="仿宋_GB2312"/>
                <w:color w:val="auto"/>
                <w:kern w:val="0"/>
                <w:highlight w:val="none"/>
                <w:lang w:val="en-US" w:eastAsia="zh-CN"/>
              </w:rPr>
            </w:pPr>
          </w:p>
        </w:tc>
        <w:tc>
          <w:tcPr>
            <w:tcW w:w="2190" w:type="dxa"/>
            <w:gridSpan w:val="2"/>
            <w:noWrap w:val="0"/>
            <w:tcMar>
              <w:left w:w="57" w:type="dxa"/>
              <w:right w:w="57" w:type="dxa"/>
            </w:tcMar>
            <w:vAlign w:val="center"/>
          </w:tcPr>
          <w:p w14:paraId="0EEE2193">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财务风险</w:t>
            </w:r>
          </w:p>
        </w:tc>
        <w:tc>
          <w:tcPr>
            <w:tcW w:w="1245" w:type="dxa"/>
            <w:noWrap w:val="0"/>
            <w:tcMar>
              <w:left w:w="57" w:type="dxa"/>
              <w:right w:w="57" w:type="dxa"/>
            </w:tcMar>
            <w:vAlign w:val="center"/>
          </w:tcPr>
          <w:p w14:paraId="237D48E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1E089ACF">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得到规避</w:t>
            </w:r>
          </w:p>
        </w:tc>
        <w:tc>
          <w:tcPr>
            <w:tcW w:w="1225" w:type="dxa"/>
            <w:noWrap w:val="0"/>
            <w:tcMar>
              <w:left w:w="57" w:type="dxa"/>
              <w:right w:w="57" w:type="dxa"/>
            </w:tcMar>
            <w:vAlign w:val="center"/>
          </w:tcPr>
          <w:p w14:paraId="53B603BB">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得到规避</w:t>
            </w:r>
          </w:p>
        </w:tc>
      </w:tr>
      <w:tr w14:paraId="5A7C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33F79D8F">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4B19CA0F">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00FD6D33">
            <w:pPr>
              <w:widowControl/>
              <w:snapToGrid w:val="0"/>
              <w:jc w:val="center"/>
              <w:rPr>
                <w:rFonts w:hint="default" w:ascii="仿宋_GB2312" w:hAnsi="宋体" w:eastAsia="仿宋_GB2312" w:cs="仿宋_GB2312"/>
                <w:color w:val="auto"/>
                <w:kern w:val="0"/>
                <w:highlight w:val="none"/>
                <w:lang w:val="en-US" w:eastAsia="zh-CN"/>
              </w:rPr>
            </w:pPr>
          </w:p>
        </w:tc>
        <w:tc>
          <w:tcPr>
            <w:tcW w:w="2190" w:type="dxa"/>
            <w:gridSpan w:val="2"/>
            <w:noWrap w:val="0"/>
            <w:tcMar>
              <w:left w:w="57" w:type="dxa"/>
              <w:right w:w="57" w:type="dxa"/>
            </w:tcMar>
            <w:vAlign w:val="center"/>
          </w:tcPr>
          <w:p w14:paraId="250B8A53">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财务工作质量</w:t>
            </w:r>
          </w:p>
        </w:tc>
        <w:tc>
          <w:tcPr>
            <w:tcW w:w="1245" w:type="dxa"/>
            <w:noWrap w:val="0"/>
            <w:tcMar>
              <w:left w:w="57" w:type="dxa"/>
              <w:right w:w="57" w:type="dxa"/>
            </w:tcMar>
            <w:vAlign w:val="center"/>
          </w:tcPr>
          <w:p w14:paraId="24FECFB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58988B3E">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得到提高</w:t>
            </w:r>
          </w:p>
        </w:tc>
        <w:tc>
          <w:tcPr>
            <w:tcW w:w="1225" w:type="dxa"/>
            <w:noWrap w:val="0"/>
            <w:tcMar>
              <w:left w:w="57" w:type="dxa"/>
              <w:right w:w="57" w:type="dxa"/>
            </w:tcMar>
            <w:vAlign w:val="center"/>
          </w:tcPr>
          <w:p w14:paraId="5416EEF4">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得到提高</w:t>
            </w:r>
          </w:p>
        </w:tc>
      </w:tr>
      <w:tr w14:paraId="4EF5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1CD83CC5">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292D7279">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5FB72C04">
            <w:pPr>
              <w:widowControl/>
              <w:snapToGrid w:val="0"/>
              <w:jc w:val="center"/>
              <w:rPr>
                <w:rFonts w:hint="eastAsia" w:ascii="仿宋_GB2312" w:hAnsi="宋体" w:eastAsia="仿宋_GB2312" w:cs="仿宋_GB2312"/>
                <w:color w:val="auto"/>
                <w:kern w:val="0"/>
                <w:highlight w:val="none"/>
                <w:lang w:val="en-US" w:eastAsia="zh-CN"/>
              </w:rPr>
            </w:pPr>
          </w:p>
        </w:tc>
        <w:tc>
          <w:tcPr>
            <w:tcW w:w="2190" w:type="dxa"/>
            <w:gridSpan w:val="2"/>
            <w:noWrap w:val="0"/>
            <w:tcMar>
              <w:left w:w="57" w:type="dxa"/>
              <w:right w:w="57" w:type="dxa"/>
            </w:tcMar>
            <w:vAlign w:val="center"/>
          </w:tcPr>
          <w:p w14:paraId="44558D04">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资产管理水平</w:t>
            </w:r>
          </w:p>
        </w:tc>
        <w:tc>
          <w:tcPr>
            <w:tcW w:w="1245" w:type="dxa"/>
            <w:noWrap w:val="0"/>
            <w:tcMar>
              <w:left w:w="57" w:type="dxa"/>
              <w:right w:w="57" w:type="dxa"/>
            </w:tcMar>
            <w:vAlign w:val="center"/>
          </w:tcPr>
          <w:p w14:paraId="09EB9FC2">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33AA2F93">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提升</w:t>
            </w:r>
          </w:p>
        </w:tc>
        <w:tc>
          <w:tcPr>
            <w:tcW w:w="1225" w:type="dxa"/>
            <w:noWrap w:val="0"/>
            <w:tcMar>
              <w:left w:w="57" w:type="dxa"/>
              <w:right w:w="57" w:type="dxa"/>
            </w:tcMar>
            <w:vAlign w:val="center"/>
          </w:tcPr>
          <w:p w14:paraId="03F61836">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提升</w:t>
            </w:r>
          </w:p>
        </w:tc>
      </w:tr>
      <w:tr w14:paraId="5DB9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378086D4">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75C0BC95">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14:paraId="19F5A52E">
            <w:pPr>
              <w:widowControl/>
              <w:snapToGrid w:val="0"/>
              <w:jc w:val="center"/>
              <w:rPr>
                <w:rFonts w:hint="default" w:ascii="仿宋_GB2312" w:hAnsi="宋体" w:eastAsia="仿宋_GB2312" w:cs="仿宋_GB2312"/>
                <w:color w:val="auto"/>
                <w:kern w:val="0"/>
                <w:highlight w:val="yellow"/>
                <w:lang w:val="en-US" w:eastAsia="zh-CN"/>
              </w:rPr>
            </w:pPr>
            <w:r>
              <w:rPr>
                <w:rFonts w:hint="eastAsia" w:ascii="仿宋_GB2312" w:hAnsi="宋体" w:eastAsia="仿宋_GB2312" w:cs="仿宋_GB2312"/>
                <w:color w:val="auto"/>
                <w:kern w:val="0"/>
                <w:highlight w:val="none"/>
                <w:lang w:val="en-US" w:eastAsia="zh-CN"/>
              </w:rPr>
              <w:t>防范金融风险</w:t>
            </w:r>
          </w:p>
        </w:tc>
        <w:tc>
          <w:tcPr>
            <w:tcW w:w="2190" w:type="dxa"/>
            <w:gridSpan w:val="2"/>
            <w:noWrap w:val="0"/>
            <w:tcMar>
              <w:left w:w="57" w:type="dxa"/>
              <w:right w:w="57" w:type="dxa"/>
            </w:tcMar>
            <w:vAlign w:val="center"/>
          </w:tcPr>
          <w:p w14:paraId="0ECB8596">
            <w:pPr>
              <w:widowControl/>
              <w:snapToGrid w:val="0"/>
              <w:jc w:val="center"/>
              <w:rPr>
                <w:rFonts w:hint="default" w:ascii="仿宋_GB2312" w:hAnsi="宋体" w:eastAsia="仿宋_GB2312" w:cs="仿宋_GB2312"/>
                <w:color w:val="auto"/>
                <w:kern w:val="0"/>
                <w:highlight w:val="yellow"/>
                <w:lang w:val="en-US" w:eastAsia="zh-CN"/>
              </w:rPr>
            </w:pPr>
            <w:r>
              <w:rPr>
                <w:rFonts w:hint="eastAsia" w:ascii="仿宋_GB2312" w:hAnsi="宋体" w:eastAsia="仿宋_GB2312" w:cs="仿宋_GB2312"/>
                <w:color w:val="auto"/>
                <w:kern w:val="0"/>
                <w:highlight w:val="none"/>
                <w:lang w:val="en-US" w:eastAsia="zh-CN"/>
              </w:rPr>
              <w:t>金融风险意识</w:t>
            </w:r>
          </w:p>
        </w:tc>
        <w:tc>
          <w:tcPr>
            <w:tcW w:w="1245" w:type="dxa"/>
            <w:noWrap w:val="0"/>
            <w:tcMar>
              <w:left w:w="57" w:type="dxa"/>
              <w:right w:w="57" w:type="dxa"/>
            </w:tcMar>
            <w:vAlign w:val="center"/>
          </w:tcPr>
          <w:p w14:paraId="04440194">
            <w:pPr>
              <w:widowControl/>
              <w:snapToGrid w:val="0"/>
              <w:jc w:val="center"/>
              <w:rPr>
                <w:rFonts w:ascii="仿宋_GB2312" w:hAnsi="宋体" w:eastAsia="仿宋_GB2312" w:cs="仿宋_GB2312"/>
                <w:color w:val="auto"/>
                <w:kern w:val="0"/>
                <w:highlight w:val="yellow"/>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6325ED20">
            <w:pPr>
              <w:widowControl/>
              <w:snapToGrid w:val="0"/>
              <w:jc w:val="center"/>
              <w:rPr>
                <w:rFonts w:hint="default" w:ascii="仿宋_GB2312" w:hAnsi="宋体" w:eastAsia="仿宋_GB2312" w:cs="仿宋_GB2312"/>
                <w:color w:val="auto"/>
                <w:kern w:val="0"/>
                <w:highlight w:val="yellow"/>
                <w:lang w:val="en-US" w:eastAsia="zh-CN"/>
              </w:rPr>
            </w:pPr>
            <w:r>
              <w:rPr>
                <w:rFonts w:hint="eastAsia" w:ascii="仿宋_GB2312" w:hAnsi="宋体" w:eastAsia="仿宋_GB2312" w:cs="仿宋_GB2312"/>
                <w:color w:val="auto"/>
                <w:kern w:val="0"/>
                <w:highlight w:val="none"/>
                <w:lang w:val="en-US" w:eastAsia="zh-CN"/>
              </w:rPr>
              <w:t>有效提高</w:t>
            </w:r>
          </w:p>
        </w:tc>
        <w:tc>
          <w:tcPr>
            <w:tcW w:w="1225" w:type="dxa"/>
            <w:noWrap w:val="0"/>
            <w:tcMar>
              <w:left w:w="57" w:type="dxa"/>
              <w:right w:w="57" w:type="dxa"/>
            </w:tcMar>
            <w:vAlign w:val="center"/>
          </w:tcPr>
          <w:p w14:paraId="1CA8BFCF">
            <w:pPr>
              <w:widowControl/>
              <w:snapToGrid w:val="0"/>
              <w:jc w:val="center"/>
              <w:rPr>
                <w:rFonts w:hint="default" w:ascii="仿宋_GB2312" w:hAnsi="宋体" w:eastAsia="仿宋_GB2312" w:cs="仿宋_GB2312"/>
                <w:color w:val="auto"/>
                <w:kern w:val="0"/>
                <w:sz w:val="21"/>
                <w:szCs w:val="22"/>
                <w:highlight w:val="yellow"/>
                <w:lang w:val="en-US" w:eastAsia="zh-CN" w:bidi="ar-SA"/>
              </w:rPr>
            </w:pPr>
            <w:r>
              <w:rPr>
                <w:rFonts w:hint="eastAsia" w:ascii="仿宋_GB2312" w:hAnsi="宋体" w:eastAsia="仿宋_GB2312" w:cs="仿宋_GB2312"/>
                <w:color w:val="auto"/>
                <w:kern w:val="0"/>
                <w:highlight w:val="none"/>
                <w:lang w:val="en-US" w:eastAsia="zh-CN"/>
              </w:rPr>
              <w:t>有效提高</w:t>
            </w:r>
          </w:p>
        </w:tc>
      </w:tr>
      <w:tr w14:paraId="0860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6A59C423">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3C1CC853">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14:paraId="7C7A8A1C">
            <w:pPr>
              <w:widowControl/>
              <w:snapToGrid w:val="0"/>
              <w:jc w:val="center"/>
              <w:rPr>
                <w:rFonts w:hint="default" w:ascii="仿宋_GB2312" w:hAnsi="宋体" w:eastAsia="仿宋_GB2312" w:cs="仿宋_GB2312"/>
                <w:color w:val="auto"/>
                <w:kern w:val="0"/>
                <w:highlight w:val="yellow"/>
                <w:lang w:val="en-US" w:eastAsia="zh-CN"/>
              </w:rPr>
            </w:pPr>
            <w:r>
              <w:rPr>
                <w:rFonts w:hint="eastAsia" w:ascii="仿宋_GB2312" w:hAnsi="宋体" w:eastAsia="仿宋_GB2312" w:cs="仿宋_GB2312"/>
                <w:color w:val="auto"/>
                <w:kern w:val="0"/>
                <w:highlight w:val="none"/>
                <w:lang w:val="en-US" w:eastAsia="zh-CN"/>
              </w:rPr>
              <w:t>国民经济社会发展</w:t>
            </w:r>
          </w:p>
        </w:tc>
        <w:tc>
          <w:tcPr>
            <w:tcW w:w="2190" w:type="dxa"/>
            <w:gridSpan w:val="2"/>
            <w:noWrap w:val="0"/>
            <w:tcMar>
              <w:left w:w="57" w:type="dxa"/>
              <w:right w:w="57" w:type="dxa"/>
            </w:tcMar>
            <w:vAlign w:val="center"/>
          </w:tcPr>
          <w:p w14:paraId="227A2761">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经开区发展</w:t>
            </w:r>
          </w:p>
        </w:tc>
        <w:tc>
          <w:tcPr>
            <w:tcW w:w="1245" w:type="dxa"/>
            <w:noWrap w:val="0"/>
            <w:tcMar>
              <w:left w:w="57" w:type="dxa"/>
              <w:right w:w="57" w:type="dxa"/>
            </w:tcMar>
            <w:vAlign w:val="center"/>
          </w:tcPr>
          <w:p w14:paraId="49B25A27">
            <w:pPr>
              <w:widowControl/>
              <w:snapToGrid w:val="0"/>
              <w:jc w:val="both"/>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74585857">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提供保障</w:t>
            </w:r>
          </w:p>
        </w:tc>
        <w:tc>
          <w:tcPr>
            <w:tcW w:w="1225" w:type="dxa"/>
            <w:noWrap w:val="0"/>
            <w:tcMar>
              <w:left w:w="57" w:type="dxa"/>
              <w:right w:w="57" w:type="dxa"/>
            </w:tcMar>
            <w:vAlign w:val="center"/>
          </w:tcPr>
          <w:p w14:paraId="74703779">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提供保障</w:t>
            </w:r>
          </w:p>
        </w:tc>
      </w:tr>
      <w:tr w14:paraId="00D3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76695C33">
            <w:pPr>
              <w:widowControl/>
              <w:snapToGrid w:val="0"/>
              <w:jc w:val="left"/>
              <w:rPr>
                <w:rFonts w:ascii="仿宋_GB2312" w:hAnsi="宋体" w:eastAsia="仿宋_GB2312"/>
                <w:color w:val="auto"/>
                <w:kern w:val="0"/>
                <w:highlight w:val="none"/>
              </w:rPr>
            </w:pPr>
          </w:p>
        </w:tc>
        <w:tc>
          <w:tcPr>
            <w:tcW w:w="979" w:type="dxa"/>
            <w:vMerge w:val="restart"/>
            <w:noWrap w:val="0"/>
            <w:tcMar>
              <w:left w:w="57" w:type="dxa"/>
              <w:right w:w="57" w:type="dxa"/>
            </w:tcMar>
            <w:vAlign w:val="center"/>
          </w:tcPr>
          <w:p w14:paraId="725F9F3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14:paraId="118DB98B">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效应</w:t>
            </w:r>
          </w:p>
        </w:tc>
        <w:tc>
          <w:tcPr>
            <w:tcW w:w="1646" w:type="dxa"/>
            <w:noWrap w:val="0"/>
            <w:tcMar>
              <w:left w:w="57" w:type="dxa"/>
              <w:right w:w="57" w:type="dxa"/>
            </w:tcMar>
            <w:vAlign w:val="center"/>
          </w:tcPr>
          <w:p w14:paraId="4ED9BA7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2190" w:type="dxa"/>
            <w:gridSpan w:val="2"/>
            <w:noWrap w:val="0"/>
            <w:tcMar>
              <w:left w:w="57" w:type="dxa"/>
              <w:right w:w="57" w:type="dxa"/>
            </w:tcMar>
            <w:vAlign w:val="center"/>
          </w:tcPr>
          <w:p w14:paraId="04746F73">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经济发展情况</w:t>
            </w:r>
          </w:p>
        </w:tc>
        <w:tc>
          <w:tcPr>
            <w:tcW w:w="1245" w:type="dxa"/>
            <w:noWrap w:val="0"/>
            <w:tcMar>
              <w:left w:w="57" w:type="dxa"/>
              <w:right w:w="57" w:type="dxa"/>
            </w:tcMar>
            <w:vAlign w:val="center"/>
          </w:tcPr>
          <w:p w14:paraId="5401B98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3E3D246A">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奠定基础</w:t>
            </w:r>
          </w:p>
        </w:tc>
        <w:tc>
          <w:tcPr>
            <w:tcW w:w="1225" w:type="dxa"/>
            <w:noWrap w:val="0"/>
            <w:tcMar>
              <w:left w:w="57" w:type="dxa"/>
              <w:right w:w="57" w:type="dxa"/>
            </w:tcMar>
            <w:vAlign w:val="center"/>
          </w:tcPr>
          <w:p w14:paraId="17BC7E0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奠定基础</w:t>
            </w:r>
          </w:p>
        </w:tc>
      </w:tr>
      <w:tr w14:paraId="1329E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73478D5C">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60EE3706">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14:paraId="36F2134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2190" w:type="dxa"/>
            <w:gridSpan w:val="2"/>
            <w:noWrap w:val="0"/>
            <w:tcMar>
              <w:left w:w="57" w:type="dxa"/>
              <w:right w:w="57" w:type="dxa"/>
            </w:tcMar>
            <w:vAlign w:val="center"/>
          </w:tcPr>
          <w:p w14:paraId="524BBDB1">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政策知晓率</w:t>
            </w:r>
          </w:p>
        </w:tc>
        <w:tc>
          <w:tcPr>
            <w:tcW w:w="1245" w:type="dxa"/>
            <w:noWrap w:val="0"/>
            <w:tcMar>
              <w:left w:w="57" w:type="dxa"/>
              <w:right w:w="57" w:type="dxa"/>
            </w:tcMar>
            <w:vAlign w:val="center"/>
          </w:tcPr>
          <w:p w14:paraId="2A4865C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6BEDC262">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 w:hAnsi="仿宋" w:eastAsia="仿宋" w:cs="仿宋"/>
                <w:color w:val="auto"/>
                <w:kern w:val="0"/>
                <w:highlight w:val="none"/>
                <w:lang w:val="en-US" w:eastAsia="zh-CN"/>
              </w:rPr>
              <w:t>≧90%</w:t>
            </w:r>
          </w:p>
        </w:tc>
        <w:tc>
          <w:tcPr>
            <w:tcW w:w="1225" w:type="dxa"/>
            <w:noWrap w:val="0"/>
            <w:tcMar>
              <w:left w:w="57" w:type="dxa"/>
              <w:right w:w="57" w:type="dxa"/>
            </w:tcMar>
            <w:vAlign w:val="center"/>
          </w:tcPr>
          <w:p w14:paraId="05B58C3B">
            <w:pPr>
              <w:widowControl/>
              <w:snapToGrid w:val="0"/>
              <w:jc w:val="center"/>
              <w:rPr>
                <w:rFonts w:ascii="仿宋_GB2312" w:hAnsi="宋体" w:eastAsia="仿宋_GB2312" w:cs="仿宋_GB2312"/>
                <w:color w:val="auto"/>
                <w:kern w:val="0"/>
                <w:highlight w:val="none"/>
              </w:rPr>
            </w:pPr>
            <w:r>
              <w:rPr>
                <w:rFonts w:hint="eastAsia" w:ascii="仿宋" w:hAnsi="仿宋" w:eastAsia="仿宋" w:cs="仿宋"/>
                <w:color w:val="auto"/>
                <w:kern w:val="0"/>
                <w:highlight w:val="none"/>
                <w:lang w:val="en-US" w:eastAsia="zh-CN"/>
              </w:rPr>
              <w:t>≧90%</w:t>
            </w:r>
          </w:p>
        </w:tc>
      </w:tr>
      <w:tr w14:paraId="20C7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443E7EC9">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74ADF752">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0ED1C740">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38703731">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社会和谐</w:t>
            </w:r>
          </w:p>
        </w:tc>
        <w:tc>
          <w:tcPr>
            <w:tcW w:w="1245" w:type="dxa"/>
            <w:noWrap w:val="0"/>
            <w:tcMar>
              <w:left w:w="57" w:type="dxa"/>
              <w:right w:w="57" w:type="dxa"/>
            </w:tcMar>
            <w:vAlign w:val="center"/>
          </w:tcPr>
          <w:p w14:paraId="1F9238E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55A092D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效果显著</w:t>
            </w:r>
          </w:p>
        </w:tc>
        <w:tc>
          <w:tcPr>
            <w:tcW w:w="1225" w:type="dxa"/>
            <w:noWrap w:val="0"/>
            <w:tcMar>
              <w:left w:w="57" w:type="dxa"/>
              <w:right w:w="57" w:type="dxa"/>
            </w:tcMar>
            <w:vAlign w:val="center"/>
          </w:tcPr>
          <w:p w14:paraId="53923C08">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得到保障</w:t>
            </w:r>
          </w:p>
        </w:tc>
      </w:tr>
      <w:tr w14:paraId="39FA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23CDC3F7">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33462360">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6207BE11">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4362AC2F">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公众金融风险防范意识</w:t>
            </w:r>
          </w:p>
        </w:tc>
        <w:tc>
          <w:tcPr>
            <w:tcW w:w="1245" w:type="dxa"/>
            <w:noWrap w:val="0"/>
            <w:tcMar>
              <w:left w:w="57" w:type="dxa"/>
              <w:right w:w="57" w:type="dxa"/>
            </w:tcMar>
            <w:vAlign w:val="center"/>
          </w:tcPr>
          <w:p w14:paraId="3E65AEA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0F86C28D">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效果明显</w:t>
            </w:r>
          </w:p>
        </w:tc>
        <w:tc>
          <w:tcPr>
            <w:tcW w:w="1225" w:type="dxa"/>
            <w:noWrap w:val="0"/>
            <w:tcMar>
              <w:left w:w="57" w:type="dxa"/>
              <w:right w:w="57" w:type="dxa"/>
            </w:tcMar>
            <w:vAlign w:val="center"/>
          </w:tcPr>
          <w:p w14:paraId="0CA32E89">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提高</w:t>
            </w:r>
          </w:p>
        </w:tc>
      </w:tr>
      <w:tr w14:paraId="0CF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3ACFB347">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0828A1D0">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14:paraId="1BAC263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2190" w:type="dxa"/>
            <w:gridSpan w:val="2"/>
            <w:noWrap w:val="0"/>
            <w:tcMar>
              <w:left w:w="57" w:type="dxa"/>
              <w:right w:w="57" w:type="dxa"/>
            </w:tcMar>
            <w:vAlign w:val="center"/>
          </w:tcPr>
          <w:p w14:paraId="4868FD34">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不涉及</w:t>
            </w:r>
          </w:p>
        </w:tc>
        <w:tc>
          <w:tcPr>
            <w:tcW w:w="1245" w:type="dxa"/>
            <w:noWrap w:val="0"/>
            <w:tcMar>
              <w:left w:w="57" w:type="dxa"/>
              <w:right w:w="57" w:type="dxa"/>
            </w:tcMar>
            <w:vAlign w:val="center"/>
          </w:tcPr>
          <w:p w14:paraId="5B0CA23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581A1DC4">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不涉及</w:t>
            </w:r>
          </w:p>
        </w:tc>
        <w:tc>
          <w:tcPr>
            <w:tcW w:w="1225" w:type="dxa"/>
            <w:noWrap w:val="0"/>
            <w:tcMar>
              <w:left w:w="57" w:type="dxa"/>
              <w:right w:w="57" w:type="dxa"/>
            </w:tcMar>
            <w:vAlign w:val="center"/>
          </w:tcPr>
          <w:p w14:paraId="2C08939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不涉及</w:t>
            </w:r>
          </w:p>
        </w:tc>
      </w:tr>
      <w:tr w14:paraId="5A89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7F5AE3A6">
            <w:pPr>
              <w:widowControl/>
              <w:snapToGrid w:val="0"/>
              <w:jc w:val="left"/>
              <w:rPr>
                <w:rFonts w:ascii="仿宋_GB2312" w:hAnsi="宋体" w:eastAsia="仿宋_GB2312"/>
                <w:color w:val="auto"/>
                <w:kern w:val="0"/>
                <w:highlight w:val="none"/>
              </w:rPr>
            </w:pPr>
          </w:p>
        </w:tc>
        <w:tc>
          <w:tcPr>
            <w:tcW w:w="979" w:type="dxa"/>
            <w:vMerge w:val="restart"/>
            <w:noWrap w:val="0"/>
            <w:tcMar>
              <w:left w:w="57" w:type="dxa"/>
              <w:right w:w="57" w:type="dxa"/>
            </w:tcMar>
            <w:vAlign w:val="center"/>
          </w:tcPr>
          <w:p w14:paraId="772B330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646" w:type="dxa"/>
            <w:vMerge w:val="restart"/>
            <w:noWrap w:val="0"/>
            <w:tcMar>
              <w:left w:w="57" w:type="dxa"/>
              <w:right w:w="57" w:type="dxa"/>
            </w:tcMar>
            <w:vAlign w:val="center"/>
          </w:tcPr>
          <w:p w14:paraId="2CF86EA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2190" w:type="dxa"/>
            <w:gridSpan w:val="2"/>
            <w:noWrap w:val="0"/>
            <w:tcMar>
              <w:left w:w="57" w:type="dxa"/>
              <w:right w:w="57" w:type="dxa"/>
            </w:tcMar>
            <w:vAlign w:val="center"/>
          </w:tcPr>
          <w:p w14:paraId="70A7E46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245" w:type="dxa"/>
            <w:noWrap w:val="0"/>
            <w:tcMar>
              <w:left w:w="57" w:type="dxa"/>
              <w:right w:w="57" w:type="dxa"/>
            </w:tcMar>
            <w:vAlign w:val="center"/>
          </w:tcPr>
          <w:p w14:paraId="583DC77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5995E51B">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不涉及</w:t>
            </w:r>
          </w:p>
        </w:tc>
        <w:tc>
          <w:tcPr>
            <w:tcW w:w="1225" w:type="dxa"/>
            <w:noWrap w:val="0"/>
            <w:tcMar>
              <w:left w:w="57" w:type="dxa"/>
              <w:right w:w="57" w:type="dxa"/>
            </w:tcMar>
            <w:vAlign w:val="center"/>
          </w:tcPr>
          <w:p w14:paraId="778DEFCC">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不涉及</w:t>
            </w:r>
          </w:p>
        </w:tc>
      </w:tr>
      <w:tr w14:paraId="7AB93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6061EA8A">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2957DCE1">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073CCC29">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50B257A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245" w:type="dxa"/>
            <w:noWrap w:val="0"/>
            <w:tcMar>
              <w:left w:w="57" w:type="dxa"/>
              <w:right w:w="57" w:type="dxa"/>
            </w:tcMar>
            <w:vAlign w:val="center"/>
          </w:tcPr>
          <w:p w14:paraId="243729B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32558EF2">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不涉及</w:t>
            </w:r>
          </w:p>
        </w:tc>
        <w:tc>
          <w:tcPr>
            <w:tcW w:w="1225" w:type="dxa"/>
            <w:noWrap w:val="0"/>
            <w:tcMar>
              <w:left w:w="57" w:type="dxa"/>
              <w:right w:w="57" w:type="dxa"/>
            </w:tcMar>
            <w:vAlign w:val="center"/>
          </w:tcPr>
          <w:p w14:paraId="1F9C2193">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不涉及</w:t>
            </w:r>
          </w:p>
        </w:tc>
      </w:tr>
      <w:tr w14:paraId="0129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593F74B0">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1DD8AA5B">
            <w:pPr>
              <w:widowControl/>
              <w:snapToGrid w:val="0"/>
              <w:jc w:val="center"/>
              <w:rPr>
                <w:rFonts w:ascii="仿宋_GB2312" w:hAnsi="宋体" w:eastAsia="仿宋_GB2312"/>
                <w:color w:val="auto"/>
                <w:kern w:val="0"/>
                <w:highlight w:val="none"/>
              </w:rPr>
            </w:pPr>
          </w:p>
        </w:tc>
        <w:tc>
          <w:tcPr>
            <w:tcW w:w="1646" w:type="dxa"/>
            <w:vMerge w:val="restart"/>
            <w:noWrap w:val="0"/>
            <w:tcMar>
              <w:left w:w="57" w:type="dxa"/>
              <w:right w:w="57" w:type="dxa"/>
            </w:tcMar>
            <w:vAlign w:val="center"/>
          </w:tcPr>
          <w:p w14:paraId="6EA019BC">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2190" w:type="dxa"/>
            <w:gridSpan w:val="2"/>
            <w:noWrap w:val="0"/>
            <w:tcMar>
              <w:left w:w="57" w:type="dxa"/>
              <w:right w:w="57" w:type="dxa"/>
            </w:tcMar>
            <w:vAlign w:val="center"/>
          </w:tcPr>
          <w:p w14:paraId="4563696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245" w:type="dxa"/>
            <w:noWrap w:val="0"/>
            <w:tcMar>
              <w:left w:w="57" w:type="dxa"/>
              <w:right w:w="57" w:type="dxa"/>
            </w:tcMar>
            <w:vAlign w:val="center"/>
          </w:tcPr>
          <w:p w14:paraId="1E27DB5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024F0E40">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1225" w:type="dxa"/>
            <w:noWrap w:val="0"/>
            <w:tcMar>
              <w:left w:w="57" w:type="dxa"/>
              <w:right w:w="57" w:type="dxa"/>
            </w:tcMar>
            <w:vAlign w:val="center"/>
          </w:tcPr>
          <w:p w14:paraId="7E402566">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r>
      <w:tr w14:paraId="1297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531A4E26">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44C1FF4A">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5E63F64B">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7DB8656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245" w:type="dxa"/>
            <w:noWrap w:val="0"/>
            <w:tcMar>
              <w:left w:w="57" w:type="dxa"/>
              <w:right w:w="57" w:type="dxa"/>
            </w:tcMar>
            <w:vAlign w:val="center"/>
          </w:tcPr>
          <w:p w14:paraId="25FE93A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64BB3A91">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不涉及</w:t>
            </w:r>
          </w:p>
        </w:tc>
        <w:tc>
          <w:tcPr>
            <w:tcW w:w="1225" w:type="dxa"/>
            <w:noWrap w:val="0"/>
            <w:tcMar>
              <w:left w:w="57" w:type="dxa"/>
              <w:right w:w="57" w:type="dxa"/>
            </w:tcMar>
            <w:vAlign w:val="center"/>
          </w:tcPr>
          <w:p w14:paraId="09EF0516">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不涉及</w:t>
            </w:r>
          </w:p>
        </w:tc>
      </w:tr>
      <w:tr w14:paraId="34C8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0DAA6A34">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57199508">
            <w:pPr>
              <w:widowControl/>
              <w:snapToGrid w:val="0"/>
              <w:jc w:val="center"/>
              <w:rPr>
                <w:rFonts w:ascii="仿宋_GB2312" w:hAnsi="宋体" w:eastAsia="仿宋_GB2312"/>
                <w:color w:val="auto"/>
                <w:kern w:val="0"/>
                <w:highlight w:val="none"/>
              </w:rPr>
            </w:pPr>
          </w:p>
        </w:tc>
        <w:tc>
          <w:tcPr>
            <w:tcW w:w="1646" w:type="dxa"/>
            <w:vMerge w:val="continue"/>
            <w:noWrap w:val="0"/>
            <w:tcMar>
              <w:left w:w="57" w:type="dxa"/>
              <w:right w:w="57" w:type="dxa"/>
            </w:tcMar>
            <w:vAlign w:val="center"/>
          </w:tcPr>
          <w:p w14:paraId="3295519A">
            <w:pPr>
              <w:widowControl/>
              <w:snapToGrid w:val="0"/>
              <w:jc w:val="center"/>
              <w:rPr>
                <w:rFonts w:hint="eastAsia" w:ascii="仿宋_GB2312" w:hAnsi="宋体" w:eastAsia="仿宋_GB2312" w:cs="仿宋_GB2312"/>
                <w:color w:val="auto"/>
                <w:kern w:val="0"/>
                <w:highlight w:val="none"/>
              </w:rPr>
            </w:pPr>
          </w:p>
        </w:tc>
        <w:tc>
          <w:tcPr>
            <w:tcW w:w="2190" w:type="dxa"/>
            <w:gridSpan w:val="2"/>
            <w:noWrap w:val="0"/>
            <w:tcMar>
              <w:left w:w="57" w:type="dxa"/>
              <w:right w:w="57" w:type="dxa"/>
            </w:tcMar>
            <w:vAlign w:val="center"/>
          </w:tcPr>
          <w:p w14:paraId="2AD92CF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245" w:type="dxa"/>
            <w:noWrap w:val="0"/>
            <w:tcMar>
              <w:left w:w="57" w:type="dxa"/>
              <w:right w:w="57" w:type="dxa"/>
            </w:tcMar>
            <w:vAlign w:val="center"/>
          </w:tcPr>
          <w:p w14:paraId="719086F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1CFCE775">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不涉及</w:t>
            </w:r>
          </w:p>
        </w:tc>
        <w:tc>
          <w:tcPr>
            <w:tcW w:w="1225" w:type="dxa"/>
            <w:noWrap w:val="0"/>
            <w:tcMar>
              <w:left w:w="57" w:type="dxa"/>
              <w:right w:w="57" w:type="dxa"/>
            </w:tcMar>
            <w:vAlign w:val="center"/>
          </w:tcPr>
          <w:p w14:paraId="1B566369">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不涉及</w:t>
            </w:r>
          </w:p>
        </w:tc>
      </w:tr>
      <w:tr w14:paraId="04E3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05188FE1">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40533EE4">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14:paraId="2A957A21">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2190" w:type="dxa"/>
            <w:gridSpan w:val="2"/>
            <w:noWrap w:val="0"/>
            <w:tcMar>
              <w:left w:w="57" w:type="dxa"/>
              <w:right w:w="57" w:type="dxa"/>
            </w:tcMar>
            <w:vAlign w:val="center"/>
          </w:tcPr>
          <w:p w14:paraId="28C516A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245" w:type="dxa"/>
            <w:noWrap w:val="0"/>
            <w:tcMar>
              <w:left w:w="57" w:type="dxa"/>
              <w:right w:w="57" w:type="dxa"/>
            </w:tcMar>
            <w:vAlign w:val="center"/>
          </w:tcPr>
          <w:p w14:paraId="7EFA3DF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01ED3080">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不涉及</w:t>
            </w:r>
          </w:p>
        </w:tc>
        <w:tc>
          <w:tcPr>
            <w:tcW w:w="1225" w:type="dxa"/>
            <w:noWrap w:val="0"/>
            <w:tcMar>
              <w:left w:w="57" w:type="dxa"/>
              <w:right w:w="57" w:type="dxa"/>
            </w:tcMar>
            <w:vAlign w:val="center"/>
          </w:tcPr>
          <w:p w14:paraId="455C993A">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不涉及</w:t>
            </w:r>
          </w:p>
        </w:tc>
      </w:tr>
      <w:tr w14:paraId="001E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4F1C9D79">
            <w:pPr>
              <w:widowControl/>
              <w:snapToGrid w:val="0"/>
              <w:jc w:val="left"/>
              <w:rPr>
                <w:rFonts w:ascii="仿宋_GB2312" w:hAnsi="宋体" w:eastAsia="仿宋_GB2312"/>
                <w:color w:val="auto"/>
                <w:kern w:val="0"/>
                <w:highlight w:val="none"/>
              </w:rPr>
            </w:pPr>
          </w:p>
        </w:tc>
        <w:tc>
          <w:tcPr>
            <w:tcW w:w="979" w:type="dxa"/>
            <w:vMerge w:val="restart"/>
            <w:noWrap w:val="0"/>
            <w:tcMar>
              <w:left w:w="57" w:type="dxa"/>
              <w:right w:w="57" w:type="dxa"/>
            </w:tcMar>
            <w:vAlign w:val="center"/>
          </w:tcPr>
          <w:p w14:paraId="2B0E96B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646" w:type="dxa"/>
            <w:noWrap w:val="0"/>
            <w:tcMar>
              <w:left w:w="57" w:type="dxa"/>
              <w:right w:w="57" w:type="dxa"/>
            </w:tcMar>
            <w:vAlign w:val="center"/>
          </w:tcPr>
          <w:p w14:paraId="3B659D4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2190" w:type="dxa"/>
            <w:gridSpan w:val="2"/>
            <w:noWrap w:val="0"/>
            <w:tcMar>
              <w:left w:w="57" w:type="dxa"/>
              <w:right w:w="57" w:type="dxa"/>
            </w:tcMar>
            <w:vAlign w:val="center"/>
          </w:tcPr>
          <w:p w14:paraId="1818DCE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245" w:type="dxa"/>
            <w:noWrap w:val="0"/>
            <w:tcMar>
              <w:left w:w="57" w:type="dxa"/>
              <w:right w:w="57" w:type="dxa"/>
            </w:tcMar>
            <w:vAlign w:val="center"/>
          </w:tcPr>
          <w:p w14:paraId="425CD0E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03227B8C">
            <w:pPr>
              <w:widowControl/>
              <w:snapToGrid w:val="0"/>
              <w:jc w:val="center"/>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90%</w:t>
            </w:r>
          </w:p>
        </w:tc>
        <w:tc>
          <w:tcPr>
            <w:tcW w:w="1225" w:type="dxa"/>
            <w:noWrap w:val="0"/>
            <w:tcMar>
              <w:left w:w="57" w:type="dxa"/>
              <w:right w:w="57" w:type="dxa"/>
            </w:tcMar>
            <w:vAlign w:val="center"/>
          </w:tcPr>
          <w:p w14:paraId="666AB34E">
            <w:pPr>
              <w:widowControl/>
              <w:snapToGrid w:val="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90%</w:t>
            </w:r>
          </w:p>
        </w:tc>
      </w:tr>
      <w:tr w14:paraId="78B6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noWrap w:val="0"/>
            <w:tcMar>
              <w:left w:w="57" w:type="dxa"/>
              <w:right w:w="57" w:type="dxa"/>
            </w:tcMar>
            <w:vAlign w:val="center"/>
          </w:tcPr>
          <w:p w14:paraId="755FEB5D">
            <w:pPr>
              <w:widowControl/>
              <w:snapToGrid w:val="0"/>
              <w:jc w:val="left"/>
              <w:rPr>
                <w:rFonts w:ascii="仿宋_GB2312" w:hAnsi="宋体" w:eastAsia="仿宋_GB2312"/>
                <w:color w:val="auto"/>
                <w:kern w:val="0"/>
                <w:highlight w:val="none"/>
              </w:rPr>
            </w:pPr>
          </w:p>
        </w:tc>
        <w:tc>
          <w:tcPr>
            <w:tcW w:w="979" w:type="dxa"/>
            <w:vMerge w:val="continue"/>
            <w:noWrap w:val="0"/>
            <w:tcMar>
              <w:left w:w="57" w:type="dxa"/>
              <w:right w:w="57" w:type="dxa"/>
            </w:tcMar>
            <w:vAlign w:val="center"/>
          </w:tcPr>
          <w:p w14:paraId="4D317174">
            <w:pPr>
              <w:widowControl/>
              <w:snapToGrid w:val="0"/>
              <w:jc w:val="center"/>
              <w:rPr>
                <w:rFonts w:ascii="仿宋_GB2312" w:hAnsi="宋体" w:eastAsia="仿宋_GB2312"/>
                <w:color w:val="auto"/>
                <w:kern w:val="0"/>
                <w:highlight w:val="none"/>
              </w:rPr>
            </w:pPr>
          </w:p>
        </w:tc>
        <w:tc>
          <w:tcPr>
            <w:tcW w:w="1646" w:type="dxa"/>
            <w:noWrap w:val="0"/>
            <w:tcMar>
              <w:left w:w="57" w:type="dxa"/>
              <w:right w:w="57" w:type="dxa"/>
            </w:tcMar>
            <w:vAlign w:val="center"/>
          </w:tcPr>
          <w:p w14:paraId="462D25F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2190" w:type="dxa"/>
            <w:gridSpan w:val="2"/>
            <w:noWrap w:val="0"/>
            <w:tcMar>
              <w:left w:w="57" w:type="dxa"/>
              <w:right w:w="57" w:type="dxa"/>
            </w:tcMar>
            <w:vAlign w:val="center"/>
          </w:tcPr>
          <w:p w14:paraId="30A0BA6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245" w:type="dxa"/>
            <w:noWrap w:val="0"/>
            <w:tcMar>
              <w:left w:w="57" w:type="dxa"/>
              <w:right w:w="57" w:type="dxa"/>
            </w:tcMar>
            <w:vAlign w:val="center"/>
          </w:tcPr>
          <w:p w14:paraId="6FD7A1F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基础绩效型</w:t>
            </w:r>
          </w:p>
        </w:tc>
        <w:tc>
          <w:tcPr>
            <w:tcW w:w="1200" w:type="dxa"/>
            <w:noWrap w:val="0"/>
            <w:tcMar>
              <w:left w:w="57" w:type="dxa"/>
              <w:right w:w="57" w:type="dxa"/>
            </w:tcMar>
            <w:vAlign w:val="center"/>
          </w:tcPr>
          <w:p w14:paraId="3042F30D">
            <w:pPr>
              <w:widowControl/>
              <w:snapToGrid w:val="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90%</w:t>
            </w:r>
          </w:p>
        </w:tc>
        <w:tc>
          <w:tcPr>
            <w:tcW w:w="1225" w:type="dxa"/>
            <w:noWrap w:val="0"/>
            <w:tcMar>
              <w:left w:w="57" w:type="dxa"/>
              <w:right w:w="57" w:type="dxa"/>
            </w:tcMar>
            <w:vAlign w:val="center"/>
          </w:tcPr>
          <w:p w14:paraId="23DEE22B">
            <w:pPr>
              <w:widowControl/>
              <w:snapToGrid w:val="0"/>
              <w:jc w:val="center"/>
              <w:rPr>
                <w:rFonts w:hint="eastAsia" w:ascii="仿宋" w:hAnsi="仿宋" w:eastAsia="仿宋" w:cs="仿宋"/>
                <w:color w:val="auto"/>
                <w:kern w:val="0"/>
                <w:highlight w:val="none"/>
              </w:rPr>
            </w:pPr>
            <w:r>
              <w:rPr>
                <w:rFonts w:hint="eastAsia" w:ascii="仿宋" w:hAnsi="仿宋" w:eastAsia="仿宋" w:cs="仿宋"/>
                <w:color w:val="auto"/>
                <w:kern w:val="0"/>
                <w:highlight w:val="none"/>
              </w:rPr>
              <w:t>≧</w:t>
            </w:r>
            <w:r>
              <w:rPr>
                <w:rFonts w:hint="eastAsia" w:ascii="仿宋" w:hAnsi="仿宋" w:eastAsia="仿宋" w:cs="仿宋"/>
                <w:color w:val="auto"/>
                <w:kern w:val="0"/>
                <w:highlight w:val="none"/>
                <w:lang w:val="en-US" w:eastAsia="zh-CN"/>
              </w:rPr>
              <w:t>90%</w:t>
            </w:r>
          </w:p>
        </w:tc>
      </w:tr>
      <w:tr w14:paraId="2248D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629" w:type="dxa"/>
            <w:gridSpan w:val="2"/>
            <w:noWrap w:val="0"/>
            <w:tcMar>
              <w:left w:w="57" w:type="dxa"/>
              <w:right w:w="57" w:type="dxa"/>
            </w:tcMar>
            <w:vAlign w:val="center"/>
          </w:tcPr>
          <w:p w14:paraId="0D882967">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26F66DCB">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7F4FF4B5">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原因分析</w:t>
            </w:r>
          </w:p>
        </w:tc>
        <w:tc>
          <w:tcPr>
            <w:tcW w:w="7506" w:type="dxa"/>
            <w:gridSpan w:val="6"/>
            <w:noWrap w:val="0"/>
            <w:tcMar>
              <w:left w:w="57" w:type="dxa"/>
              <w:right w:w="57" w:type="dxa"/>
            </w:tcMar>
            <w:vAlign w:val="center"/>
          </w:tcPr>
          <w:p w14:paraId="69864BB9">
            <w:pPr>
              <w:widowControl/>
              <w:snapToGrid w:val="0"/>
              <w:ind w:firstLine="640" w:firstLineChars="200"/>
              <w:jc w:val="left"/>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年初预算编制不够精准，部分工作未能如期按照计划开展，导致存在偏差。</w:t>
            </w:r>
          </w:p>
        </w:tc>
      </w:tr>
      <w:tr w14:paraId="21B5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629" w:type="dxa"/>
            <w:gridSpan w:val="2"/>
            <w:noWrap w:val="0"/>
            <w:tcMar>
              <w:left w:w="57" w:type="dxa"/>
              <w:right w:w="57" w:type="dxa"/>
            </w:tcMar>
            <w:vAlign w:val="center"/>
          </w:tcPr>
          <w:p w14:paraId="5EEE6AF5">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292B8795">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结果应用方案</w:t>
            </w:r>
          </w:p>
        </w:tc>
        <w:tc>
          <w:tcPr>
            <w:tcW w:w="7506" w:type="dxa"/>
            <w:gridSpan w:val="6"/>
            <w:noWrap w:val="0"/>
            <w:tcMar>
              <w:left w:w="57" w:type="dxa"/>
              <w:right w:w="57" w:type="dxa"/>
            </w:tcMar>
            <w:vAlign w:val="center"/>
          </w:tcPr>
          <w:p w14:paraId="225F3A6D">
            <w:pPr>
              <w:widowControl/>
              <w:snapToGrid w:val="0"/>
              <w:ind w:firstLine="640" w:firstLineChars="200"/>
              <w:jc w:val="left"/>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科学编制预算、合理分配预算资金，完善部门整体绩效目标，提高部门和单位整体绩效水平。</w:t>
            </w:r>
          </w:p>
        </w:tc>
      </w:tr>
    </w:tbl>
    <w:p w14:paraId="385A5539">
      <w:pPr>
        <w:widowControl/>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备注：</w:t>
      </w:r>
    </w:p>
    <w:p w14:paraId="1E679F44">
      <w:pPr>
        <w:widowControl/>
        <w:ind w:firstLine="400" w:firstLineChars="200"/>
        <w:rPr>
          <w:rFonts w:hint="eastAsia" w:ascii="仿宋_GB2312" w:hAnsi="宋体" w:eastAsia="仿宋_GB2312" w:cs="Times New Roman"/>
          <w:kern w:val="0"/>
          <w:sz w:val="20"/>
          <w:szCs w:val="20"/>
          <w:lang w:eastAsia="zh-CN"/>
        </w:rPr>
      </w:pPr>
      <w:r>
        <w:rPr>
          <w:rFonts w:ascii="仿宋_GB2312" w:hAnsi="宋体" w:eastAsia="仿宋_GB2312" w:cs="仿宋_GB2312"/>
          <w:kern w:val="0"/>
          <w:sz w:val="20"/>
          <w:szCs w:val="20"/>
        </w:rPr>
        <w:t>1.</w:t>
      </w:r>
      <w:r>
        <w:rPr>
          <w:rFonts w:hint="eastAsia" w:ascii="仿宋_GB2312" w:hAnsi="宋体" w:eastAsia="仿宋_GB2312" w:cs="仿宋_GB2312"/>
          <w:kern w:val="0"/>
          <w:sz w:val="20"/>
          <w:szCs w:val="20"/>
          <w:lang w:eastAsia="zh-CN"/>
        </w:rPr>
        <w:t>基本支出总额和项目支出总额为财政资金实际支出数。</w:t>
      </w:r>
    </w:p>
    <w:p w14:paraId="41B364C6">
      <w:pPr>
        <w:widowControl/>
        <w:ind w:firstLine="400" w:firstLineChars="200"/>
        <w:rPr>
          <w:rFonts w:ascii="仿宋_GB2312" w:hAnsi="宋体" w:eastAsia="仿宋_GB2312" w:cs="仿宋_GB2312"/>
          <w:kern w:val="0"/>
          <w:sz w:val="20"/>
          <w:szCs w:val="20"/>
        </w:rPr>
      </w:pPr>
      <w:r>
        <w:rPr>
          <w:rFonts w:hint="eastAsia" w:ascii="仿宋_GB2312" w:hAnsi="宋体" w:eastAsia="仿宋_GB2312" w:cs="仿宋_GB2312"/>
          <w:kern w:val="0"/>
          <w:sz w:val="20"/>
          <w:szCs w:val="20"/>
          <w:lang w:val="en-US" w:eastAsia="zh-CN"/>
        </w:rPr>
        <w:t>2</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基于经济性和必要性等因素考虑，满意度指标暂可不作为必评指标。</w:t>
      </w:r>
    </w:p>
    <w:p w14:paraId="305F268C"/>
    <w:p w14:paraId="53B7B591"/>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Noto Serif Armenian">
    <w:altName w:val="PMingLiU-ExtB"/>
    <w:panose1 w:val="02020502060505020204"/>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00"/>
    <w:family w:val="swiss"/>
    <w:pitch w:val="default"/>
    <w:sig w:usb0="00000000" w:usb1="00000000" w:usb2="00000000" w:usb3="00000000" w:csb0="0000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250E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9E9078">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59E9078">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1E151"/>
    <w:multiLevelType w:val="singleLevel"/>
    <w:tmpl w:val="8DD1E151"/>
    <w:lvl w:ilvl="0" w:tentative="0">
      <w:start w:val="1"/>
      <w:numFmt w:val="decimal"/>
      <w:suff w:val="nothing"/>
      <w:lvlText w:val="（%1）"/>
      <w:lvlJc w:val="left"/>
    </w:lvl>
  </w:abstractNum>
  <w:abstractNum w:abstractNumId="1">
    <w:nsid w:val="96C759E8"/>
    <w:multiLevelType w:val="singleLevel"/>
    <w:tmpl w:val="96C759E8"/>
    <w:lvl w:ilvl="0" w:tentative="0">
      <w:start w:val="1"/>
      <w:numFmt w:val="decimal"/>
      <w:lvlText w:val="%1."/>
      <w:lvlJc w:val="left"/>
      <w:pPr>
        <w:ind w:left="425" w:hanging="425"/>
      </w:pPr>
      <w:rPr>
        <w:rFonts w:hint="default"/>
      </w:rPr>
    </w:lvl>
  </w:abstractNum>
  <w:abstractNum w:abstractNumId="2">
    <w:nsid w:val="CD70B7E2"/>
    <w:multiLevelType w:val="singleLevel"/>
    <w:tmpl w:val="CD70B7E2"/>
    <w:lvl w:ilvl="0" w:tentative="0">
      <w:start w:val="1"/>
      <w:numFmt w:val="decimal"/>
      <w:lvlText w:val="%1."/>
      <w:lvlJc w:val="left"/>
      <w:pPr>
        <w:tabs>
          <w:tab w:val="left" w:pos="312"/>
        </w:tabs>
      </w:pPr>
    </w:lvl>
  </w:abstractNum>
  <w:abstractNum w:abstractNumId="3">
    <w:nsid w:val="F85983D4"/>
    <w:multiLevelType w:val="singleLevel"/>
    <w:tmpl w:val="F85983D4"/>
    <w:lvl w:ilvl="0" w:tentative="0">
      <w:start w:val="1"/>
      <w:numFmt w:val="chineseCounting"/>
      <w:suff w:val="nothing"/>
      <w:lvlText w:val="%1、"/>
      <w:lvlJc w:val="left"/>
      <w:rPr>
        <w:rFonts w:hint="eastAsia"/>
      </w:rPr>
    </w:lvl>
  </w:abstractNum>
  <w:abstractNum w:abstractNumId="4">
    <w:nsid w:val="072EC45A"/>
    <w:multiLevelType w:val="singleLevel"/>
    <w:tmpl w:val="072EC45A"/>
    <w:lvl w:ilvl="0" w:tentative="0">
      <w:start w:val="4"/>
      <w:numFmt w:val="chineseCounting"/>
      <w:suff w:val="space"/>
      <w:lvlText w:val="第%1部分"/>
      <w:lvlJc w:val="left"/>
      <w:rPr>
        <w:rFonts w:hint="eastAsia"/>
      </w:rPr>
    </w:lvl>
  </w:abstractNum>
  <w:abstractNum w:abstractNumId="5">
    <w:nsid w:val="54B6BB3E"/>
    <w:multiLevelType w:val="singleLevel"/>
    <w:tmpl w:val="54B6BB3E"/>
    <w:lvl w:ilvl="0" w:tentative="0">
      <w:start w:val="1"/>
      <w:numFmt w:val="chineseCounting"/>
      <w:suff w:val="nothing"/>
      <w:lvlText w:val="%1、"/>
      <w:lvlJc w:val="left"/>
      <w:rPr>
        <w:rFonts w:hint="eastAsia"/>
      </w:rPr>
    </w:lvl>
  </w:abstractNum>
  <w:abstractNum w:abstractNumId="6">
    <w:nsid w:val="6DB27BDC"/>
    <w:multiLevelType w:val="singleLevel"/>
    <w:tmpl w:val="6DB27BDC"/>
    <w:lvl w:ilvl="0" w:tentative="0">
      <w:start w:val="1"/>
      <w:numFmt w:val="decimal"/>
      <w:suff w:val="nothing"/>
      <w:lvlText w:val="（%1）"/>
      <w:lvlJc w:val="left"/>
      <w:pPr>
        <w:ind w:left="480" w:firstLine="0"/>
      </w:pPr>
    </w:lvl>
  </w:abstractNum>
  <w:abstractNum w:abstractNumId="7">
    <w:nsid w:val="7A17E2F8"/>
    <w:multiLevelType w:val="singleLevel"/>
    <w:tmpl w:val="7A17E2F8"/>
    <w:lvl w:ilvl="0" w:tentative="0">
      <w:start w:val="1"/>
      <w:numFmt w:val="decimal"/>
      <w:lvlText w:val="%1."/>
      <w:lvlJc w:val="left"/>
      <w:pPr>
        <w:tabs>
          <w:tab w:val="left" w:pos="312"/>
        </w:tabs>
      </w:pPr>
    </w:lvl>
  </w:abstractNum>
  <w:num w:numId="1">
    <w:abstractNumId w:val="5"/>
  </w:num>
  <w:num w:numId="2">
    <w:abstractNumId w:val="4"/>
  </w:num>
  <w:num w:numId="3">
    <w:abstractNumId w:val="3"/>
  </w:num>
  <w:num w:numId="4">
    <w:abstractNumId w:val="1"/>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jcxYjk3NTFmYjg0ZWVjNTBmNDMxZjM3OGVlMGIifQ=="/>
  </w:docVars>
  <w:rsids>
    <w:rsidRoot w:val="230C0DB2"/>
    <w:rsid w:val="00D53DF7"/>
    <w:rsid w:val="09842C00"/>
    <w:rsid w:val="0C637445"/>
    <w:rsid w:val="0D242020"/>
    <w:rsid w:val="0E954B8C"/>
    <w:rsid w:val="0EA61216"/>
    <w:rsid w:val="15440949"/>
    <w:rsid w:val="1B1069E9"/>
    <w:rsid w:val="1DE657E0"/>
    <w:rsid w:val="230C0DB2"/>
    <w:rsid w:val="273870AC"/>
    <w:rsid w:val="2AA1140C"/>
    <w:rsid w:val="2FEC640C"/>
    <w:rsid w:val="332901F1"/>
    <w:rsid w:val="341B5D8B"/>
    <w:rsid w:val="399F2FBB"/>
    <w:rsid w:val="41D43A1D"/>
    <w:rsid w:val="54240834"/>
    <w:rsid w:val="54273E81"/>
    <w:rsid w:val="5EDA66BF"/>
    <w:rsid w:val="5FCA04E2"/>
    <w:rsid w:val="5FE5531C"/>
    <w:rsid w:val="67D31EFE"/>
    <w:rsid w:val="6A5E63F6"/>
    <w:rsid w:val="74A964C0"/>
    <w:rsid w:val="78F10436"/>
    <w:rsid w:val="7A925C48"/>
    <w:rsid w:val="7D22132A"/>
    <w:rsid w:val="7D621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pacing w:before="100" w:beforeAutospacing="1" w:after="100" w:afterAutospacing="1"/>
      <w:ind w:left="140"/>
      <w:jc w:val="left"/>
    </w:pPr>
    <w:rPr>
      <w:rFonts w:ascii="宋体" w:hAnsi="宋体"/>
      <w:kern w:val="0"/>
      <w:sz w:val="24"/>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3.e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12.emf"/><Relationship Id="rId18" Type="http://schemas.openxmlformats.org/officeDocument/2006/relationships/oleObject" Target="embeddings/oleObject3.bin"/><Relationship Id="rId17" Type="http://schemas.openxmlformats.org/officeDocument/2006/relationships/image" Target="media/image11.emf"/><Relationship Id="rId16" Type="http://schemas.openxmlformats.org/officeDocument/2006/relationships/oleObject" Target="embeddings/oleObject2.bin"/><Relationship Id="rId15" Type="http://schemas.openxmlformats.org/officeDocument/2006/relationships/image" Target="media/image10.emf"/><Relationship Id="rId14" Type="http://schemas.openxmlformats.org/officeDocument/2006/relationships/oleObject" Target="embeddings/oleObject1.bin"/><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15386</Words>
  <Characters>16360</Characters>
  <Lines>0</Lines>
  <Paragraphs>0</Paragraphs>
  <TotalTime>18</TotalTime>
  <ScaleCrop>false</ScaleCrop>
  <LinksUpToDate>false</LinksUpToDate>
  <CharactersWithSpaces>16702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2024-11-05T03:21:00Z</dcterms:created>
  <dc:creator>格格子琦</dc:creator>
  <cp:lastModifiedBy>-</cp:lastModifiedBy>
  <dcterms:modified xsi:type="dcterms:W3CDTF">2024-11-19T02:17:02Z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1132F1B59B4A4B059AF3DE5A2B9C78D4_13</vt:lpwstr>
  </property>
</Properties>
</file>