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4" w:lineRule="auto"/>
        <w:ind w:left="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1"/>
          <w:sz w:val="23"/>
          <w:szCs w:val="23"/>
        </w:rPr>
        <w:t>附件2</w:t>
      </w: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74" w:line="190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填报单位：(加盖单位公章)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0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风险线索排查处置情况统计表</w:t>
      </w:r>
    </w:p>
    <w:p>
      <w:pPr>
        <w:pStyle w:val="2"/>
        <w:spacing w:line="270" w:lineRule="auto"/>
      </w:pPr>
    </w:p>
    <w:p>
      <w:pPr>
        <w:spacing w:before="74" w:line="205" w:lineRule="auto"/>
        <w:ind w:left="195"/>
        <w:rPr>
          <w:rFonts w:ascii="仿宋" w:hAnsi="仿宋" w:eastAsia="仿宋" w:cs="仿宋"/>
          <w:sz w:val="23"/>
          <w:szCs w:val="23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41275</wp:posOffset>
                </wp:positionV>
                <wp:extent cx="733425" cy="2019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3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6"/>
                                <w:sz w:val="23"/>
                                <w:szCs w:val="23"/>
                              </w:rPr>
                              <w:t>联系方式：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75pt;margin-top:3.25pt;height:15.9pt;width:57.75pt;z-index:251660288;mso-width-relative:page;mso-height-relative:page;" filled="f" stroked="f" coordsize="21600,21600" o:gfxdata="UEsDBAoAAAAAAIdO4kAAAAAAAAAAAAAAAAAEAAAAZHJzL1BLAwQUAAAACACHTuJARiwQTNgAAAAI&#10;AQAADwAAAGRycy9kb3ducmV2LnhtbE2PzU7DMBCE70i8g7VI3KhdooQ2xKkQghMSIg0Hjk68TaLG&#10;6xC7P7w9y4medlczmv2m2JzdKI44h8GThuVCgUBqvR2o0/BZv96tQIRoyJrRE2r4wQCb8vqqMLn1&#10;J6rwuI2d4BAKudHQxzjlUoa2R2fCwk9IrO387Ezkc+6knc2Jw90o75XKpDMD8YfeTPjcY7vfHpyG&#10;py+qXobv9+aj2lVDXa8VvWV7rW9vluoRRMRz/DfDHz6jQ8lMjT+QDWLUkCXrlK288GD9IU25W6Mh&#10;WSUgy0JeFih/AVBLAwQUAAAACACHTuJAd5yDA6YBAAAsAwAADgAAAGRycy9lMm9Eb2MueG1srVLN&#10;ThsxEL4j9R0s35vND5SyygapQqBKFSDRPoDjtbOWbI81NtnNC7RvwKkX7jxXnoOxSUJbbqgX7+zM&#10;+Jvv+8bz88FZtlYYDfiGT0ZjzpSX0Bq/aviP75cfP3MWk/CtsOBVwzcq8vPFh6N5H2o1hQ5sq5AR&#10;iI91HxrepRTqqoqyU07EEQTlqagBnUj0i6uqRdETurPVdDz+VPWAbUCQKkbKXrwU+aLga61kutE6&#10;qsRsw4lbKieWc5nPajEX9QpF6Izc0RDvYOGE8TT0AHUhkmD3aN5AOSMRIug0kuAq0NpIVTSQmsn4&#10;HzV3nQiqaCFzYjjYFP8frLxe3yIzLe2OMy8crWj78Gv7+2n7+JNNsj19iDV13QXqS8MXGHLrLh8p&#10;mVUPGl3+kh5GdTJ6czBXDYlJSp7OZsfTE84klUjr2ayYX71eDhjTlQLHctBwpN0VS8X6W0w0kFr3&#10;LXmWh0tjbdmf9axv+NkJwf9VoRvW08Us4YVqjtKwHHb8l9BuSJb96snS/Dz2Ae6D5T64D2hWHfEq&#10;4gskraSw2j2fvPM//8vg10e+e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GLBBM2AAAAAgBAAAP&#10;AAAAAAAAAAEAIAAAACIAAABkcnMvZG93bnJldi54bWxQSwECFAAUAAAACACHTuJAd5yDA6YBAAAs&#10;AwAADgAAAAAAAAABACAAAAAnAQAAZHJzL2Uyb0RvYy54bWxQSwUGAAAAAAYABgBZAQAAP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3" w:lineRule="auto"/>
                        <w:ind w:left="20"/>
                        <w:rPr>
                          <w:rFonts w:ascii="仿宋" w:hAnsi="仿宋" w:eastAsia="仿宋" w:cs="仿宋"/>
                          <w:sz w:val="23"/>
                          <w:szCs w:val="23"/>
                        </w:rPr>
                      </w:pPr>
                      <w:r>
                        <w:rPr>
                          <w:rFonts w:ascii="仿宋" w:hAnsi="仿宋" w:eastAsia="仿宋" w:cs="仿宋"/>
                          <w:spacing w:val="-6"/>
                          <w:sz w:val="23"/>
                          <w:szCs w:val="23"/>
                        </w:rPr>
                        <w:t>联系方式：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46990</wp:posOffset>
                </wp:positionV>
                <wp:extent cx="566420" cy="2012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2" w:lineRule="auto"/>
                              <w:ind w:right="2"/>
                              <w:jc w:val="right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13"/>
                                <w:sz w:val="23"/>
                                <w:szCs w:val="23"/>
                              </w:rPr>
                              <w:t>填报人：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75pt;margin-top:3.7pt;height:15.85pt;width:44.6pt;z-index:251661312;mso-width-relative:page;mso-height-relative:page;" filled="f" stroked="f" coordsize="21600,21600" o:gfxdata="UEsDBAoAAAAAAIdO4kAAAAAAAAAAAAAAAAAEAAAAZHJzL1BLAwQUAAAACACHTuJA9If1k9gAAAAI&#10;AQAADwAAAGRycy9kb3ducmV2LnhtbE2Py07DMBBF90j8gzWV2FE7kD6SxqkQghUSIg0Llk7sJlbj&#10;cYjdB3/PsCrL0bm690yxvbiBncwUrEcJyVwAM9h6bbGT8Fm/3q+BhahQq8GjkfBjAmzL25tC5dqf&#10;sTKnXewYlWDIlYQ+xjHnPLS9cSrM/WiQ2N5PTkU6p47rSZ2p3A38QYgld8oiLfRqNM+9aQ+7o5Pw&#10;9IXVi/1+bz6qfWXrOhP4tjxIeTdLxAZYNJd4DcOfPqlDSU6NP6IObJDwuMgWFJWwSoERT9P1ClhD&#10;IEuAlwX//0D5C1BLAwQUAAAACACHTuJAhH7eDaUBAAAsAwAADgAAAGRycy9lMm9Eb2MueG1srVLB&#10;ahsxEL0X+g9C93qdJTbN4nUghJRCaQtpP0DWSl6BpBEjxbv+gfYPeuql936Xv6Mj2euU5BZyGY1m&#10;Rm/mvdHqenSW7RRGA77lF7M5Z8pL6Izftvz7t7t37zmLSfhOWPCq5XsV+fX67ZvVEBpVQw+2U8gI&#10;xMdmCC3vUwpNVUXZKyfiDILylNSATiS64rbqUAyE7mxVz+fLagDsAoJUMVL09pjk64KvtZLpi9ZR&#10;JWZbTrOlYrHYTbbVeiWaLYrQG3kaQ7xgCieMp6ZnqFuRBHtA8wzKGYkQQaeZBFeB1kaqwoHYXMyf&#10;sLnvRVCFC4kTw1mm+Hqw8vPuKzLTtbzmzAtHKzr8+nn4/ffw5werszxDiA1V3QeqS+MNjLTmKR4p&#10;mFmPGl0+iQ+jPAm9P4urxsQkBRfL5WVNGUkp4lpfLTJK9fg4YEwfFDiWnZYj7a5IKnafYjqWTiW5&#10;l4c7Y23Zn/VsaPnVol6UB+cMgVtPPTKF46jZS+NmPPHaQLcnWvajJ0nz95gcnJzN5DwENNue5irk&#10;CyStpBA4fZ+88//vpfHjJ1/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SH9ZPYAAAACAEAAA8A&#10;AAAAAAAAAQAgAAAAIgAAAGRycy9kb3ducmV2LnhtbFBLAQIUABQAAAAIAIdO4kCEft4NpQEAACwD&#10;AAAOAAAAAAAAAAEAIAAAACcBAABkcnMvZTJvRG9jLnhtbFBLBQYAAAAABgAGAFkBAAA+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2" w:lineRule="auto"/>
                        <w:ind w:right="2"/>
                        <w:jc w:val="right"/>
                        <w:rPr>
                          <w:rFonts w:ascii="仿宋" w:hAnsi="仿宋" w:eastAsia="仿宋" w:cs="仿宋"/>
                          <w:sz w:val="23"/>
                          <w:szCs w:val="23"/>
                        </w:rPr>
                      </w:pPr>
                      <w:r>
                        <w:rPr>
                          <w:rFonts w:ascii="仿宋" w:hAnsi="仿宋" w:eastAsia="仿宋" w:cs="仿宋"/>
                          <w:spacing w:val="-13"/>
                          <w:sz w:val="23"/>
                          <w:szCs w:val="23"/>
                        </w:rPr>
                        <w:t>填报人：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ascii="仿宋" w:hAnsi="仿宋" w:eastAsia="仿宋" w:cs="仿宋"/>
          <w:spacing w:val="-19"/>
          <w:sz w:val="23"/>
          <w:szCs w:val="23"/>
        </w:rPr>
        <w:t>填报时间：    年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-19"/>
          <w:sz w:val="23"/>
          <w:szCs w:val="23"/>
        </w:rPr>
        <w:t>月</w:t>
      </w:r>
      <w:r>
        <w:rPr>
          <w:rFonts w:ascii="仿宋" w:hAnsi="仿宋" w:eastAsia="仿宋" w:cs="仿宋"/>
          <w:spacing w:val="5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9"/>
          <w:sz w:val="23"/>
          <w:szCs w:val="23"/>
        </w:rPr>
        <w:t>日</w:t>
      </w:r>
    </w:p>
    <w:p>
      <w:pPr>
        <w:spacing w:line="205" w:lineRule="auto"/>
        <w:rPr>
          <w:rFonts w:ascii="仿宋" w:hAnsi="仿宋" w:eastAsia="仿宋" w:cs="仿宋"/>
          <w:sz w:val="23"/>
          <w:szCs w:val="23"/>
        </w:rPr>
        <w:sectPr>
          <w:pgSz w:w="16800" w:h="11860"/>
          <w:pgMar w:top="954" w:right="1734" w:bottom="400" w:left="1770" w:header="0" w:footer="0" w:gutter="0"/>
          <w:cols w:equalWidth="0" w:num="2">
            <w:col w:w="4175" w:space="100"/>
            <w:col w:w="9021"/>
          </w:cols>
        </w:sectPr>
      </w:pPr>
    </w:p>
    <w:p>
      <w:pPr>
        <w:spacing w:before="60"/>
      </w:pPr>
    </w:p>
    <w:tbl>
      <w:tblPr>
        <w:tblStyle w:val="5"/>
        <w:tblW w:w="1324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70"/>
        <w:gridCol w:w="2418"/>
        <w:gridCol w:w="640"/>
        <w:gridCol w:w="769"/>
        <w:gridCol w:w="719"/>
        <w:gridCol w:w="1439"/>
        <w:gridCol w:w="809"/>
        <w:gridCol w:w="979"/>
        <w:gridCol w:w="919"/>
        <w:gridCol w:w="829"/>
        <w:gridCol w:w="559"/>
        <w:gridCol w:w="540"/>
        <w:gridCol w:w="590"/>
        <w:gridCol w:w="620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1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序号</w:t>
            </w:r>
          </w:p>
        </w:tc>
        <w:tc>
          <w:tcPr>
            <w:tcW w:w="470" w:type="dxa"/>
            <w:vAlign w:val="top"/>
          </w:tcPr>
          <w:p>
            <w:pPr>
              <w:pStyle w:val="6"/>
              <w:spacing w:before="201" w:line="236" w:lineRule="auto"/>
              <w:ind w:left="59" w:right="86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风险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主体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名称</w:t>
            </w:r>
          </w:p>
        </w:tc>
        <w:tc>
          <w:tcPr>
            <w:tcW w:w="241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73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所属行业领域</w:t>
            </w:r>
          </w:p>
        </w:tc>
        <w:tc>
          <w:tcPr>
            <w:tcW w:w="640" w:type="dxa"/>
            <w:vAlign w:val="top"/>
          </w:tcPr>
          <w:p>
            <w:pPr>
              <w:pStyle w:val="6"/>
              <w:spacing w:before="252" w:line="207" w:lineRule="auto"/>
              <w:ind w:left="15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线索</w:t>
            </w:r>
          </w:p>
          <w:p>
            <w:pPr>
              <w:pStyle w:val="6"/>
              <w:spacing w:line="219" w:lineRule="auto"/>
              <w:ind w:left="1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来源</w:t>
            </w:r>
          </w:p>
        </w:tc>
        <w:tc>
          <w:tcPr>
            <w:tcW w:w="7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42" w:firstLine="7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发现时间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(年</w:t>
            </w:r>
            <w:r>
              <w:rPr>
                <w:rFonts w:hint="default"/>
                <w:spacing w:val="-12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月</w:t>
            </w:r>
            <w:r>
              <w:rPr>
                <w:rFonts w:hint="default"/>
                <w:spacing w:val="-12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日)</w:t>
            </w:r>
          </w:p>
        </w:tc>
        <w:tc>
          <w:tcPr>
            <w:tcW w:w="7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07" w:lineRule="auto"/>
              <w:ind w:left="63" w:right="4" w:firstLine="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是否具备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规范条件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81" w:line="219" w:lineRule="auto"/>
              <w:ind w:left="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提交有关金融管理</w:t>
            </w:r>
          </w:p>
          <w:p>
            <w:pPr>
              <w:pStyle w:val="6"/>
              <w:spacing w:before="9" w:line="219" w:lineRule="auto"/>
              <w:ind w:left="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部门依法审批、备</w:t>
            </w:r>
          </w:p>
          <w:p>
            <w:pPr>
              <w:pStyle w:val="6"/>
              <w:spacing w:before="11" w:line="219" w:lineRule="auto"/>
              <w:ind w:left="11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案等情况(含已提</w:t>
            </w:r>
          </w:p>
          <w:p>
            <w:pPr>
              <w:pStyle w:val="6"/>
              <w:spacing w:before="9" w:line="219" w:lineRule="auto"/>
              <w:ind w:left="27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交、拟提交)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61" w:line="219" w:lineRule="auto"/>
              <w:ind w:left="104" w:right="42" w:hanging="3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是否属于 非法集资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80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拟采取/已采</w:t>
            </w:r>
          </w:p>
          <w:p>
            <w:pPr>
              <w:pStyle w:val="6"/>
              <w:spacing w:before="11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取处置路径</w:t>
            </w:r>
          </w:p>
          <w:p>
            <w:pPr>
              <w:pStyle w:val="6"/>
              <w:spacing w:before="30" w:line="220" w:lineRule="auto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(行政/刑事)</w:t>
            </w:r>
          </w:p>
        </w:tc>
        <w:tc>
          <w:tcPr>
            <w:tcW w:w="9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5" w:lineRule="auto"/>
              <w:ind w:left="137" w:right="9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立案时间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(年月日)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92" w:line="253" w:lineRule="auto"/>
              <w:ind w:left="88" w:right="5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结案时间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(年月日)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52" w:line="207" w:lineRule="auto"/>
              <w:ind w:left="63" w:right="4" w:firstLine="9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涉及</w:t>
            </w:r>
          </w:p>
          <w:p>
            <w:pPr>
              <w:pStyle w:val="6"/>
              <w:spacing w:before="52" w:line="207" w:lineRule="auto"/>
              <w:ind w:left="63" w:right="4" w:firstLine="9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金额</w:t>
            </w:r>
          </w:p>
          <w:p>
            <w:pPr>
              <w:pStyle w:val="6"/>
              <w:spacing w:before="52" w:line="207" w:lineRule="auto"/>
              <w:ind w:left="63" w:right="4" w:firstLine="9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(万</w:t>
            </w:r>
          </w:p>
          <w:p>
            <w:pPr>
              <w:pStyle w:val="6"/>
              <w:spacing w:before="52" w:line="207" w:lineRule="auto"/>
              <w:ind w:left="63" w:right="4" w:firstLine="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元 )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223" w:line="232" w:lineRule="auto"/>
              <w:ind w:right="34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涉及 人数 (人)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201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未兑付</w:t>
            </w:r>
          </w:p>
          <w:p>
            <w:pPr>
              <w:pStyle w:val="6"/>
              <w:spacing w:before="19" w:line="232" w:lineRule="auto"/>
              <w:ind w:left="50" w:firstLine="21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金额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(万元)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141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未兑付</w:t>
            </w:r>
          </w:p>
          <w:p>
            <w:pPr>
              <w:pStyle w:val="6"/>
              <w:spacing w:before="30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16"/>
                <w:w w:val="97"/>
                <w:sz w:val="16"/>
                <w:szCs w:val="16"/>
              </w:rPr>
              <w:t>人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5"/>
                <w:w w:val="97"/>
                <w:sz w:val="16"/>
                <w:szCs w:val="16"/>
              </w:rPr>
              <w:t>数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8"/>
                <w:w w:val="97"/>
                <w:sz w:val="16"/>
                <w:szCs w:val="16"/>
              </w:rPr>
              <w:t>(</w:t>
            </w:r>
          </w:p>
          <w:p>
            <w:pPr>
              <w:pStyle w:val="6"/>
              <w:spacing w:before="12" w:line="222" w:lineRule="auto"/>
              <w:ind w:left="1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人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52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0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15" w:type="dxa"/>
            <w:vAlign w:val="top"/>
          </w:tcPr>
          <w:p>
            <w:pPr>
              <w:pStyle w:val="6"/>
              <w:spacing w:before="228" w:line="184" w:lineRule="auto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6"/>
              <w:spacing w:before="67" w:line="254" w:lineRule="auto"/>
              <w:ind w:left="39" w:hanging="3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(1)虚拟货币、区块链、互联网金融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.支付、征信等领域涉非风险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15" w:type="dxa"/>
            <w:vAlign w:val="top"/>
          </w:tcPr>
          <w:p>
            <w:pPr>
              <w:pStyle w:val="6"/>
              <w:spacing w:before="89" w:line="183" w:lineRule="auto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15" w:type="dxa"/>
            <w:vAlign w:val="top"/>
          </w:tcPr>
          <w:p>
            <w:pPr>
              <w:pStyle w:val="6"/>
              <w:spacing w:before="280" w:line="183" w:lineRule="auto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6"/>
              <w:spacing w:before="59" w:line="269" w:lineRule="auto"/>
              <w:ind w:left="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(2)民间投融资，P2P网贷、第三方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财富管理公司、非法银行、非法保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险等领域涉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15" w:type="dxa"/>
            <w:vAlign w:val="top"/>
          </w:tcPr>
          <w:p>
            <w:pPr>
              <w:pStyle w:val="6"/>
              <w:spacing w:before="92" w:line="181" w:lineRule="auto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41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2" w:lineRule="auto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6"/>
              <w:spacing w:before="90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(3)私葬基金、证券期货、股权众筹</w:t>
            </w:r>
          </w:p>
          <w:p>
            <w:pPr>
              <w:pStyle w:val="6"/>
              <w:spacing w:before="70" w:line="260" w:lineRule="auto"/>
              <w:ind w:left="9" w:firstLine="10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“伪私募“伪金交所”、“产登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公司”、“拍卖公司”等领域涉</w:t>
            </w:r>
          </w:p>
          <w:p>
            <w:pPr>
              <w:pStyle w:val="6"/>
              <w:spacing w:before="20" w:line="214" w:lineRule="auto"/>
              <w:ind w:left="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非风险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5" w:type="dxa"/>
            <w:vAlign w:val="top"/>
          </w:tcPr>
          <w:p>
            <w:pPr>
              <w:pStyle w:val="6"/>
              <w:spacing w:before="94" w:line="179" w:lineRule="auto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15" w:type="dxa"/>
            <w:vAlign w:val="top"/>
          </w:tcPr>
          <w:p>
            <w:pPr>
              <w:pStyle w:val="6"/>
              <w:spacing w:before="275" w:line="182" w:lineRule="auto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6"/>
              <w:spacing w:before="93" w:line="256" w:lineRule="auto"/>
              <w:ind w:left="20" w:firstLine="9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(4)小额贷款、融资性担保典当、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融资租赁、商业保理等领域涉非风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险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5" w:type="dxa"/>
            <w:vAlign w:val="top"/>
          </w:tcPr>
          <w:p>
            <w:pPr>
              <w:pStyle w:val="6"/>
              <w:spacing w:before="96" w:line="166" w:lineRule="auto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2418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7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9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15" w:type="dxa"/>
            <w:vAlign w:val="top"/>
          </w:tcPr>
          <w:p>
            <w:pPr>
              <w:pStyle w:val="6"/>
              <w:spacing w:before="215" w:line="183" w:lineRule="auto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6"/>
              <w:spacing w:before="104" w:line="222" w:lineRule="auto"/>
              <w:ind w:left="9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(5)教育、养老、涉农、商贸服务等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其他领域涉非风险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15" w:type="dxa"/>
            <w:vAlign w:val="top"/>
          </w:tcPr>
          <w:p>
            <w:pPr>
              <w:pStyle w:val="6"/>
              <w:spacing w:before="96" w:line="176" w:lineRule="auto"/>
              <w:ind w:left="155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5" w:type="dxa"/>
            <w:vAlign w:val="top"/>
          </w:tcPr>
          <w:p>
            <w:pPr>
              <w:pStyle w:val="6"/>
              <w:spacing w:before="97" w:line="165" w:lineRule="auto"/>
              <w:ind w:left="115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47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2418" w:type="dxa"/>
            <w:vAlign w:val="top"/>
          </w:tcPr>
          <w:p>
            <w:pPr>
              <w:pStyle w:val="6"/>
              <w:spacing w:before="57" w:line="211" w:lineRule="auto"/>
              <w:ind w:left="3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(6)其他</w:t>
            </w:r>
          </w:p>
        </w:tc>
        <w:tc>
          <w:tcPr>
            <w:tcW w:w="6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7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9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2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25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15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470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2418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640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1439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979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559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590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620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525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</w:tr>
    </w:tbl>
    <w:p>
      <w:pPr>
        <w:spacing w:before="61" w:line="220" w:lineRule="auto"/>
        <w:ind w:left="69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z w:val="14"/>
          <w:szCs w:val="14"/>
        </w:rPr>
        <w:t>备注：</w:t>
      </w:r>
    </w:p>
    <w:p>
      <w:pPr>
        <w:spacing w:line="208" w:lineRule="auto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-4"/>
          <w:sz w:val="15"/>
          <w:szCs w:val="15"/>
        </w:rPr>
        <w:t>1.本表统计打击非法集资专项行动期间处置的涉非风险线索，包含专项行动开展前已掌握但尚未刑事或行政</w:t>
      </w:r>
      <w:r>
        <w:rPr>
          <w:rFonts w:ascii="仿宋" w:hAnsi="仿宋" w:eastAsia="仿宋" w:cs="仿宋"/>
          <w:spacing w:val="-5"/>
          <w:sz w:val="15"/>
          <w:szCs w:val="15"/>
        </w:rPr>
        <w:t>立案的涉非风险线索。</w:t>
      </w:r>
    </w:p>
    <w:p>
      <w:pPr>
        <w:spacing w:before="2" w:line="213" w:lineRule="auto"/>
        <w:ind w:right="870"/>
        <w:jc w:val="both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-4"/>
          <w:sz w:val="15"/>
          <w:szCs w:val="15"/>
        </w:rPr>
        <w:t>2.所属行业领域请按以下6个分类顺序依次填写：(1)虚拟货币、区块链、互联网金融、支付、征信等领域涉非风险；(2)民间投融资、</w:t>
      </w:r>
      <w:r>
        <w:rPr>
          <w:rFonts w:ascii="Times New Roman" w:hAnsi="Times New Roman" w:eastAsia="Times New Roman" w:cs="Times New Roman"/>
          <w:spacing w:val="-4"/>
          <w:sz w:val="15"/>
          <w:szCs w:val="15"/>
        </w:rPr>
        <w:t>P2P</w:t>
      </w:r>
      <w:r>
        <w:rPr>
          <w:rFonts w:ascii="仿宋" w:hAnsi="仿宋" w:eastAsia="仿宋" w:cs="仿宋"/>
          <w:spacing w:val="-4"/>
          <w:sz w:val="15"/>
          <w:szCs w:val="15"/>
        </w:rPr>
        <w:t>网贷、第三方财富管理公司、非法银行、非法保险等领城</w:t>
      </w:r>
      <w:r>
        <w:rPr>
          <w:rFonts w:ascii="仿宋" w:hAnsi="仿宋" w:eastAsia="仿宋" w:cs="仿宋"/>
          <w:spacing w:val="15"/>
          <w:sz w:val="15"/>
          <w:szCs w:val="15"/>
        </w:rPr>
        <w:t xml:space="preserve"> </w:t>
      </w:r>
      <w:r>
        <w:rPr>
          <w:rFonts w:ascii="仿宋" w:hAnsi="仿宋" w:eastAsia="仿宋" w:cs="仿宋"/>
          <w:spacing w:val="-3"/>
          <w:sz w:val="15"/>
          <w:szCs w:val="15"/>
        </w:rPr>
        <w:t>涉非风险；(3)私募基金、证券期贷、股权众筹、“伤</w:t>
      </w:r>
      <w:r>
        <w:rPr>
          <w:rFonts w:ascii="仿宋" w:hAnsi="仿宋" w:eastAsia="仿宋" w:cs="仿宋"/>
          <w:spacing w:val="-4"/>
          <w:sz w:val="15"/>
          <w:szCs w:val="15"/>
        </w:rPr>
        <w:t>私等”、“伪金交所”、“产登公司”、“拍卖公司”等领域涉非风险；(4)小额贷款、融资性担保、典当、融资租赁、商业保理等领城涉非</w:t>
      </w:r>
      <w:r>
        <w:rPr>
          <w:rFonts w:ascii="仿宋" w:hAnsi="仿宋" w:eastAsia="仿宋" w:cs="仿宋"/>
          <w:sz w:val="15"/>
          <w:szCs w:val="15"/>
        </w:rPr>
        <w:t xml:space="preserve"> </w:t>
      </w:r>
      <w:r>
        <w:rPr>
          <w:rFonts w:ascii="仿宋" w:hAnsi="仿宋" w:eastAsia="仿宋" w:cs="仿宋"/>
          <w:spacing w:val="-4"/>
          <w:sz w:val="15"/>
          <w:szCs w:val="15"/>
        </w:rPr>
        <w:t>风险；(5)教育、养老、涉农、商贸服务等其他领域涉非风险；(6)其</w:t>
      </w:r>
      <w:r>
        <w:rPr>
          <w:rFonts w:ascii="仿宋" w:hAnsi="仿宋" w:eastAsia="仿宋" w:cs="仿宋"/>
          <w:spacing w:val="-5"/>
          <w:sz w:val="15"/>
          <w:szCs w:val="15"/>
        </w:rPr>
        <w:t>他。</w:t>
      </w:r>
    </w:p>
    <w:p>
      <w:pPr>
        <w:spacing w:before="1" w:line="220" w:lineRule="auto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-3"/>
          <w:sz w:val="15"/>
          <w:szCs w:val="15"/>
        </w:rPr>
        <w:t>3.线索来源包含以下3个分类：(1)联席会议交办；(2)自主摸排发现；(3)群众举报。</w:t>
      </w:r>
    </w:p>
    <w:p>
      <w:pPr>
        <w:spacing w:before="1" w:line="204" w:lineRule="auto"/>
        <w:ind w:right="825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-2"/>
          <w:sz w:val="15"/>
          <w:szCs w:val="15"/>
        </w:rPr>
        <w:t>4.提交有关金融管理部门依法审批，备案等情况(含已提交、拟提交)包含以下5个分类：(1)中国人民银行及其分支机构；(2)金融监管总局及其派出机构</w:t>
      </w:r>
      <w:r>
        <w:rPr>
          <w:rFonts w:ascii="仿宋" w:hAnsi="仿宋" w:eastAsia="仿宋" w:cs="仿宋"/>
          <w:spacing w:val="-3"/>
          <w:sz w:val="15"/>
          <w:szCs w:val="15"/>
        </w:rPr>
        <w:t>；(3)中国证监会及其派出机构；(4)地方</w:t>
      </w:r>
      <w:r>
        <w:rPr>
          <w:rFonts w:ascii="仿宋" w:hAnsi="仿宋" w:eastAsia="仿宋" w:cs="仿宋"/>
          <w:sz w:val="15"/>
          <w:szCs w:val="15"/>
        </w:rPr>
        <w:t>金融监管部门；(5)其他。</w:t>
      </w:r>
    </w:p>
    <w:p>
      <w:pPr>
        <w:spacing w:before="2" w:line="213" w:lineRule="auto"/>
        <w:ind w:right="870"/>
        <w:jc w:val="both"/>
        <w:rPr>
          <w:rFonts w:ascii="仿宋" w:hAnsi="仿宋" w:eastAsia="仿宋" w:cs="仿宋"/>
          <w:spacing w:val="-4"/>
          <w:sz w:val="15"/>
          <w:szCs w:val="15"/>
        </w:rPr>
      </w:pPr>
      <w:r>
        <w:rPr>
          <w:rFonts w:ascii="仿宋" w:hAnsi="仿宋" w:eastAsia="仿宋" w:cs="仿宋"/>
          <w:spacing w:val="-4"/>
          <w:sz w:val="15"/>
          <w:szCs w:val="15"/>
        </w:rPr>
        <w:t>5.如先行政处置后刑事打击的，只需填报刑事立案时间。</w:t>
      </w:r>
    </w:p>
    <w:p>
      <w:pPr>
        <w:spacing w:line="220" w:lineRule="auto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-2"/>
          <w:sz w:val="15"/>
          <w:szCs w:val="15"/>
        </w:rPr>
        <w:t>6.各地请分别于2024年6月7日、2024年12月4日，2025年</w:t>
      </w:r>
      <w:r>
        <w:rPr>
          <w:rFonts w:ascii="仿宋" w:hAnsi="仿宋" w:eastAsia="仿宋" w:cs="仿宋"/>
          <w:spacing w:val="-3"/>
          <w:sz w:val="15"/>
          <w:szCs w:val="15"/>
        </w:rPr>
        <w:t>6月7日、2025年11月17日前向区财金局报送本表(含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>exce</w:t>
      </w:r>
      <w:r>
        <w:rPr>
          <w:rFonts w:hint="default" w:ascii="Times New Roman" w:hAnsi="Times New Roman" w:eastAsia="Times New Roman" w:cs="Times New Roman"/>
          <w:spacing w:val="-3"/>
          <w:sz w:val="15"/>
          <w:szCs w:val="15"/>
        </w:rPr>
        <w:t>l</w:t>
      </w:r>
      <w:r>
        <w:rPr>
          <w:rFonts w:ascii="仿宋" w:hAnsi="仿宋" w:eastAsia="仿宋" w:cs="仿宋"/>
          <w:spacing w:val="-3"/>
          <w:sz w:val="15"/>
          <w:szCs w:val="15"/>
        </w:rPr>
        <w:t>版及盖章扫描版)。</w:t>
      </w:r>
    </w:p>
    <w:p>
      <w:pPr>
        <w:spacing w:before="1" w:line="189" w:lineRule="auto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-2"/>
          <w:sz w:val="15"/>
          <w:szCs w:val="15"/>
        </w:rPr>
        <w:t>7.专项行动期间，请每月的23日前登陆湖北省</w:t>
      </w:r>
      <w:r>
        <w:rPr>
          <w:rFonts w:ascii="仿宋" w:hAnsi="仿宋" w:eastAsia="仿宋" w:cs="仿宋"/>
          <w:spacing w:val="-3"/>
          <w:sz w:val="15"/>
          <w:szCs w:val="15"/>
        </w:rPr>
        <w:t>金融风险预警平台填报更新存量集件.新发案件的相关表格，专项行动期间的重大进展可在书面报告中体现。</w:t>
      </w:r>
    </w:p>
    <w:p>
      <w:pPr>
        <w:spacing w:line="189" w:lineRule="auto"/>
        <w:rPr>
          <w:rFonts w:ascii="仿宋" w:hAnsi="仿宋" w:eastAsia="仿宋" w:cs="仿宋"/>
          <w:sz w:val="15"/>
          <w:szCs w:val="15"/>
        </w:rPr>
        <w:sectPr>
          <w:type w:val="continuous"/>
          <w:pgSz w:w="16800" w:h="11860"/>
          <w:pgMar w:top="954" w:right="1734" w:bottom="400" w:left="1770" w:header="0" w:footer="0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F0522"/>
    <w:rsid w:val="2EB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2024-08-23T11:55:00Z</dcterms:created>
  <dc:creator>HUAWEI</dc:creator>
  <cp:lastModifiedBy>HUAWEI</cp:lastModifiedBy>
  <dcterms:modified xsi:type="dcterms:W3CDTF">2024-08-23T11:55:59Z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