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7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458"/>
        <w:gridCol w:w="1349"/>
        <w:gridCol w:w="520"/>
        <w:gridCol w:w="6006"/>
        <w:gridCol w:w="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1119"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黑体" w:hAnsi="宋体" w:eastAsia="黑体" w:cs="黑体"/>
                <w:i w:val="0"/>
                <w:iCs w:val="0"/>
                <w:color w:val="000000"/>
                <w:sz w:val="28"/>
                <w:szCs w:val="28"/>
                <w:u w:val="none"/>
              </w:rPr>
            </w:pPr>
            <w:bookmarkStart w:id="0" w:name="_GoBack"/>
            <w:bookmarkEnd w:id="0"/>
          </w:p>
        </w:tc>
        <w:tc>
          <w:tcPr>
            <w:tcW w:w="134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00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76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757"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小标宋简体" w:hAnsi="方正小标宋简体" w:eastAsia="方正小标宋简体" w:cs="方正小标宋简体"/>
                <w:i w:val="0"/>
                <w:iCs w:val="0"/>
                <w:color w:val="000000"/>
                <w:sz w:val="24"/>
                <w:szCs w:val="24"/>
                <w:u w:val="none"/>
              </w:rPr>
            </w:pPr>
            <w:r>
              <w:rPr>
                <w:rFonts w:hint="eastAsia" w:ascii="黑体" w:hAnsi="黑体" w:eastAsia="黑体" w:cs="黑体"/>
                <w:i w:val="0"/>
                <w:iCs w:val="0"/>
                <w:color w:val="000000"/>
                <w:kern w:val="0"/>
                <w:sz w:val="32"/>
                <w:szCs w:val="32"/>
                <w:u w:val="none"/>
                <w:lang w:val="en-US" w:eastAsia="zh-CN" w:bidi="ar"/>
              </w:rPr>
              <w:t>葛店经开区2025年度住房保障绩效评价指标表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757" w:type="dxa"/>
            <w:gridSpan w:val="6"/>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填报单位：葛店经开区住建局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9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评价指标</w:t>
            </w:r>
          </w:p>
        </w:tc>
        <w:tc>
          <w:tcPr>
            <w:tcW w:w="6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 xml:space="preserve">评分标准 </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地区评价得分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sz w:val="13"/>
                <w:szCs w:val="13"/>
                <w:u w:val="none"/>
              </w:rPr>
            </w:pPr>
            <w:r>
              <w:rPr>
                <w:rFonts w:hint="eastAsia" w:ascii="黑体" w:hAnsi="宋体" w:eastAsia="黑体" w:cs="黑体"/>
                <w:i w:val="0"/>
                <w:iCs w:val="0"/>
                <w:color w:val="000000"/>
                <w:kern w:val="0"/>
                <w:sz w:val="13"/>
                <w:szCs w:val="13"/>
                <w:u w:val="none"/>
                <w:lang w:val="en-US" w:eastAsia="zh-CN" w:bidi="ar"/>
              </w:rPr>
              <w:t>一级指标</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sz w:val="13"/>
                <w:szCs w:val="13"/>
                <w:u w:val="none"/>
              </w:rPr>
            </w:pPr>
            <w:r>
              <w:rPr>
                <w:rFonts w:hint="eastAsia" w:ascii="黑体" w:hAnsi="宋体" w:eastAsia="黑体" w:cs="黑体"/>
                <w:i w:val="0"/>
                <w:iCs w:val="0"/>
                <w:color w:val="000000"/>
                <w:kern w:val="0"/>
                <w:sz w:val="13"/>
                <w:szCs w:val="13"/>
                <w:u w:val="none"/>
                <w:lang w:val="en-US" w:eastAsia="zh-CN" w:bidi="ar"/>
              </w:rPr>
              <w:t>分值</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sz w:val="13"/>
                <w:szCs w:val="13"/>
                <w:u w:val="none"/>
              </w:rPr>
            </w:pPr>
            <w:r>
              <w:rPr>
                <w:rFonts w:hint="eastAsia" w:ascii="黑体" w:hAnsi="宋体" w:eastAsia="黑体" w:cs="黑体"/>
                <w:i w:val="0"/>
                <w:iCs w:val="0"/>
                <w:color w:val="000000"/>
                <w:kern w:val="0"/>
                <w:sz w:val="13"/>
                <w:szCs w:val="13"/>
                <w:u w:val="none"/>
                <w:lang w:val="en-US" w:eastAsia="zh-CN" w:bidi="ar"/>
              </w:rPr>
              <w:t>二级指标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sz w:val="13"/>
                <w:szCs w:val="13"/>
                <w:u w:val="none"/>
              </w:rPr>
            </w:pPr>
            <w:r>
              <w:rPr>
                <w:rFonts w:hint="eastAsia" w:ascii="黑体" w:hAnsi="宋体" w:eastAsia="黑体" w:cs="黑体"/>
                <w:i w:val="0"/>
                <w:iCs w:val="0"/>
                <w:color w:val="000000"/>
                <w:kern w:val="0"/>
                <w:sz w:val="13"/>
                <w:szCs w:val="13"/>
                <w:u w:val="none"/>
                <w:lang w:val="en-US" w:eastAsia="zh-CN" w:bidi="ar"/>
              </w:rPr>
              <w:t>分值</w:t>
            </w:r>
          </w:p>
        </w:tc>
        <w:tc>
          <w:tcPr>
            <w:tcW w:w="6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3"/>
                <w:szCs w:val="13"/>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资金管理</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sz w:val="13"/>
                <w:szCs w:val="13"/>
                <w:u w:val="none"/>
                <w:lang w:val="en-US"/>
              </w:rPr>
            </w:pPr>
            <w:r>
              <w:rPr>
                <w:rFonts w:hint="eastAsia" w:ascii="宋体" w:hAnsi="宋体" w:eastAsia="宋体" w:cs="宋体"/>
                <w:i w:val="0"/>
                <w:iCs w:val="0"/>
                <w:color w:val="000000"/>
                <w:kern w:val="0"/>
                <w:sz w:val="13"/>
                <w:szCs w:val="13"/>
                <w:u w:val="none"/>
                <w:lang w:val="en-US" w:eastAsia="zh-CN" w:bidi="ar"/>
              </w:rPr>
              <w:t>21</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资金筹集</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仿宋_GB2312" w:hAnsi="宋体" w:eastAsia="仿宋_GB2312" w:cs="仿宋_GB2312"/>
                <w:i w:val="0"/>
                <w:iCs w:val="0"/>
                <w:color w:val="000000"/>
                <w:sz w:val="13"/>
                <w:szCs w:val="13"/>
                <w:u w:val="none"/>
              </w:rPr>
            </w:pPr>
            <w:r>
              <w:rPr>
                <w:rFonts w:hint="eastAsia" w:ascii="仿宋_GB2312" w:hAnsi="宋体" w:eastAsia="仿宋_GB2312" w:cs="仿宋_GB2312"/>
                <w:i w:val="0"/>
                <w:iCs w:val="0"/>
                <w:color w:val="000000"/>
                <w:kern w:val="0"/>
                <w:sz w:val="13"/>
                <w:szCs w:val="13"/>
                <w:u w:val="none"/>
                <w:lang w:val="en-US" w:eastAsia="zh-CN" w:bidi="ar"/>
              </w:rPr>
              <w:t>地方财政通过现有资金筹措渠道安排用于与配售型保障性住房项目直接相关且不摊入售价的配套基础设施支出（1分），安排资金用于筹集保障性租赁住房、公租房以及向符合条件的在市场租赁住房的公租房保障对象发放租赁补贴等租赁住房保障支出（2分），配售型保障性住房、保障性租赁住房、公租房属于政府投资的项目进行了财政承受能力评估（2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资金分配</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3"/>
                <w:szCs w:val="13"/>
                <w:u w:val="none"/>
              </w:rPr>
            </w:pPr>
            <w:r>
              <w:rPr>
                <w:rFonts w:hint="eastAsia" w:ascii="仿宋_GB2312" w:hAnsi="宋体" w:eastAsia="仿宋_GB2312" w:cs="仿宋_GB2312"/>
                <w:i w:val="0"/>
                <w:iCs w:val="0"/>
                <w:color w:val="000000"/>
                <w:kern w:val="0"/>
                <w:sz w:val="13"/>
                <w:szCs w:val="13"/>
                <w:u w:val="none"/>
                <w:lang w:val="en-US" w:eastAsia="zh-CN" w:bidi="ar"/>
              </w:rPr>
              <w:t>资金管理办法健全规范（2分）；资金按规定时间分配下达到市（县）财政部门或项目单位（2分）。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预算执行</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sz w:val="13"/>
                <w:szCs w:val="13"/>
                <w:u w:val="none"/>
                <w:lang w:val="en-US"/>
              </w:rPr>
            </w:pPr>
            <w:r>
              <w:rPr>
                <w:rFonts w:hint="eastAsia" w:ascii="宋体" w:hAnsi="宋体" w:eastAsia="宋体" w:cs="宋体"/>
                <w:i w:val="0"/>
                <w:iCs w:val="0"/>
                <w:color w:val="000000"/>
                <w:kern w:val="0"/>
                <w:sz w:val="13"/>
                <w:szCs w:val="13"/>
                <w:u w:val="none"/>
                <w:lang w:val="en-US" w:eastAsia="zh-CN" w:bidi="ar"/>
              </w:rPr>
              <w:t>12</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3"/>
                <w:szCs w:val="13"/>
                <w:u w:val="none"/>
              </w:rPr>
            </w:pPr>
            <w:r>
              <w:rPr>
                <w:rFonts w:hint="eastAsia" w:ascii="仿宋_GB2312" w:hAnsi="宋体" w:eastAsia="仿宋_GB2312" w:cs="仿宋_GB2312"/>
                <w:i w:val="0"/>
                <w:iCs w:val="0"/>
                <w:color w:val="000000"/>
                <w:kern w:val="0"/>
                <w:sz w:val="13"/>
                <w:szCs w:val="13"/>
                <w:u w:val="none"/>
                <w:lang w:val="en-US" w:eastAsia="zh-CN" w:bidi="ar"/>
              </w:rPr>
              <w:t>结合项目进度建立了规范的预算执行机制（1分）；预算执行（8分），年度预算执行率低于90%的，每低10个百分点扣1分（不足10个百分点的按比例扣分），低于70%的，在指标得分6分的基础上，每低10个百分点扣3分，最多扣8分；没有违规拨付资金情况（3分），通过审计、财会监督等发现存在资金截留等违规拨付资金行为的，每发现1项扣1分，最多扣3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项目管理</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sz w:val="13"/>
                <w:szCs w:val="13"/>
                <w:u w:val="none"/>
                <w:lang w:val="en-US"/>
              </w:rPr>
            </w:pPr>
            <w:r>
              <w:rPr>
                <w:rFonts w:hint="eastAsia" w:ascii="宋体" w:hAnsi="宋体" w:eastAsia="宋体" w:cs="宋体"/>
                <w:i w:val="0"/>
                <w:iCs w:val="0"/>
                <w:color w:val="000000"/>
                <w:kern w:val="0"/>
                <w:sz w:val="13"/>
                <w:szCs w:val="13"/>
                <w:u w:val="none"/>
                <w:lang w:val="en-US" w:eastAsia="zh-CN" w:bidi="ar"/>
              </w:rPr>
              <w:t>14</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项目库储备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3"/>
                <w:szCs w:val="13"/>
                <w:u w:val="none"/>
              </w:rPr>
            </w:pPr>
            <w:r>
              <w:rPr>
                <w:rFonts w:hint="eastAsia" w:ascii="仿宋_GB2312" w:hAnsi="宋体" w:eastAsia="仿宋_GB2312" w:cs="仿宋_GB2312"/>
                <w:i w:val="0"/>
                <w:iCs w:val="0"/>
                <w:color w:val="000000"/>
                <w:kern w:val="0"/>
                <w:sz w:val="13"/>
                <w:szCs w:val="13"/>
                <w:u w:val="none"/>
                <w:lang w:val="en-US" w:eastAsia="zh-CN" w:bidi="ar"/>
              </w:rPr>
              <w:t>建立配售型保障性住房、保障性租赁住房、公租房项目储备库（2分）；对入库项目建立档案（2分）；根据项目成熟度进行量化排序，明确纳入计划的优先顺序（1分）。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项目执行监控</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5</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0"/>
                <w:sz w:val="13"/>
                <w:szCs w:val="13"/>
                <w:u w:val="none"/>
                <w:lang w:val="en-US" w:eastAsia="zh-CN" w:bidi="ar"/>
              </w:rPr>
            </w:pPr>
            <w:r>
              <w:rPr>
                <w:rFonts w:hint="eastAsia" w:ascii="仿宋_GB2312" w:hAnsi="宋体" w:eastAsia="仿宋_GB2312" w:cs="仿宋_GB2312"/>
                <w:i w:val="0"/>
                <w:iCs w:val="0"/>
                <w:color w:val="000000"/>
                <w:kern w:val="0"/>
                <w:sz w:val="13"/>
                <w:szCs w:val="13"/>
                <w:u w:val="none"/>
                <w:lang w:val="en-US" w:eastAsia="zh-CN" w:bidi="ar"/>
              </w:rPr>
              <w:t>建立项目建设监督机制，定期调度项目进展，通报项目建设进度和存在问题，对进展缓慢的项目及时研究提出处理意见，无法继续实施项目及时调整（4分）；完工项目及时按规定组织竣工验收（1分）。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绩效管理</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3"/>
                <w:szCs w:val="13"/>
                <w:u w:val="none"/>
              </w:rPr>
            </w:pPr>
            <w:r>
              <w:rPr>
                <w:rFonts w:hint="eastAsia" w:ascii="仿宋_GB2312" w:hAnsi="宋体" w:eastAsia="仿宋_GB2312" w:cs="仿宋_GB2312"/>
                <w:i w:val="0"/>
                <w:iCs w:val="0"/>
                <w:color w:val="000000"/>
                <w:kern w:val="0"/>
                <w:sz w:val="13"/>
                <w:szCs w:val="13"/>
                <w:u w:val="none"/>
                <w:lang w:val="en-US" w:eastAsia="zh-CN" w:bidi="ar"/>
              </w:rPr>
              <w:t>编制了绩效目标、及时开展绩效评价工作，按时报送绩效评价报告且内容完整的(3分)，绩效目标编制内容不完整的扣2分，绩效评价报告内容不完整的扣1分，无故不按时提交绩效评价报告、绩效评价自评表及相关证明材料，以及存在弄虚作假等情形的，绩效评价得分按零分认定；建立绩效监控机制（1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6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产出效益</w:t>
            </w:r>
          </w:p>
        </w:tc>
        <w:tc>
          <w:tcPr>
            <w:tcW w:w="45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sz w:val="13"/>
                <w:szCs w:val="13"/>
                <w:u w:val="none"/>
                <w:lang w:val="en-US"/>
              </w:rPr>
            </w:pPr>
            <w:r>
              <w:rPr>
                <w:rFonts w:hint="eastAsia" w:ascii="宋体" w:hAnsi="宋体" w:eastAsia="宋体" w:cs="宋体"/>
                <w:i w:val="0"/>
                <w:iCs w:val="0"/>
                <w:color w:val="000000"/>
                <w:kern w:val="0"/>
                <w:sz w:val="13"/>
                <w:szCs w:val="13"/>
                <w:u w:val="none"/>
                <w:lang w:val="en-US" w:eastAsia="zh-CN" w:bidi="ar"/>
              </w:rPr>
              <w:t>65</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住房保障计划完成率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3"/>
                <w:szCs w:val="13"/>
                <w:u w:val="none"/>
              </w:rPr>
            </w:pPr>
            <w:r>
              <w:rPr>
                <w:rFonts w:hint="eastAsia" w:ascii="仿宋_GB2312" w:hAnsi="宋体" w:eastAsia="仿宋_GB2312" w:cs="仿宋_GB2312"/>
                <w:i w:val="0"/>
                <w:iCs w:val="0"/>
                <w:color w:val="000000"/>
                <w:kern w:val="0"/>
                <w:sz w:val="13"/>
                <w:szCs w:val="13"/>
                <w:u w:val="none"/>
                <w:lang w:val="en-US" w:eastAsia="zh-CN" w:bidi="ar"/>
              </w:rPr>
              <w:t>当年配售型保障性住房、保障性租赁住房、公租房项目实际筹集（开工）以及租赁补贴发放数量大于或等于年度计划的，得10分；未达到年度计划的，每低一个百分点扣1分，最多扣10分。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6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45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配售型保障性住房发展目标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sz w:val="13"/>
                <w:szCs w:val="13"/>
                <w:u w:val="none"/>
                <w:lang w:val="en-US"/>
              </w:rPr>
            </w:pPr>
            <w:r>
              <w:rPr>
                <w:rFonts w:hint="eastAsia" w:ascii="宋体" w:hAnsi="宋体" w:eastAsia="宋体" w:cs="宋体"/>
                <w:i w:val="0"/>
                <w:iCs w:val="0"/>
                <w:color w:val="000000"/>
                <w:kern w:val="0"/>
                <w:sz w:val="13"/>
                <w:szCs w:val="13"/>
                <w:u w:val="none"/>
                <w:lang w:val="en-US" w:eastAsia="zh-CN" w:bidi="ar"/>
              </w:rPr>
              <w:t>10</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3"/>
                <w:szCs w:val="13"/>
                <w:u w:val="none"/>
              </w:rPr>
            </w:pPr>
            <w:r>
              <w:rPr>
                <w:rFonts w:hint="eastAsia" w:ascii="仿宋_GB2312" w:hAnsi="宋体" w:eastAsia="仿宋_GB2312" w:cs="仿宋_GB2312"/>
                <w:i w:val="0"/>
                <w:iCs w:val="0"/>
                <w:color w:val="000000"/>
                <w:kern w:val="0"/>
                <w:sz w:val="13"/>
                <w:szCs w:val="13"/>
                <w:u w:val="none"/>
                <w:lang w:val="en-US" w:eastAsia="zh-CN" w:bidi="ar"/>
              </w:rPr>
              <w:t>未来五年新增配售型保障性住房占新增住房供应总量比例，超大特大城市达到30%及以上得10分,20%—30%（不含）得6分，10%-20%（不含）得2分，低于10%（不含）不得分；城区常住人口300万以上的大城市达到20%及以上得10分，10%—20%（不含）得6分，5%—10%（不含）得2分，低于5%（不含）不得分；城区常住人口不足300万的省会城市和其他城区常住人口100万以上的大城市达到10%及以上得10分，6%—10%（不含）得6分，2%—6%（不含）得2分，低于2%（不含）不得分。其他城市具体发展目标由各省结合实际确定。</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6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45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配售型保障性住房配套政策和工作机制</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3"/>
                <w:szCs w:val="13"/>
                <w:u w:val="none"/>
              </w:rPr>
            </w:pPr>
            <w:r>
              <w:rPr>
                <w:rFonts w:hint="eastAsia" w:ascii="仿宋_GB2312" w:hAnsi="宋体" w:eastAsia="仿宋_GB2312" w:cs="仿宋_GB2312"/>
                <w:i w:val="0"/>
                <w:iCs w:val="0"/>
                <w:color w:val="000000"/>
                <w:kern w:val="0"/>
                <w:sz w:val="13"/>
                <w:szCs w:val="13"/>
                <w:u w:val="none"/>
                <w:lang w:val="en-US" w:eastAsia="zh-CN" w:bidi="ar"/>
              </w:rPr>
              <w:t>有关城市人民政府建立跨部门、多层级工作机制（0.5分）；出台配售型保障性住房的实施方案或具体操作办法（0.5分）；对配售型保障性住房开展需求摸底（0.5分）；建立轮候机制（0.5分）；对配售型保障性住房项目的建设规模等规划指标予以支持优化、保障用地供给（1分）；制定资金筹措（平衡）方案（1分）；省级人民政府将配售型保障性住房纳入对城市人民政府绩效考核（2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6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45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资金使用效果</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3"/>
                <w:szCs w:val="13"/>
                <w:u w:val="none"/>
              </w:rPr>
            </w:pPr>
            <w:r>
              <w:rPr>
                <w:rFonts w:hint="eastAsia" w:ascii="仿宋_GB2312" w:hAnsi="宋体" w:eastAsia="仿宋_GB2312" w:cs="仿宋_GB2312"/>
                <w:i w:val="0"/>
                <w:iCs w:val="0"/>
                <w:color w:val="000000"/>
                <w:kern w:val="0"/>
                <w:sz w:val="13"/>
                <w:szCs w:val="13"/>
                <w:u w:val="none"/>
                <w:lang w:val="en-US" w:eastAsia="zh-CN" w:bidi="ar"/>
              </w:rPr>
              <w:t>没有违规违纪情况（5分），通过审计、财会监督等发现存在挤占挪用、虚报冒领套（骗）取资金、扩大支出范围等违规违纪行为，或经群众举报、新闻媒体曝光，经查实存在违规违纪行为的，每发现1项扣1分，最多扣5分（存在性质恶劣、有重大不良影响的违规违纪项目的，一次性扣除5分）；无超过一年闲置资金沉淀，对项目无法实施超过一年闲置沉淀资金以及结余资金等及时按规定处理的（2分），未按规定处理的，每发现1项扣0.5分，最多扣2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6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45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配售型保障性住房运营管理</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3"/>
                <w:szCs w:val="13"/>
                <w:u w:val="none"/>
              </w:rPr>
            </w:pPr>
            <w:r>
              <w:rPr>
                <w:rFonts w:hint="eastAsia" w:ascii="仿宋_GB2312" w:hAnsi="宋体" w:eastAsia="仿宋_GB2312" w:cs="仿宋_GB2312"/>
                <w:i w:val="0"/>
                <w:iCs w:val="0"/>
                <w:color w:val="000000"/>
                <w:kern w:val="0"/>
                <w:sz w:val="13"/>
                <w:szCs w:val="13"/>
                <w:u w:val="none"/>
                <w:lang w:val="en-US" w:eastAsia="zh-CN" w:bidi="ar"/>
              </w:rPr>
              <w:t>将配售型保障性住房项目纳入信息系统管理（1分）；建立完善配售型保障性住房建设、配售、运营、资金等方面管理制度（2分）；配售型保障性住房成立专门项目公司、资金实行严格封闭管理的（2分）。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6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45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工程质量</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3"/>
                <w:szCs w:val="13"/>
                <w:u w:val="none"/>
              </w:rPr>
            </w:pPr>
            <w:r>
              <w:rPr>
                <w:rFonts w:hint="eastAsia" w:ascii="仿宋_GB2312" w:hAnsi="宋体" w:eastAsia="仿宋_GB2312" w:cs="仿宋_GB2312"/>
                <w:i w:val="0"/>
                <w:iCs w:val="0"/>
                <w:color w:val="000000"/>
                <w:kern w:val="0"/>
                <w:sz w:val="13"/>
                <w:szCs w:val="13"/>
                <w:u w:val="none"/>
                <w:lang w:val="en-US" w:eastAsia="zh-CN" w:bidi="ar"/>
              </w:rPr>
              <w:t>将配售型保障性住房、保障性租赁住房、公租房纳入工程建设质量安全监管，并作为监督检查的重点，工程质量符合标准的（4分）；通过制定工作方案、作出工作部署、打造示范项目等措施，将配售型保障性住房、保障性租赁住房、公租房建成好房子的（4分）。审计、督查检查等工作中发现存在工程质量问题的，每发现一个项目扣1分，最多扣8分，相关问题引发舆情或造成社会不良影响的，本项不得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6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45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进度管理</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3"/>
                <w:szCs w:val="13"/>
                <w:u w:val="none"/>
              </w:rPr>
            </w:pPr>
            <w:r>
              <w:rPr>
                <w:rFonts w:hint="eastAsia" w:ascii="仿宋_GB2312" w:hAnsi="宋体" w:eastAsia="仿宋_GB2312" w:cs="仿宋_GB2312"/>
                <w:i w:val="0"/>
                <w:iCs w:val="0"/>
                <w:color w:val="000000"/>
                <w:kern w:val="0"/>
                <w:sz w:val="13"/>
                <w:szCs w:val="13"/>
                <w:u w:val="none"/>
                <w:lang w:val="en-US" w:eastAsia="zh-CN" w:bidi="ar"/>
              </w:rPr>
              <w:t>配售型保障性住房、保障性租赁住房、公租房项目在合理工期内竣工的（5分），审计、督查检查等工作中发现项目逾期未建成的，每发现一个项目扣1分，最多扣5分；相关问题引发舆情或造成社会不良影响的，本项不得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6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45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配售型保障性住房销售管理</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3"/>
                <w:szCs w:val="13"/>
                <w:u w:val="none"/>
              </w:rPr>
            </w:pPr>
            <w:r>
              <w:rPr>
                <w:rFonts w:hint="eastAsia" w:ascii="仿宋_GB2312" w:hAnsi="宋体" w:eastAsia="仿宋_GB2312" w:cs="仿宋_GB2312"/>
                <w:i w:val="0"/>
                <w:iCs w:val="0"/>
                <w:color w:val="000000"/>
                <w:kern w:val="0"/>
                <w:sz w:val="13"/>
                <w:szCs w:val="13"/>
                <w:u w:val="none"/>
                <w:lang w:val="en-US" w:eastAsia="zh-CN" w:bidi="ar"/>
              </w:rPr>
              <w:t>配售型保障性住房坚持以需定建，提前征求保障对象购买意向、锁定购买群体的（2分）；竣工验收一年内，销售套数占项目总套数90%以上的得2分，80％—90％的得1分，80%以下的不得分。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6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45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经验推广</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0"/>
                <w:sz w:val="13"/>
                <w:szCs w:val="13"/>
                <w:u w:val="none"/>
                <w:lang w:val="en-US" w:eastAsia="zh-CN" w:bidi="ar"/>
              </w:rPr>
            </w:pPr>
            <w:r>
              <w:rPr>
                <w:rFonts w:hint="eastAsia" w:ascii="仿宋_GB2312" w:hAnsi="宋体" w:eastAsia="仿宋_GB2312" w:cs="仿宋_GB2312"/>
                <w:i w:val="0"/>
                <w:iCs w:val="0"/>
                <w:color w:val="000000"/>
                <w:kern w:val="0"/>
                <w:sz w:val="13"/>
                <w:szCs w:val="13"/>
                <w:u w:val="none"/>
                <w:lang w:val="en-US" w:eastAsia="zh-CN" w:bidi="ar"/>
              </w:rPr>
              <w:t>受到党中央、国务院领导同志批示表扬的得2分；在全国工作会议上交流典型经验的，交流一次得1分，最多得2分；加强宣传和舆论引导，及时总结可复制可推广经验，积极推广配售型保障性住房、保障性租赁住房、公租房优秀项目、典型案例，相关经验做法被国务院相关部门推广或在中央级新闻媒体上报道的，每条得0.5分。本项最高得2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6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45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住房保障满意度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3"/>
                <w:szCs w:val="13"/>
                <w:u w:val="none"/>
              </w:rPr>
            </w:pPr>
            <w:r>
              <w:rPr>
                <w:rFonts w:hint="eastAsia" w:ascii="仿宋_GB2312" w:hAnsi="宋体" w:eastAsia="仿宋_GB2312" w:cs="仿宋_GB2312"/>
                <w:i w:val="0"/>
                <w:iCs w:val="0"/>
                <w:color w:val="000000"/>
                <w:kern w:val="0"/>
                <w:sz w:val="13"/>
                <w:szCs w:val="13"/>
                <w:u w:val="none"/>
                <w:lang w:val="en-US" w:eastAsia="zh-CN" w:bidi="ar"/>
              </w:rPr>
              <w:t>是否进行满意度测评（2分）；配售型保障性住房、保障性租赁住房、公租房和租赁补贴满意度指标达到90%以上（6分），低于90%的，每低一个百分点扣1分，对于群众信访问题没有及时处置或处置不到位的，每一次扣1分，最多扣6分；相关问题引发舆情或造成社会不良影响的，本项不得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4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98</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_GB2312" w:hAnsi="仿宋_GB2312" w:eastAsia="仿宋_GB2312"/>
          <w:sz w:val="16"/>
          <w:szCs w:val="16"/>
          <w:lang w:val="en-US" w:eastAsia="zh-CN"/>
        </w:rPr>
      </w:pPr>
      <w:r>
        <w:rPr>
          <w:rFonts w:hint="default" w:ascii="仿宋_GB2312" w:hAnsi="仿宋_GB2312" w:eastAsia="仿宋_GB2312"/>
          <w:sz w:val="16"/>
          <w:szCs w:val="16"/>
          <w:lang w:val="en-US" w:eastAsia="zh-CN"/>
        </w:rPr>
        <w:t>备注：1.相关指标未达到评分标准要求的，该指标不得分</w:t>
      </w:r>
      <w:r>
        <w:rPr>
          <w:rFonts w:hint="eastAsia" w:ascii="仿宋_GB2312" w:hAnsi="仿宋_GB2312" w:eastAsia="仿宋_GB2312"/>
          <w:sz w:val="16"/>
          <w:szCs w:val="16"/>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300"/>
        <w:jc w:val="both"/>
        <w:textAlignment w:val="auto"/>
        <w:rPr>
          <w:rFonts w:hint="default" w:ascii="仿宋_GB2312" w:hAnsi="仿宋_GB2312" w:eastAsia="仿宋_GB2312"/>
          <w:sz w:val="16"/>
          <w:szCs w:val="16"/>
          <w:lang w:val="en-US" w:eastAsia="zh-CN"/>
        </w:rPr>
      </w:pPr>
      <w:r>
        <w:rPr>
          <w:rFonts w:hint="eastAsia" w:ascii="仿宋_GB2312" w:hAnsi="仿宋_GB2312" w:eastAsia="仿宋_GB2312"/>
          <w:sz w:val="16"/>
          <w:szCs w:val="16"/>
          <w:lang w:val="en-US" w:eastAsia="zh-CN"/>
        </w:rPr>
        <w:t>2.</w:t>
      </w:r>
      <w:r>
        <w:rPr>
          <w:rFonts w:hint="default" w:ascii="仿宋_GB2312" w:hAnsi="仿宋_GB2312" w:eastAsia="仿宋_GB2312"/>
          <w:sz w:val="16"/>
          <w:szCs w:val="16"/>
          <w:lang w:val="en-US" w:eastAsia="zh-CN"/>
        </w:rPr>
        <w:t>未申报配售型保障性住房年度计划的，相关指标不得分。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300"/>
        <w:jc w:val="both"/>
        <w:textAlignment w:val="auto"/>
        <w:rPr>
          <w:rFonts w:hint="default" w:ascii="仿宋_GB2312" w:hAnsi="仿宋_GB2312" w:eastAsia="仿宋_GB2312"/>
          <w:sz w:val="28"/>
          <w:szCs w:val="22"/>
          <w:lang w:val="en-US" w:eastAsia="zh-CN"/>
        </w:rPr>
      </w:pPr>
      <w:r>
        <w:rPr>
          <w:rFonts w:hint="eastAsia" w:ascii="仿宋_GB2312" w:hAnsi="仿宋_GB2312" w:eastAsia="仿宋_GB2312"/>
          <w:sz w:val="16"/>
          <w:szCs w:val="16"/>
          <w:lang w:val="en-US" w:eastAsia="zh-CN"/>
        </w:rPr>
        <w:t>3.有关指标按照配售型保障性住房、保障性租赁住房、公租房项目分别评价，未达到评分标准要求的按比例扣减指标得分。</w:t>
      </w:r>
    </w:p>
    <w:sectPr>
      <w:footerReference r:id="rId3" w:type="default"/>
      <w:pgSz w:w="11906" w:h="16838"/>
      <w:pgMar w:top="1304" w:right="1077" w:bottom="1270" w:left="107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59264;mso-width-relative:page;mso-height-relative:page;" filled="f" stroked="f" coordsize="21600,21600" o:gfxdata="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PO8JfUAAAABwEAAA8AAAAAAAAAAQAg&#10;AAAAIgAAAGRycy9kb3ducmV2LnhtbFBLAQIUABQAAAAIAIdO4kBK283/EgIAABMEAAAOAAAAAAAA&#10;AAEAIAAAACMBAABkcnMvZTJvRG9jLnhtbFBLBQYAAAAABgAGAFkBAACnBQ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5NjMyZWY3MTk2OTQ5MmY5ZWJjZDQ3NjM3NGJjNDYifQ=="/>
  </w:docVars>
  <w:rsids>
    <w:rsidRoot w:val="00172A27"/>
    <w:rsid w:val="03CB26BC"/>
    <w:rsid w:val="04394805"/>
    <w:rsid w:val="06A745F6"/>
    <w:rsid w:val="0893655D"/>
    <w:rsid w:val="0A14675F"/>
    <w:rsid w:val="0C0B13B7"/>
    <w:rsid w:val="0D7A0127"/>
    <w:rsid w:val="0F366BF4"/>
    <w:rsid w:val="12EA25C0"/>
    <w:rsid w:val="155F10B0"/>
    <w:rsid w:val="17CA36B2"/>
    <w:rsid w:val="18C73BD5"/>
    <w:rsid w:val="1C2E5379"/>
    <w:rsid w:val="1DED2204"/>
    <w:rsid w:val="1F912980"/>
    <w:rsid w:val="1FC009DE"/>
    <w:rsid w:val="1FCB2379"/>
    <w:rsid w:val="23A95D9B"/>
    <w:rsid w:val="242F484E"/>
    <w:rsid w:val="283C3670"/>
    <w:rsid w:val="28F45255"/>
    <w:rsid w:val="2A324A20"/>
    <w:rsid w:val="2A9A043F"/>
    <w:rsid w:val="2B0A0BD5"/>
    <w:rsid w:val="2D7D2E2C"/>
    <w:rsid w:val="30C6301F"/>
    <w:rsid w:val="31BF5EE0"/>
    <w:rsid w:val="342D539A"/>
    <w:rsid w:val="356B79B5"/>
    <w:rsid w:val="3693460A"/>
    <w:rsid w:val="387854B1"/>
    <w:rsid w:val="395B30CE"/>
    <w:rsid w:val="3B112FA9"/>
    <w:rsid w:val="3C62209E"/>
    <w:rsid w:val="3EF012AE"/>
    <w:rsid w:val="46A2117A"/>
    <w:rsid w:val="47C11B4D"/>
    <w:rsid w:val="47FA7C2A"/>
    <w:rsid w:val="4D106251"/>
    <w:rsid w:val="4E9C0451"/>
    <w:rsid w:val="4F855EAC"/>
    <w:rsid w:val="526577B1"/>
    <w:rsid w:val="53334740"/>
    <w:rsid w:val="54B47478"/>
    <w:rsid w:val="55FA184D"/>
    <w:rsid w:val="560433A8"/>
    <w:rsid w:val="58BE5954"/>
    <w:rsid w:val="5D514FE0"/>
    <w:rsid w:val="5EA21DCA"/>
    <w:rsid w:val="5EFF63A0"/>
    <w:rsid w:val="61E14812"/>
    <w:rsid w:val="65382619"/>
    <w:rsid w:val="687050DF"/>
    <w:rsid w:val="68BA595A"/>
    <w:rsid w:val="69045834"/>
    <w:rsid w:val="699A7ADD"/>
    <w:rsid w:val="69F30BC4"/>
    <w:rsid w:val="6BC54253"/>
    <w:rsid w:val="6C4920FB"/>
    <w:rsid w:val="6DC20A4A"/>
    <w:rsid w:val="6E4413FF"/>
    <w:rsid w:val="6E7129C4"/>
    <w:rsid w:val="706A1312"/>
    <w:rsid w:val="73893DB8"/>
    <w:rsid w:val="75DB736B"/>
    <w:rsid w:val="777D3AA7"/>
    <w:rsid w:val="78050A96"/>
    <w:rsid w:val="7AA24F97"/>
    <w:rsid w:val="7B21178E"/>
    <w:rsid w:val="7CB63E70"/>
    <w:rsid w:val="7D6815C0"/>
    <w:rsid w:val="7E304914"/>
    <w:rsid w:val="7E6002D5"/>
    <w:rsid w:val="7EB47F62"/>
    <w:rsid w:val="7F4014F9"/>
    <w:rsid w:val="97F79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61"/>
    <w:basedOn w:val="5"/>
    <w:qFormat/>
    <w:uiPriority w:val="0"/>
    <w:rPr>
      <w:rFonts w:hint="eastAsia" w:ascii="仿宋_GB2312" w:eastAsia="仿宋_GB2312" w:cs="仿宋_GB2312"/>
      <w:color w:val="000000"/>
      <w:sz w:val="20"/>
      <w:szCs w:val="20"/>
      <w:u w:val="none"/>
    </w:rPr>
  </w:style>
  <w:style w:type="character" w:customStyle="1" w:styleId="8">
    <w:name w:val="font41"/>
    <w:basedOn w:val="5"/>
    <w:qFormat/>
    <w:uiPriority w:val="0"/>
    <w:rPr>
      <w:rFonts w:hint="default" w:ascii="Times New Roman" w:hAnsi="Times New Roman" w:cs="Times New Roman"/>
      <w:b/>
      <w:bCs/>
      <w:color w:val="000000"/>
      <w:sz w:val="24"/>
      <w:szCs w:val="24"/>
      <w:u w:val="none"/>
    </w:rPr>
  </w:style>
  <w:style w:type="character" w:customStyle="1" w:styleId="9">
    <w:name w:val="font11"/>
    <w:basedOn w:val="5"/>
    <w:qFormat/>
    <w:uiPriority w:val="0"/>
    <w:rPr>
      <w:rFonts w:hint="eastAsia" w:ascii="宋体" w:hAnsi="宋体" w:eastAsia="宋体" w:cs="宋体"/>
      <w:b/>
      <w:bCs/>
      <w:color w:val="000000"/>
      <w:sz w:val="24"/>
      <w:szCs w:val="24"/>
      <w:u w:val="none"/>
    </w:rPr>
  </w:style>
  <w:style w:type="character" w:customStyle="1" w:styleId="10">
    <w:name w:val="font81"/>
    <w:basedOn w:val="5"/>
    <w:qFormat/>
    <w:uiPriority w:val="0"/>
    <w:rPr>
      <w:rFonts w:hint="eastAsia" w:ascii="宋体" w:hAnsi="宋体" w:eastAsia="宋体" w:cs="宋体"/>
      <w:b/>
      <w:bCs/>
      <w:color w:val="000000"/>
      <w:sz w:val="24"/>
      <w:szCs w:val="24"/>
      <w:u w:val="none"/>
      <w:vertAlign w:val="superscript"/>
    </w:rPr>
  </w:style>
  <w:style w:type="character" w:customStyle="1" w:styleId="11">
    <w:name w:val="font51"/>
    <w:basedOn w:val="5"/>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6182</Words>
  <Characters>6384</Characters>
  <Lines>1</Lines>
  <Paragraphs>1</Paragraphs>
  <TotalTime>0</TotalTime>
  <ScaleCrop>false</ScaleCrop>
  <LinksUpToDate>false</LinksUpToDate>
  <CharactersWithSpaces>6455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2021-12-23T01:03:00Z</dcterms:created>
  <dc:creator>ZBJ</dc:creator>
  <cp:lastModifiedBy>Administrator</cp:lastModifiedBy>
  <cp:lastPrinted>2026-01-07T02:49:02Z</cp:lastPrinted>
  <dcterms:modified xsi:type="dcterms:W3CDTF">2026-01-07T02:49:40Z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930E313508A9438987C2DABD892E5D7A_13</vt:lpwstr>
  </property>
</Properties>
</file>