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40" w:lineRule="exact"/>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葛店开发区住建局</w:t>
      </w:r>
      <w:r>
        <w:rPr>
          <w:rFonts w:hint="eastAsia" w:ascii="方正小标宋简体" w:hAnsi="方正小标宋简体" w:eastAsia="方正小标宋简体" w:cs="方正小标宋简体"/>
          <w:sz w:val="44"/>
          <w:szCs w:val="44"/>
          <w:u w:val="none"/>
          <w:lang w:val="en-US" w:eastAsia="zh-CN"/>
        </w:rPr>
        <w:t>2023</w:t>
      </w:r>
      <w:r>
        <w:rPr>
          <w:rFonts w:hint="eastAsia" w:ascii="方正小标宋简体" w:hAnsi="方正小标宋简体" w:eastAsia="方正小标宋简体" w:cs="方正小标宋简体"/>
          <w:sz w:val="44"/>
          <w:szCs w:val="44"/>
          <w:lang w:val="en-US" w:eastAsia="zh-CN"/>
        </w:rPr>
        <w:t>年度部门决算</w:t>
      </w:r>
    </w:p>
    <w:p>
      <w:pPr>
        <w:keepNext w:val="0"/>
        <w:keepLines w:val="0"/>
        <w:pageBreakBefore w:val="0"/>
        <w:widowControl w:val="0"/>
        <w:shd w:val="clear" w:color="auto" w:fill="FFFFFF"/>
        <w:kinsoku/>
        <w:wordWrap/>
        <w:overflowPunct/>
        <w:topLinePunct w:val="0"/>
        <w:autoSpaceDE/>
        <w:autoSpaceDN/>
        <w:bidi w:val="0"/>
        <w:adjustRightInd/>
        <w:snapToGrid/>
        <w:spacing w:before="240" w:after="240" w:line="640" w:lineRule="exact"/>
        <w:ind w:firstLine="641"/>
        <w:jc w:val="center"/>
        <w:textAlignment w:val="auto"/>
        <w:outlineLvl w:val="9"/>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目    录</w:t>
      </w:r>
    </w:p>
    <w:p>
      <w:pPr>
        <w:keepNext w:val="0"/>
        <w:keepLines w:val="0"/>
        <w:pageBreakBefore w:val="0"/>
        <w:widowControl w:val="0"/>
        <w:shd w:val="clear" w:color="auto" w:fill="FFFFFF"/>
        <w:kinsoku/>
        <w:wordWrap/>
        <w:overflowPunct/>
        <w:topLinePunct w:val="0"/>
        <w:autoSpaceDE/>
        <w:autoSpaceDN/>
        <w:bidi w:val="0"/>
        <w:adjustRightInd/>
        <w:snapToGrid/>
        <w:spacing w:before="240" w:after="240" w:line="700" w:lineRule="exact"/>
        <w:ind w:firstLine="641"/>
        <w:jc w:val="both"/>
        <w:textAlignment w:val="auto"/>
        <w:outlineLvl w:val="9"/>
        <w:rPr>
          <w:rFonts w:hint="eastAsia" w:ascii="黑体" w:hAnsi="黑体" w:eastAsia="黑体" w:cs="黑体"/>
        </w:rPr>
      </w:pPr>
      <w:r>
        <w:rPr>
          <w:rStyle w:val="7"/>
          <w:rFonts w:hint="eastAsia" w:ascii="黑体" w:hAnsi="黑体" w:eastAsia="黑体" w:cs="黑体"/>
          <w:sz w:val="32"/>
          <w:szCs w:val="32"/>
          <w:rtl w:val="0"/>
        </w:rPr>
        <w:t>第一部分</w:t>
      </w:r>
      <w:r>
        <w:rPr>
          <w:rStyle w:val="7"/>
          <w:rFonts w:hint="eastAsia" w:ascii="黑体" w:hAnsi="黑体" w:eastAsia="黑体" w:cs="黑体"/>
          <w:sz w:val="32"/>
          <w:szCs w:val="32"/>
          <w:rtl w:val="0"/>
          <w:lang w:val="en-US" w:eastAsia="en-US"/>
        </w:rPr>
        <w:t xml:space="preserve">  </w:t>
      </w:r>
      <w:r>
        <w:rPr>
          <w:rStyle w:val="7"/>
          <w:rFonts w:hint="eastAsia" w:ascii="黑体" w:hAnsi="黑体" w:eastAsia="黑体" w:cs="黑体"/>
          <w:sz w:val="32"/>
          <w:szCs w:val="32"/>
          <w:rtl w:val="0"/>
        </w:rPr>
        <w:t>葛店开发区住建</w:t>
      </w:r>
      <w:r>
        <w:rPr>
          <w:rStyle w:val="7"/>
          <w:rFonts w:hint="eastAsia" w:ascii="黑体" w:hAnsi="黑体" w:eastAsia="黑体" w:cs="黑体"/>
          <w:sz w:val="32"/>
          <w:szCs w:val="32"/>
          <w:rtl w:val="0"/>
          <w:lang w:val="en-US" w:eastAsia="zh-CN"/>
        </w:rPr>
        <w:t>局</w:t>
      </w:r>
      <w:r>
        <w:rPr>
          <w:rStyle w:val="7"/>
          <w:rFonts w:hint="eastAsia" w:ascii="黑体" w:hAnsi="黑体" w:eastAsia="黑体" w:cs="黑体"/>
          <w:sz w:val="32"/>
          <w:szCs w:val="32"/>
          <w:rtl w:val="0"/>
        </w:rPr>
        <w:t>概况</w:t>
      </w:r>
    </w:p>
    <w:p>
      <w:pPr>
        <w:keepNext w:val="0"/>
        <w:keepLines w:val="0"/>
        <w:pageBreakBefore w:val="0"/>
        <w:widowControl w:val="0"/>
        <w:kinsoku/>
        <w:wordWrap/>
        <w:overflowPunct/>
        <w:topLinePunct w:val="0"/>
        <w:autoSpaceDE/>
        <w:autoSpaceDN/>
        <w:bidi w:val="0"/>
        <w:adjustRightInd w:val="0"/>
        <w:snapToGrid w:val="0"/>
        <w:spacing w:line="360" w:lineRule="auto"/>
        <w:ind w:right="-781" w:rightChars="-244" w:firstLine="640" w:firstLineChars="200"/>
        <w:jc w:val="both"/>
        <w:textAlignment w:val="auto"/>
        <w:outlineLvl w:val="9"/>
        <w:rPr>
          <w:rFonts w:hint="eastAsia" w:ascii="CESI仿宋-GB13000" w:hAnsi="CESI仿宋-GB13000" w:eastAsia="CESI仿宋-GB13000" w:cs="CESI仿宋-GB13000"/>
          <w:bCs/>
          <w:sz w:val="32"/>
          <w:szCs w:val="32"/>
          <w:highlight w:val="none"/>
          <w:lang w:eastAsia="zh-CN"/>
        </w:rPr>
      </w:pPr>
      <w:r>
        <w:rPr>
          <w:rFonts w:hint="eastAsia" w:ascii="CESI仿宋-GB13000" w:hAnsi="CESI仿宋-GB13000" w:eastAsia="CESI仿宋-GB13000" w:cs="CESI仿宋-GB13000"/>
          <w:bCs/>
          <w:sz w:val="32"/>
          <w:szCs w:val="32"/>
          <w:highlight w:val="none"/>
          <w:rtl w:val="0"/>
        </w:rPr>
        <w:t>一、部门主要</w:t>
      </w:r>
      <w:r>
        <w:rPr>
          <w:rFonts w:hint="eastAsia" w:ascii="CESI仿宋-GB13000" w:hAnsi="CESI仿宋-GB13000" w:eastAsia="CESI仿宋-GB13000" w:cs="CESI仿宋-GB13000"/>
          <w:bCs/>
          <w:sz w:val="32"/>
          <w:szCs w:val="32"/>
          <w:highlight w:val="none"/>
          <w:rtl w:val="0"/>
          <w:lang w:eastAsia="zh-CN"/>
        </w:rPr>
        <w:t>职责</w:t>
      </w:r>
    </w:p>
    <w:p>
      <w:pPr>
        <w:keepNext w:val="0"/>
        <w:keepLines w:val="0"/>
        <w:pageBreakBefore w:val="0"/>
        <w:widowControl w:val="0"/>
        <w:kinsoku/>
        <w:wordWrap/>
        <w:overflowPunct/>
        <w:topLinePunct w:val="0"/>
        <w:autoSpaceDE/>
        <w:autoSpaceDN/>
        <w:bidi w:val="0"/>
        <w:adjustRightInd w:val="0"/>
        <w:snapToGrid w:val="0"/>
        <w:spacing w:line="360" w:lineRule="auto"/>
        <w:ind w:right="-781" w:rightChars="-244" w:firstLine="640" w:firstLineChars="200"/>
        <w:jc w:val="both"/>
        <w:textAlignment w:val="auto"/>
        <w:outlineLvl w:val="9"/>
        <w:rPr>
          <w:rFonts w:hint="eastAsia" w:ascii="CESI仿宋-GB13000" w:hAnsi="CESI仿宋-GB13000" w:eastAsia="CESI仿宋-GB13000" w:cs="CESI仿宋-GB13000"/>
          <w:bCs/>
          <w:sz w:val="32"/>
          <w:szCs w:val="32"/>
          <w:highlight w:val="none"/>
          <w:lang w:eastAsia="zh-CN"/>
        </w:rPr>
      </w:pPr>
      <w:r>
        <w:rPr>
          <w:rFonts w:hint="eastAsia" w:ascii="CESI仿宋-GB13000" w:hAnsi="CESI仿宋-GB13000" w:eastAsia="CESI仿宋-GB13000" w:cs="CESI仿宋-GB13000"/>
          <w:bCs/>
          <w:sz w:val="32"/>
          <w:szCs w:val="32"/>
          <w:highlight w:val="none"/>
          <w:rtl w:val="0"/>
        </w:rPr>
        <w:t>二、</w:t>
      </w:r>
      <w:r>
        <w:rPr>
          <w:rFonts w:hint="eastAsia" w:ascii="CESI仿宋-GB13000" w:hAnsi="CESI仿宋-GB13000" w:eastAsia="CESI仿宋-GB13000" w:cs="CESI仿宋-GB13000"/>
          <w:bCs/>
          <w:sz w:val="32"/>
          <w:szCs w:val="32"/>
          <w:highlight w:val="none"/>
          <w:rtl w:val="0"/>
          <w:lang w:eastAsia="zh-CN"/>
        </w:rPr>
        <w:t>机构设置情况</w:t>
      </w:r>
    </w:p>
    <w:p>
      <w:pPr>
        <w:keepNext w:val="0"/>
        <w:keepLines w:val="0"/>
        <w:pageBreakBefore w:val="0"/>
        <w:widowControl w:val="0"/>
        <w:shd w:val="clear" w:color="auto" w:fill="FFFFFF"/>
        <w:kinsoku/>
        <w:wordWrap/>
        <w:overflowPunct/>
        <w:topLinePunct w:val="0"/>
        <w:autoSpaceDE/>
        <w:autoSpaceDN/>
        <w:bidi w:val="0"/>
        <w:spacing w:before="240" w:after="240" w:line="360" w:lineRule="auto"/>
        <w:ind w:firstLine="640"/>
        <w:jc w:val="both"/>
        <w:textAlignment w:val="auto"/>
        <w:outlineLvl w:val="9"/>
      </w:pPr>
      <w:r>
        <w:rPr>
          <w:rStyle w:val="7"/>
          <w:rFonts w:ascii="黑体" w:hAnsi="黑体" w:eastAsia="黑体" w:cs="黑体"/>
          <w:sz w:val="32"/>
          <w:szCs w:val="32"/>
          <w:rtl w:val="0"/>
        </w:rPr>
        <w:t>第二部分</w:t>
      </w:r>
      <w:r>
        <w:rPr>
          <w:rStyle w:val="7"/>
          <w:rFonts w:ascii="黑体" w:hAnsi="黑体" w:eastAsia="黑体" w:cs="黑体"/>
          <w:sz w:val="32"/>
          <w:szCs w:val="32"/>
          <w:rtl w:val="0"/>
          <w:lang w:val="en-US" w:eastAsia="en-US"/>
        </w:rPr>
        <w:t> </w:t>
      </w:r>
      <w:r>
        <w:rPr>
          <w:rStyle w:val="7"/>
          <w:rFonts w:ascii="黑体" w:hAnsi="黑体" w:eastAsia="黑体" w:cs="黑体"/>
          <w:sz w:val="32"/>
          <w:szCs w:val="32"/>
          <w:u w:val="single"/>
          <w:rtl w:val="0"/>
          <w:lang w:val="en-US" w:eastAsia="en-US"/>
        </w:rPr>
        <w:t xml:space="preserve"> </w:t>
      </w:r>
      <w:r>
        <w:rPr>
          <w:rStyle w:val="7"/>
          <w:rFonts w:hint="eastAsia" w:ascii="黑体" w:hAnsi="黑体" w:eastAsia="黑体" w:cs="黑体"/>
          <w:sz w:val="32"/>
          <w:szCs w:val="32"/>
          <w:rtl w:val="0"/>
          <w:lang w:val="en-US" w:eastAsia="zh-CN"/>
        </w:rPr>
        <w:t>葛店开发区住建局2023</w:t>
      </w:r>
      <w:r>
        <w:rPr>
          <w:rStyle w:val="7"/>
          <w:rFonts w:ascii="黑体" w:hAnsi="黑体" w:eastAsia="黑体" w:cs="黑体"/>
          <w:sz w:val="32"/>
          <w:szCs w:val="32"/>
          <w:rtl w:val="0"/>
        </w:rPr>
        <w:t>年度部门决算表</w:t>
      </w:r>
    </w:p>
    <w:p>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一、收入支出决算总表</w:t>
      </w:r>
    </w:p>
    <w:p>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二、收入决算表</w:t>
      </w:r>
    </w:p>
    <w:p>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三、支出决算表</w:t>
      </w:r>
    </w:p>
    <w:p>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四、财政拨款收入支出决算总表</w:t>
      </w:r>
    </w:p>
    <w:p>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五、一般公共预算财政拨款支出决算表</w:t>
      </w:r>
    </w:p>
    <w:p>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六、一般公共预算财政拨款基本支出决算明细表</w:t>
      </w:r>
    </w:p>
    <w:p>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七、政府性基金预算财政拨款收入支出决算表</w:t>
      </w:r>
    </w:p>
    <w:p>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八、国有资本经营预算财政拨款支出决算表</w:t>
      </w:r>
    </w:p>
    <w:p>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九、财政拨款“三公”经费支出决算表</w:t>
      </w:r>
    </w:p>
    <w:p>
      <w:pPr>
        <w:keepNext w:val="0"/>
        <w:keepLines w:val="0"/>
        <w:pageBreakBefore w:val="0"/>
        <w:widowControl w:val="0"/>
        <w:shd w:val="clear" w:color="auto" w:fill="FFFFFF"/>
        <w:kinsoku/>
        <w:wordWrap/>
        <w:overflowPunct/>
        <w:topLinePunct w:val="0"/>
        <w:autoSpaceDE/>
        <w:autoSpaceDN/>
        <w:bidi w:val="0"/>
        <w:spacing w:before="240" w:after="240" w:line="360" w:lineRule="auto"/>
        <w:ind w:firstLine="640"/>
        <w:jc w:val="both"/>
        <w:textAlignment w:val="auto"/>
        <w:outlineLvl w:val="9"/>
      </w:pPr>
      <w:r>
        <w:rPr>
          <w:rStyle w:val="7"/>
          <w:rFonts w:ascii="黑体" w:hAnsi="黑体" w:eastAsia="黑体" w:cs="黑体"/>
          <w:sz w:val="32"/>
          <w:szCs w:val="32"/>
          <w:rtl w:val="0"/>
        </w:rPr>
        <w:t>第三部分</w:t>
      </w:r>
      <w:r>
        <w:rPr>
          <w:rStyle w:val="7"/>
          <w:rFonts w:ascii="黑体" w:hAnsi="黑体" w:eastAsia="黑体" w:cs="黑体"/>
          <w:sz w:val="32"/>
          <w:szCs w:val="32"/>
          <w:rtl w:val="0"/>
          <w:lang w:val="en-US" w:eastAsia="en-US"/>
        </w:rPr>
        <w:t xml:space="preserve">  </w:t>
      </w:r>
      <w:r>
        <w:rPr>
          <w:rStyle w:val="7"/>
          <w:rFonts w:hint="eastAsia" w:ascii="黑体" w:hAnsi="黑体" w:eastAsia="黑体" w:cs="黑体"/>
          <w:sz w:val="32"/>
          <w:szCs w:val="32"/>
          <w:rtl w:val="0"/>
          <w:lang w:val="en-US" w:eastAsia="zh-CN"/>
        </w:rPr>
        <w:t>葛店开发区住建局2023</w:t>
      </w:r>
      <w:r>
        <w:rPr>
          <w:rStyle w:val="7"/>
          <w:rFonts w:ascii="黑体" w:hAnsi="黑体" w:eastAsia="黑体" w:cs="黑体"/>
          <w:sz w:val="32"/>
          <w:szCs w:val="32"/>
          <w:rtl w:val="0"/>
        </w:rPr>
        <w:t>年度部门决算情况说明</w:t>
      </w:r>
    </w:p>
    <w:p>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一、收入支出决算总体情况说明</w:t>
      </w:r>
    </w:p>
    <w:p>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二、收入决算情况说明</w:t>
      </w:r>
    </w:p>
    <w:p>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三、支出决算情况说明</w:t>
      </w:r>
    </w:p>
    <w:p>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四、财政拨款收入支出决算总体情况说明</w:t>
      </w:r>
    </w:p>
    <w:p>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五、一般公共预算财政拨款支出决算情况说明</w:t>
      </w:r>
    </w:p>
    <w:p>
      <w:pPr>
        <w:keepNext w:val="0"/>
        <w:keepLines w:val="0"/>
        <w:pageBreakBefore w:val="0"/>
        <w:widowControl w:val="0"/>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六、一般公共预算财政拨款基本支出决算情况说明</w:t>
      </w:r>
    </w:p>
    <w:p>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lang w:val="en-US" w:eastAsia="zh-CN"/>
        </w:rPr>
        <w:t xml:space="preserve">七、政府性基金预算财政拨款收入支出决算情况说明 </w:t>
      </w:r>
    </w:p>
    <w:p>
      <w:pPr>
        <w:keepNext w:val="0"/>
        <w:keepLines w:val="0"/>
        <w:pageBreakBefore w:val="0"/>
        <w:widowControl w:val="0"/>
        <w:numPr>
          <w:ilvl w:val="0"/>
          <w:numId w:val="0"/>
        </w:numPr>
        <w:kinsoku/>
        <w:wordWrap/>
        <w:overflowPunct/>
        <w:topLinePunct w:val="0"/>
        <w:autoSpaceDE/>
        <w:autoSpaceDN/>
        <w:bidi w:val="0"/>
        <w:spacing w:line="360" w:lineRule="auto"/>
        <w:ind w:left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八、国有资本经营预算财政拨款支出决算情况说明</w:t>
      </w:r>
    </w:p>
    <w:p>
      <w:pPr>
        <w:keepNext w:val="0"/>
        <w:keepLines w:val="0"/>
        <w:pageBreakBefore w:val="0"/>
        <w:widowControl w:val="0"/>
        <w:numPr>
          <w:ilvl w:val="0"/>
          <w:numId w:val="0"/>
        </w:numPr>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 xml:space="preserve">九、财政拨款“三公”经费支出决算情况说明 </w:t>
      </w:r>
    </w:p>
    <w:p>
      <w:pPr>
        <w:keepNext w:val="0"/>
        <w:keepLines w:val="0"/>
        <w:pageBreakBefore w:val="0"/>
        <w:widowControl w:val="0"/>
        <w:numPr>
          <w:ilvl w:val="0"/>
          <w:numId w:val="0"/>
        </w:numPr>
        <w:kinsoku/>
        <w:wordWrap/>
        <w:overflowPunct/>
        <w:topLinePunct w:val="0"/>
        <w:autoSpaceDE/>
        <w:autoSpaceDN/>
        <w:bidi w:val="0"/>
        <w:spacing w:line="360" w:lineRule="auto"/>
        <w:ind w:left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十、机关运行经费支出说明</w:t>
      </w:r>
    </w:p>
    <w:p>
      <w:pPr>
        <w:keepNext w:val="0"/>
        <w:keepLines w:val="0"/>
        <w:pageBreakBefore w:val="0"/>
        <w:widowControl w:val="0"/>
        <w:numPr>
          <w:ilvl w:val="0"/>
          <w:numId w:val="0"/>
        </w:numPr>
        <w:kinsoku/>
        <w:wordWrap/>
        <w:overflowPunct/>
        <w:topLinePunct w:val="0"/>
        <w:autoSpaceDE/>
        <w:autoSpaceDN/>
        <w:bidi w:val="0"/>
        <w:spacing w:line="360" w:lineRule="auto"/>
        <w:ind w:left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十一、政府采购支出说明</w:t>
      </w:r>
    </w:p>
    <w:p>
      <w:pPr>
        <w:keepNext w:val="0"/>
        <w:keepLines w:val="0"/>
        <w:pageBreakBefore w:val="0"/>
        <w:widowControl w:val="0"/>
        <w:numPr>
          <w:ilvl w:val="0"/>
          <w:numId w:val="0"/>
        </w:numPr>
        <w:kinsoku/>
        <w:wordWrap/>
        <w:overflowPunct/>
        <w:topLinePunct w:val="0"/>
        <w:autoSpaceDE/>
        <w:autoSpaceDN/>
        <w:bidi w:val="0"/>
        <w:spacing w:line="360" w:lineRule="auto"/>
        <w:ind w:left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十二、国有资产占用情况说明</w:t>
      </w:r>
    </w:p>
    <w:p>
      <w:pPr>
        <w:keepNext w:val="0"/>
        <w:keepLines w:val="0"/>
        <w:pageBreakBefore w:val="0"/>
        <w:widowControl w:val="0"/>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十三、预算绩效情况说明</w:t>
      </w:r>
    </w:p>
    <w:p>
      <w:pPr>
        <w:keepNext w:val="0"/>
        <w:keepLines w:val="0"/>
        <w:pageBreakBefore w:val="0"/>
        <w:widowControl w:val="0"/>
        <w:kinsoku/>
        <w:wordWrap/>
        <w:overflowPunct/>
        <w:topLinePunct w:val="0"/>
        <w:autoSpaceDE/>
        <w:autoSpaceDN/>
        <w:bidi w:val="0"/>
        <w:spacing w:line="360" w:lineRule="auto"/>
        <w:ind w:firstLine="640" w:firstLineChars="200"/>
        <w:jc w:val="both"/>
        <w:textAlignment w:val="auto"/>
        <w:outlineLvl w:val="9"/>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十四、专项支出、转移支付支出情况说明</w:t>
      </w:r>
    </w:p>
    <w:p>
      <w:pPr>
        <w:keepNext w:val="0"/>
        <w:keepLines w:val="0"/>
        <w:pageBreakBefore w:val="0"/>
        <w:widowControl w:val="0"/>
        <w:shd w:val="clear" w:color="auto" w:fill="FFFFFF"/>
        <w:kinsoku/>
        <w:wordWrap/>
        <w:overflowPunct/>
        <w:topLinePunct w:val="0"/>
        <w:autoSpaceDE/>
        <w:autoSpaceDN/>
        <w:bidi w:val="0"/>
        <w:spacing w:before="240" w:after="240" w:line="360" w:lineRule="auto"/>
        <w:ind w:firstLine="640"/>
        <w:jc w:val="both"/>
        <w:textAlignment w:val="auto"/>
        <w:outlineLvl w:val="9"/>
      </w:pPr>
      <w:r>
        <w:rPr>
          <w:rStyle w:val="7"/>
          <w:rFonts w:ascii="黑体" w:hAnsi="黑体" w:eastAsia="黑体" w:cs="黑体"/>
          <w:sz w:val="32"/>
          <w:szCs w:val="32"/>
          <w:rtl w:val="0"/>
        </w:rPr>
        <w:t>第四部分</w:t>
      </w:r>
      <w:r>
        <w:rPr>
          <w:rStyle w:val="7"/>
          <w:rFonts w:ascii="黑体" w:hAnsi="黑体" w:eastAsia="黑体" w:cs="黑体"/>
          <w:sz w:val="32"/>
          <w:szCs w:val="32"/>
          <w:rtl w:val="0"/>
          <w:lang w:val="en-US" w:eastAsia="en-US"/>
        </w:rPr>
        <w:t xml:space="preserve">  </w:t>
      </w:r>
      <w:r>
        <w:rPr>
          <w:rFonts w:hint="eastAsia" w:ascii="黑体" w:hAnsi="黑体" w:eastAsia="黑体" w:cs="黑体"/>
          <w:sz w:val="32"/>
          <w:szCs w:val="32"/>
          <w:lang w:val="en-US" w:eastAsia="zh-CN"/>
        </w:rPr>
        <w:t>其他需要说明的情况</w:t>
      </w:r>
    </w:p>
    <w:p>
      <w:pPr>
        <w:keepNext w:val="0"/>
        <w:keepLines w:val="0"/>
        <w:pageBreakBefore w:val="0"/>
        <w:widowControl w:val="0"/>
        <w:shd w:val="clear" w:color="auto" w:fill="FFFFFF"/>
        <w:kinsoku/>
        <w:wordWrap/>
        <w:overflowPunct/>
        <w:topLinePunct w:val="0"/>
        <w:autoSpaceDE/>
        <w:autoSpaceDN/>
        <w:bidi w:val="0"/>
        <w:spacing w:before="240" w:after="240" w:line="360" w:lineRule="auto"/>
        <w:ind w:firstLine="640"/>
        <w:jc w:val="both"/>
        <w:textAlignment w:val="auto"/>
        <w:outlineLvl w:val="9"/>
        <w:rPr>
          <w:rStyle w:val="7"/>
          <w:rFonts w:ascii="黑体" w:hAnsi="黑体" w:eastAsia="黑体" w:cs="黑体"/>
          <w:sz w:val="32"/>
          <w:szCs w:val="32"/>
          <w:rtl w:val="0"/>
        </w:rPr>
      </w:pPr>
      <w:r>
        <w:rPr>
          <w:rStyle w:val="7"/>
          <w:rFonts w:ascii="黑体" w:hAnsi="黑体" w:eastAsia="黑体" w:cs="黑体"/>
          <w:sz w:val="32"/>
          <w:szCs w:val="32"/>
          <w:rtl w:val="0"/>
        </w:rPr>
        <w:t>第五部分</w:t>
      </w:r>
      <w:r>
        <w:rPr>
          <w:rStyle w:val="7"/>
          <w:rFonts w:ascii="黑体" w:hAnsi="黑体" w:eastAsia="黑体" w:cs="黑体"/>
          <w:sz w:val="32"/>
          <w:szCs w:val="32"/>
          <w:rtl w:val="0"/>
          <w:lang w:val="en-US" w:eastAsia="en-US"/>
        </w:rPr>
        <w:t xml:space="preserve">  </w:t>
      </w:r>
      <w:r>
        <w:rPr>
          <w:rStyle w:val="7"/>
          <w:rFonts w:ascii="黑体" w:hAnsi="黑体" w:eastAsia="黑体" w:cs="黑体"/>
          <w:sz w:val="32"/>
          <w:szCs w:val="32"/>
          <w:rtl w:val="0"/>
        </w:rPr>
        <w:t>名词解释</w:t>
      </w:r>
    </w:p>
    <w:p>
      <w:pPr>
        <w:keepNext w:val="0"/>
        <w:keepLines w:val="0"/>
        <w:pageBreakBefore w:val="0"/>
        <w:widowControl w:val="0"/>
        <w:numPr>
          <w:ilvl w:val="0"/>
          <w:numId w:val="0"/>
        </w:numPr>
        <w:kinsoku/>
        <w:wordWrap/>
        <w:overflowPunct/>
        <w:topLinePunct w:val="0"/>
        <w:bidi w:val="0"/>
        <w:spacing w:line="360" w:lineRule="auto"/>
        <w:ind w:firstLine="640" w:firstLineChars="200"/>
        <w:jc w:val="both"/>
        <w:textAlignment w:val="auto"/>
        <w:outlineLvl w:val="9"/>
        <w:rPr>
          <w:rStyle w:val="7"/>
          <w:rFonts w:hint="eastAsia" w:ascii="黑体" w:hAnsi="黑体" w:eastAsia="黑体" w:cs="黑体"/>
          <w:sz w:val="32"/>
          <w:szCs w:val="32"/>
          <w:rtl w:val="0"/>
          <w:lang w:val="en-US" w:eastAsia="zh-CN"/>
        </w:rPr>
      </w:pPr>
      <w:r>
        <w:rPr>
          <w:rStyle w:val="7"/>
          <w:rFonts w:hint="eastAsia" w:ascii="黑体" w:hAnsi="黑体" w:eastAsia="黑体" w:cs="黑体"/>
          <w:sz w:val="32"/>
          <w:szCs w:val="32"/>
          <w:rtl w:val="0"/>
          <w:lang w:val="en-US" w:eastAsia="zh-CN"/>
        </w:rPr>
        <w:t>第六部分  附件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 w:lineRule="atLeast"/>
        <w:ind w:left="0" w:right="0" w:firstLine="640" w:firstLineChars="200"/>
        <w:jc w:val="left"/>
        <w:textAlignment w:val="auto"/>
        <w:rPr>
          <w:rFonts w:hint="eastAsia" w:ascii="CESI仿宋-GB13000" w:hAnsi="CESI仿宋-GB13000" w:eastAsia="CESI仿宋-GB13000" w:cs="CESI仿宋-GB13000"/>
          <w:i w:val="0"/>
          <w:caps w:val="0"/>
          <w:color w:val="333333"/>
          <w:spacing w:val="0"/>
          <w:sz w:val="32"/>
          <w:szCs w:val="32"/>
        </w:rPr>
      </w:pPr>
      <w:r>
        <w:rPr>
          <w:rFonts w:hint="eastAsia" w:ascii="CESI仿宋-GB13000" w:hAnsi="CESI仿宋-GB13000" w:eastAsia="CESI仿宋-GB13000" w:cs="CESI仿宋-GB13000"/>
          <w:i w:val="0"/>
          <w:caps w:val="0"/>
          <w:color w:val="333333"/>
          <w:spacing w:val="0"/>
          <w:kern w:val="0"/>
          <w:sz w:val="32"/>
          <w:szCs w:val="32"/>
          <w:shd w:val="clear" w:fill="FFFFFF"/>
          <w:lang w:val="en-US" w:eastAsia="zh-CN" w:bidi="ar"/>
        </w:rPr>
        <w:t>一、2023年度葛店开发区住建局项目绩效自评表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 w:lineRule="atLeast"/>
        <w:ind w:left="0" w:right="0" w:firstLine="640" w:firstLineChars="200"/>
        <w:jc w:val="left"/>
        <w:textAlignment w:val="auto"/>
        <w:rPr>
          <w:rFonts w:hint="eastAsia" w:ascii="CESI仿宋-GB13000" w:hAnsi="CESI仿宋-GB13000" w:eastAsia="CESI仿宋-GB13000" w:cs="CESI仿宋-GB13000"/>
          <w:i w:val="0"/>
          <w:caps w:val="0"/>
          <w:color w:val="333333"/>
          <w:spacing w:val="0"/>
          <w:kern w:val="0"/>
          <w:sz w:val="32"/>
          <w:szCs w:val="32"/>
          <w:shd w:val="clear" w:fill="FFFFFF"/>
          <w:lang w:val="en-US" w:eastAsia="zh-CN" w:bidi="ar"/>
        </w:rPr>
      </w:pPr>
      <w:r>
        <w:rPr>
          <w:rFonts w:hint="eastAsia" w:ascii="CESI仿宋-GB13000" w:hAnsi="CESI仿宋-GB13000" w:eastAsia="CESI仿宋-GB13000" w:cs="CESI仿宋-GB13000"/>
          <w:i w:val="0"/>
          <w:caps w:val="0"/>
          <w:color w:val="333333"/>
          <w:spacing w:val="0"/>
          <w:kern w:val="0"/>
          <w:sz w:val="32"/>
          <w:szCs w:val="32"/>
          <w:shd w:val="clear" w:fill="FFFFFF"/>
          <w:lang w:val="en-US" w:eastAsia="zh-CN" w:bidi="ar"/>
        </w:rPr>
        <w:t>二、2023年度葛店开发区住建局整体绩效自评表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 w:lineRule="atLeast"/>
        <w:ind w:left="0" w:right="0" w:firstLine="640" w:firstLineChars="200"/>
        <w:jc w:val="left"/>
        <w:textAlignment w:val="auto"/>
        <w:rPr>
          <w:rFonts w:hint="eastAsia" w:ascii="CESI仿宋-GB13000" w:hAnsi="CESI仿宋-GB13000" w:eastAsia="CESI仿宋-GB13000" w:cs="CESI仿宋-GB13000"/>
          <w:i w:val="0"/>
          <w:caps w:val="0"/>
          <w:color w:val="333333"/>
          <w:spacing w:val="0"/>
          <w:kern w:val="0"/>
          <w:sz w:val="32"/>
          <w:szCs w:val="32"/>
          <w:shd w:val="clear" w:fill="FFFFFF"/>
          <w:lang w:val="en-US" w:eastAsia="zh-CN" w:bidi="ar"/>
        </w:rPr>
      </w:pPr>
      <w:r>
        <w:rPr>
          <w:rFonts w:hint="eastAsia" w:ascii="CESI仿宋-GB13000" w:hAnsi="CESI仿宋-GB13000" w:eastAsia="CESI仿宋-GB13000" w:cs="CESI仿宋-GB13000"/>
          <w:i w:val="0"/>
          <w:caps w:val="0"/>
          <w:color w:val="333333"/>
          <w:spacing w:val="0"/>
          <w:kern w:val="0"/>
          <w:sz w:val="32"/>
          <w:szCs w:val="32"/>
          <w:shd w:val="clear" w:fill="FFFFFF"/>
          <w:lang w:val="en-US" w:eastAsia="zh-CN" w:bidi="ar"/>
        </w:rPr>
        <w:t>三、2023年度葛店开发区住建局整体绩效自评结果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 w:lineRule="atLeast"/>
        <w:ind w:left="0" w:right="0" w:firstLine="640" w:firstLineChars="200"/>
        <w:jc w:val="left"/>
        <w:textAlignment w:val="auto"/>
        <w:rPr>
          <w:rFonts w:hint="eastAsia" w:ascii="CESI仿宋-GB13000" w:hAnsi="CESI仿宋-GB13000" w:eastAsia="CESI仿宋-GB13000" w:cs="CESI仿宋-GB13000"/>
          <w:i w:val="0"/>
          <w:caps w:val="0"/>
          <w:color w:val="333333"/>
          <w:spacing w:val="0"/>
          <w:sz w:val="32"/>
          <w:szCs w:val="32"/>
        </w:rPr>
      </w:pPr>
      <w:r>
        <w:rPr>
          <w:rFonts w:hint="eastAsia" w:ascii="CESI仿宋-GB13000" w:hAnsi="CESI仿宋-GB13000" w:eastAsia="CESI仿宋-GB13000" w:cs="CESI仿宋-GB13000"/>
          <w:i w:val="0"/>
          <w:caps w:val="0"/>
          <w:color w:val="333333"/>
          <w:spacing w:val="0"/>
          <w:kern w:val="0"/>
          <w:sz w:val="32"/>
          <w:szCs w:val="32"/>
          <w:shd w:val="clear" w:fill="FFFFFF"/>
          <w:lang w:val="en-US" w:eastAsia="zh-CN" w:bidi="ar"/>
        </w:rPr>
        <w:t>四、2023年葛店开发区住建局绩效自评情况汇总表</w:t>
      </w:r>
    </w:p>
    <w:p>
      <w:pPr>
        <w:keepNext w:val="0"/>
        <w:keepLines w:val="0"/>
        <w:pageBreakBefore w:val="0"/>
        <w:widowControl w:val="0"/>
        <w:numPr>
          <w:ilvl w:val="0"/>
          <w:numId w:val="0"/>
        </w:numPr>
        <w:kinsoku/>
        <w:wordWrap/>
        <w:overflowPunct/>
        <w:topLinePunct w:val="0"/>
        <w:autoSpaceDE/>
        <w:autoSpaceDN/>
        <w:bidi w:val="0"/>
        <w:spacing w:line="360" w:lineRule="auto"/>
        <w:jc w:val="both"/>
        <w:textAlignment w:val="auto"/>
        <w:outlineLvl w:val="9"/>
        <w:rPr>
          <w:rFonts w:hint="eastAsia" w:ascii="Times New Roman" w:hAnsi="Times New Roman" w:cs="Times New Roman"/>
          <w:highlight w:val="yellow"/>
          <w:lang w:val="en-US" w:eastAsia="zh-CN"/>
        </w:rPr>
      </w:pPr>
      <w:r>
        <w:rPr>
          <w:rFonts w:hint="eastAsia" w:ascii="Times New Roman" w:hAnsi="Times New Roman" w:cs="Times New Roman"/>
          <w:highlight w:val="yellow"/>
          <w:lang w:val="en-US" w:eastAsia="zh-CN"/>
        </w:rPr>
        <w:br w:type="page"/>
      </w:r>
    </w:p>
    <w:p>
      <w:pPr>
        <w:numPr>
          <w:ilvl w:val="0"/>
          <w:numId w:val="0"/>
        </w:numPr>
        <w:jc w:val="center"/>
        <w:rPr>
          <w:rFonts w:hint="eastAsia" w:ascii="CESI小标宋-GB13000" w:hAnsi="CESI小标宋-GB13000" w:eastAsia="CESI小标宋-GB13000" w:cs="CESI小标宋-GB13000"/>
          <w:sz w:val="32"/>
          <w:szCs w:val="32"/>
          <w:lang w:val="en-US" w:eastAsia="zh-CN"/>
        </w:rPr>
      </w:pPr>
      <w:r>
        <w:rPr>
          <w:rFonts w:hint="eastAsia" w:ascii="CESI小标宋-GB13000" w:hAnsi="CESI小标宋-GB13000" w:eastAsia="CESI小标宋-GB13000" w:cs="CESI小标宋-GB13000"/>
          <w:sz w:val="32"/>
          <w:szCs w:val="32"/>
          <w:u w:val="none"/>
          <w:lang w:val="en-US" w:eastAsia="zh-CN"/>
        </w:rPr>
        <w:t xml:space="preserve">第一部分  </w:t>
      </w:r>
      <w:r>
        <w:rPr>
          <w:rFonts w:hint="eastAsia" w:ascii="CESI小标宋-GB13000" w:hAnsi="CESI小标宋-GB13000" w:eastAsia="CESI小标宋-GB13000" w:cs="CESI小标宋-GB13000"/>
          <w:sz w:val="32"/>
          <w:szCs w:val="32"/>
          <w:lang w:val="en-US" w:eastAsia="zh-CN"/>
        </w:rPr>
        <w:t>葛店开发区住建局概况</w:t>
      </w:r>
    </w:p>
    <w:p>
      <w:pPr>
        <w:adjustRightInd w:val="0"/>
        <w:snapToGrid w:val="0"/>
        <w:spacing w:line="580" w:lineRule="atLeast"/>
        <w:ind w:firstLine="640" w:firstLineChars="200"/>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一、部门主要职责</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黑体" w:hAnsi="黑体" w:eastAsia="黑体" w:cs="黑体"/>
          <w:bCs/>
          <w:sz w:val="32"/>
          <w:szCs w:val="32"/>
          <w:highlight w:val="none"/>
          <w:lang w:val="en-US" w:eastAsia="zh-CN"/>
        </w:rPr>
      </w:pPr>
      <w:r>
        <w:rPr>
          <w:rFonts w:hint="eastAsia" w:ascii="CESI仿宋-GB2312" w:hAnsi="CESI仿宋-GB2312" w:eastAsia="CESI仿宋-GB2312" w:cs="CESI仿宋-GB2312"/>
          <w:color w:val="000000" w:themeColor="text1"/>
          <w:sz w:val="32"/>
          <w:szCs w:val="32"/>
          <w:lang w:val="en" w:eastAsia="zh-CN"/>
          <w14:textFill>
            <w14:solidFill>
              <w14:schemeClr w14:val="tx1"/>
            </w14:solidFill>
          </w14:textFill>
        </w:rPr>
        <w:t>负责编制城市建设、建筑业、房地产业、市政公共事业发展规划和年度计划，并组织实施；负责建筑市场管理、工程质量管理、建筑施工安全管理、建筑工程档案管理等工作；负责建筑节能、城镇减排、墙体材料革新、散装水泥管理等工作；负责住房制度改革；负责指导村镇建设、农村低收入家庭住房安全保障、住房建设安全和危房改革工作；负责房屋征收与补偿安置工作；负责建设工程的预算、设计、竣工验收和结算工作；负责城市基础设施管理、市政公用设施管理、园林绿化管理和城市环卫管理工作；负责房地产开发和房地产交易管理；协助做好违法建筑、违建房屋的认定，新（改、扩）建建筑工程消防设计审查、备案和竣工验收抽查，建筑工程招标活动的监督（含工程发包），施工许可证的核发，城镇天然气、瓶装液化气经营与服务、设施保护、安全以及工程建设等监督管理，房地产开发企业相应资质管理、房地产开发项目预售许可证的核发、房地产市场的监管，房地产交易监管和备案管理等工作；负责房屋维修基金征收和使用的管理；负责协调人防工作；负责廉租房、公租房、人才房及保障性住房的管理；负责居民小区物业的行业管理；负责交通运输管理工作；负责指导供排水、热力、污水处理和勘测设计等工作。</w:t>
      </w:r>
    </w:p>
    <w:p>
      <w:pPr>
        <w:numPr>
          <w:ilvl w:val="0"/>
          <w:numId w:val="0"/>
        </w:numPr>
        <w:ind w:leftChars="200"/>
        <w:outlineLvl w:val="1"/>
        <w:rPr>
          <w:rFonts w:ascii="黑体" w:hAnsi="黑体" w:eastAsia="黑体"/>
          <w:sz w:val="32"/>
          <w:szCs w:val="32"/>
        </w:rPr>
      </w:pPr>
      <w:r>
        <w:rPr>
          <w:rFonts w:hint="eastAsia" w:ascii="黑体" w:hAnsi="黑体" w:eastAsia="黑体"/>
          <w:sz w:val="32"/>
          <w:szCs w:val="32"/>
          <w:lang w:eastAsia="zh-CN"/>
        </w:rPr>
        <w:t>二、</w:t>
      </w:r>
      <w:r>
        <w:rPr>
          <w:rFonts w:ascii="黑体" w:hAnsi="黑体" w:eastAsia="黑体"/>
          <w:sz w:val="32"/>
          <w:szCs w:val="32"/>
        </w:rPr>
        <w:t>机构设置情况</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下设综合科、</w:t>
      </w:r>
      <w:r>
        <w:rPr>
          <w:rFonts w:hint="eastAsia" w:ascii="CESI仿宋-GB2312" w:hAnsi="CESI仿宋-GB2312" w:eastAsia="CESI仿宋-GB2312" w:cs="CESI仿宋-GB2312"/>
          <w:sz w:val="32"/>
          <w:szCs w:val="32"/>
          <w:lang w:val="en-US" w:eastAsia="zh-CN"/>
        </w:rPr>
        <w:t>建筑管理科、城市建设科和房地产行业管理</w:t>
      </w:r>
      <w:r>
        <w:rPr>
          <w:rFonts w:hint="eastAsia" w:ascii="CESI仿宋-GB13000" w:hAnsi="CESI仿宋-GB13000" w:eastAsia="CESI仿宋-GB13000" w:cs="CESI仿宋-GB13000"/>
          <w:sz w:val="32"/>
          <w:szCs w:val="32"/>
          <w:lang w:val="en-US" w:eastAsia="zh-CN"/>
        </w:rPr>
        <w:t>等科室。</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560" w:lineRule="exact"/>
        <w:ind w:left="480" w:leftChars="0" w:right="0" w:rightChars="0"/>
        <w:jc w:val="both"/>
        <w:textAlignment w:val="auto"/>
        <w:outlineLvl w:val="1"/>
        <w:rPr>
          <w:rFonts w:hint="eastAsia" w:ascii="CESI黑体-GB13000" w:hAnsi="CESI黑体-GB13000" w:eastAsia="CESI黑体-GB13000" w:cs="CESI黑体-GB13000"/>
          <w:i w:val="0"/>
          <w:caps w:val="0"/>
          <w:color w:val="0D0D0D" w:themeColor="text1" w:themeTint="F2"/>
          <w:spacing w:val="0"/>
          <w:sz w:val="32"/>
          <w:szCs w:val="32"/>
          <w:shd w:val="clear" w:color="auto" w:fill="FFFFFF"/>
          <w14:textFill>
            <w14:solidFill>
              <w14:schemeClr w14:val="tx1">
                <w14:lumMod w14:val="95000"/>
                <w14:lumOff w14:val="5000"/>
              </w14:schemeClr>
            </w14:solidFill>
          </w14:textFill>
        </w:rPr>
      </w:pPr>
      <w:r>
        <w:rPr>
          <w:rFonts w:hint="eastAsia" w:ascii="CESI黑体-GB13000" w:hAnsi="CESI黑体-GB13000" w:eastAsia="CESI黑体-GB13000" w:cs="CESI黑体-GB13000"/>
          <w:i w:val="0"/>
          <w:caps w:val="0"/>
          <w:color w:val="0D0D0D" w:themeColor="text1" w:themeTint="F2"/>
          <w:spacing w:val="0"/>
          <w:sz w:val="32"/>
          <w:szCs w:val="32"/>
          <w:shd w:val="clear" w:color="auto" w:fill="FFFFFF"/>
          <w:lang w:eastAsia="zh-CN"/>
          <w14:textFill>
            <w14:solidFill>
              <w14:schemeClr w14:val="tx1">
                <w14:lumMod w14:val="95000"/>
                <w14:lumOff w14:val="5000"/>
              </w14:schemeClr>
            </w14:solidFill>
          </w14:textFill>
        </w:rPr>
        <w:t>三、</w:t>
      </w:r>
      <w:r>
        <w:rPr>
          <w:rFonts w:hint="eastAsia" w:ascii="CESI黑体-GB13000" w:hAnsi="CESI黑体-GB13000" w:eastAsia="CESI黑体-GB13000" w:cs="CESI黑体-GB13000"/>
          <w:i w:val="0"/>
          <w:caps w:val="0"/>
          <w:color w:val="0D0D0D" w:themeColor="text1" w:themeTint="F2"/>
          <w:spacing w:val="0"/>
          <w:sz w:val="32"/>
          <w:szCs w:val="32"/>
          <w:shd w:val="clear" w:color="auto" w:fill="FFFFFF"/>
          <w14:textFill>
            <w14:solidFill>
              <w14:schemeClr w14:val="tx1">
                <w14:lumMod w14:val="95000"/>
                <w14:lumOff w14:val="5000"/>
              </w14:schemeClr>
            </w14:solidFill>
          </w14:textFill>
        </w:rPr>
        <w:t>部门人员构成</w:t>
      </w:r>
    </w:p>
    <w:p>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50" w:afterAutospacing="0" w:line="560" w:lineRule="exact"/>
        <w:ind w:right="0" w:rightChars="0" w:firstLine="640" w:firstLineChars="200"/>
        <w:jc w:val="both"/>
        <w:textAlignment w:val="auto"/>
        <w:rPr>
          <w:rFonts w:hint="eastAsia" w:ascii="CESI仿宋-GB13000" w:hAnsi="CESI仿宋-GB13000" w:eastAsia="CESI仿宋-GB13000" w:cs="CESI仿宋-GB13000"/>
          <w:i w:val="0"/>
          <w:caps w:val="0"/>
          <w:color w:val="333333"/>
          <w:spacing w:val="0"/>
          <w:kern w:val="0"/>
          <w:sz w:val="32"/>
          <w:szCs w:val="32"/>
          <w:shd w:val="clear" w:color="auto" w:fill="FFFFFF"/>
          <w:lang w:val="en-US" w:eastAsia="zh-CN" w:bidi="ar"/>
        </w:rPr>
      </w:pPr>
      <w:r>
        <w:rPr>
          <w:rFonts w:hint="eastAsia" w:ascii="CESI仿宋-GB13000" w:hAnsi="CESI仿宋-GB13000" w:eastAsia="CESI仿宋-GB13000" w:cs="CESI仿宋-GB13000"/>
          <w:i w:val="0"/>
          <w:caps w:val="0"/>
          <w:color w:val="333333"/>
          <w:spacing w:val="0"/>
          <w:kern w:val="0"/>
          <w:sz w:val="32"/>
          <w:szCs w:val="32"/>
          <w:shd w:val="clear" w:color="auto" w:fill="FFFFFF"/>
          <w:lang w:val="en-US" w:eastAsia="zh-CN" w:bidi="ar"/>
        </w:rPr>
        <w:t>本单位现有在职人员21人，退休人员3人。在职21名中，行政编10人、事业编6人、工勤编1人、无编4人。</w:t>
      </w:r>
    </w:p>
    <w:p>
      <w:pPr>
        <w:keepNext w:val="0"/>
        <w:keepLines w:val="0"/>
        <w:pageBreakBefore w:val="0"/>
        <w:widowControl w:val="0"/>
        <w:numPr>
          <w:ilvl w:val="0"/>
          <w:numId w:val="0"/>
        </w:numPr>
        <w:kinsoku/>
        <w:wordWrap/>
        <w:overflowPunct/>
        <w:topLinePunct w:val="0"/>
        <w:autoSpaceDE/>
        <w:autoSpaceDN/>
        <w:bidi w:val="0"/>
        <w:spacing w:line="700" w:lineRule="exact"/>
        <w:jc w:val="center"/>
        <w:textAlignment w:val="auto"/>
        <w:rPr>
          <w:rFonts w:hint="eastAsia" w:ascii="CESI小标宋-GB13000" w:hAnsi="CESI小标宋-GB13000" w:eastAsia="CESI小标宋-GB13000" w:cs="CESI小标宋-GB13000"/>
          <w:sz w:val="32"/>
          <w:szCs w:val="32"/>
          <w:u w:val="none"/>
          <w:lang w:val="en-US" w:eastAsia="zh-CN"/>
        </w:rPr>
      </w:pPr>
      <w:r>
        <w:rPr>
          <w:rFonts w:hint="eastAsia" w:ascii="CESI小标宋-GB13000" w:hAnsi="CESI小标宋-GB13000" w:eastAsia="CESI小标宋-GB13000" w:cs="CESI小标宋-GB13000"/>
          <w:sz w:val="32"/>
          <w:szCs w:val="32"/>
          <w:u w:val="none"/>
          <w:lang w:val="en-US" w:eastAsia="zh-CN"/>
        </w:rPr>
        <w:t>第二部分  2023年度部门决算表</w:t>
      </w:r>
    </w:p>
    <w:p>
      <w:pPr>
        <w:keepNext w:val="0"/>
        <w:keepLines w:val="0"/>
        <w:pageBreakBefore w:val="0"/>
        <w:widowControl w:val="0"/>
        <w:kinsoku/>
        <w:wordWrap/>
        <w:overflowPunct/>
        <w:topLinePunct w:val="0"/>
        <w:autoSpaceDE/>
        <w:autoSpaceDN/>
        <w:bidi w:val="0"/>
        <w:adjustRightInd w:val="0"/>
        <w:snapToGrid w:val="0"/>
        <w:spacing w:line="700" w:lineRule="exact"/>
        <w:ind w:right="-781" w:rightChars="-244" w:firstLine="640" w:firstLineChars="200"/>
        <w:textAlignment w:val="auto"/>
        <w:rPr>
          <w:rFonts w:hint="eastAsia" w:ascii="CESI仿宋-GB13000" w:hAnsi="CESI仿宋-GB13000" w:eastAsia="CESI仿宋-GB13000" w:cs="CESI仿宋-GB13000"/>
          <w:bCs/>
          <w:sz w:val="32"/>
          <w:szCs w:val="32"/>
          <w:highlight w:val="none"/>
        </w:rPr>
      </w:pPr>
      <w:r>
        <w:rPr>
          <w:rFonts w:hint="eastAsia" w:ascii="CESI仿宋-GB13000" w:hAnsi="CESI仿宋-GB13000" w:eastAsia="CESI仿宋-GB13000" w:cs="CESI仿宋-GB13000"/>
          <w:bCs/>
          <w:sz w:val="32"/>
          <w:szCs w:val="32"/>
          <w:highlight w:val="none"/>
        </w:rPr>
        <w:t>一、收入支出决算总表</w:t>
      </w:r>
    </w:p>
    <w:p>
      <w:pPr>
        <w:adjustRightInd w:val="0"/>
        <w:snapToGrid w:val="0"/>
        <w:spacing w:line="580" w:lineRule="atLeast"/>
        <w:ind w:firstLine="640" w:firstLineChars="200"/>
        <w:rPr>
          <w:rFonts w:hint="eastAsia" w:ascii="CESI仿宋-GB13000" w:hAnsi="CESI仿宋-GB13000" w:eastAsia="CESI仿宋-GB13000" w:cs="CESI仿宋-GB13000"/>
          <w:bCs/>
          <w:sz w:val="32"/>
          <w:szCs w:val="32"/>
          <w:highlight w:val="none"/>
        </w:rPr>
      </w:pPr>
      <w:r>
        <w:rPr>
          <w:rFonts w:hint="eastAsia" w:ascii="CESI仿宋-GB13000" w:hAnsi="CESI仿宋-GB13000" w:eastAsia="CESI仿宋-GB13000" w:cs="CESI仿宋-GB13000"/>
          <w:bCs/>
          <w:sz w:val="32"/>
          <w:szCs w:val="32"/>
          <w:highlight w:val="none"/>
        </w:rPr>
        <w:t>二、收入决算表</w:t>
      </w:r>
    </w:p>
    <w:p>
      <w:pPr>
        <w:adjustRightInd w:val="0"/>
        <w:snapToGrid w:val="0"/>
        <w:spacing w:line="580" w:lineRule="atLeast"/>
        <w:ind w:firstLine="640" w:firstLineChars="200"/>
        <w:rPr>
          <w:rFonts w:hint="eastAsia" w:ascii="CESI仿宋-GB13000" w:hAnsi="CESI仿宋-GB13000" w:eastAsia="CESI仿宋-GB13000" w:cs="CESI仿宋-GB13000"/>
          <w:bCs/>
          <w:sz w:val="32"/>
          <w:szCs w:val="32"/>
          <w:highlight w:val="none"/>
        </w:rPr>
      </w:pPr>
      <w:r>
        <w:rPr>
          <w:rFonts w:hint="eastAsia" w:ascii="CESI仿宋-GB13000" w:hAnsi="CESI仿宋-GB13000" w:eastAsia="CESI仿宋-GB13000" w:cs="CESI仿宋-GB13000"/>
          <w:bCs/>
          <w:sz w:val="32"/>
          <w:szCs w:val="32"/>
          <w:highlight w:val="none"/>
        </w:rPr>
        <w:t>三、支出决算表</w:t>
      </w:r>
    </w:p>
    <w:p>
      <w:pPr>
        <w:adjustRightInd w:val="0"/>
        <w:snapToGrid w:val="0"/>
        <w:spacing w:line="580" w:lineRule="atLeast"/>
        <w:ind w:firstLine="640" w:firstLineChars="200"/>
        <w:rPr>
          <w:rFonts w:hint="eastAsia" w:ascii="CESI仿宋-GB13000" w:hAnsi="CESI仿宋-GB13000" w:eastAsia="CESI仿宋-GB13000" w:cs="CESI仿宋-GB13000"/>
          <w:bCs/>
          <w:sz w:val="32"/>
          <w:szCs w:val="32"/>
          <w:highlight w:val="none"/>
        </w:rPr>
      </w:pPr>
      <w:r>
        <w:rPr>
          <w:rFonts w:hint="eastAsia" w:ascii="CESI仿宋-GB13000" w:hAnsi="CESI仿宋-GB13000" w:eastAsia="CESI仿宋-GB13000" w:cs="CESI仿宋-GB13000"/>
          <w:bCs/>
          <w:sz w:val="32"/>
          <w:szCs w:val="32"/>
          <w:highlight w:val="none"/>
        </w:rPr>
        <w:t>四、财政拨款收入支出决算总表</w:t>
      </w:r>
    </w:p>
    <w:p>
      <w:pPr>
        <w:adjustRightInd w:val="0"/>
        <w:snapToGrid w:val="0"/>
        <w:spacing w:line="580" w:lineRule="atLeast"/>
        <w:ind w:firstLine="640" w:firstLineChars="200"/>
        <w:rPr>
          <w:rFonts w:hint="eastAsia" w:ascii="CESI仿宋-GB13000" w:hAnsi="CESI仿宋-GB13000" w:eastAsia="CESI仿宋-GB13000" w:cs="CESI仿宋-GB13000"/>
          <w:bCs/>
          <w:sz w:val="32"/>
          <w:szCs w:val="32"/>
          <w:highlight w:val="none"/>
        </w:rPr>
      </w:pPr>
      <w:r>
        <w:rPr>
          <w:rFonts w:hint="eastAsia" w:ascii="CESI仿宋-GB13000" w:hAnsi="CESI仿宋-GB13000" w:eastAsia="CESI仿宋-GB13000" w:cs="CESI仿宋-GB13000"/>
          <w:bCs/>
          <w:sz w:val="32"/>
          <w:szCs w:val="32"/>
          <w:highlight w:val="none"/>
        </w:rPr>
        <w:t>五、一般公共预算财政拨款支出决算表</w:t>
      </w:r>
    </w:p>
    <w:p>
      <w:pPr>
        <w:adjustRightInd w:val="0"/>
        <w:snapToGrid w:val="0"/>
        <w:spacing w:line="580" w:lineRule="atLeast"/>
        <w:ind w:firstLine="640" w:firstLineChars="200"/>
        <w:rPr>
          <w:rFonts w:hint="eastAsia" w:ascii="CESI仿宋-GB13000" w:hAnsi="CESI仿宋-GB13000" w:eastAsia="CESI仿宋-GB13000" w:cs="CESI仿宋-GB13000"/>
          <w:bCs/>
          <w:sz w:val="32"/>
          <w:szCs w:val="32"/>
          <w:highlight w:val="none"/>
        </w:rPr>
      </w:pPr>
      <w:r>
        <w:rPr>
          <w:rFonts w:hint="eastAsia" w:ascii="CESI仿宋-GB13000" w:hAnsi="CESI仿宋-GB13000" w:eastAsia="CESI仿宋-GB13000" w:cs="CESI仿宋-GB13000"/>
          <w:bCs/>
          <w:sz w:val="32"/>
          <w:szCs w:val="32"/>
          <w:highlight w:val="none"/>
        </w:rPr>
        <w:t>六、一般公共预算财政拨款基本支出决算</w:t>
      </w:r>
      <w:r>
        <w:rPr>
          <w:rFonts w:hint="eastAsia" w:ascii="CESI仿宋-GB13000" w:hAnsi="CESI仿宋-GB13000" w:eastAsia="CESI仿宋-GB13000" w:cs="CESI仿宋-GB13000"/>
          <w:bCs/>
          <w:sz w:val="32"/>
          <w:szCs w:val="32"/>
          <w:highlight w:val="none"/>
          <w:lang w:eastAsia="zh-CN"/>
        </w:rPr>
        <w:t>明细</w:t>
      </w:r>
      <w:r>
        <w:rPr>
          <w:rFonts w:hint="eastAsia" w:ascii="CESI仿宋-GB13000" w:hAnsi="CESI仿宋-GB13000" w:eastAsia="CESI仿宋-GB13000" w:cs="CESI仿宋-GB13000"/>
          <w:bCs/>
          <w:sz w:val="32"/>
          <w:szCs w:val="32"/>
          <w:highlight w:val="none"/>
        </w:rPr>
        <w:t>表</w:t>
      </w:r>
    </w:p>
    <w:p>
      <w:pPr>
        <w:adjustRightInd w:val="0"/>
        <w:snapToGrid w:val="0"/>
        <w:spacing w:line="580" w:lineRule="atLeast"/>
        <w:ind w:firstLine="640" w:firstLineChars="200"/>
        <w:rPr>
          <w:rFonts w:hint="eastAsia" w:ascii="CESI仿宋-GB13000" w:hAnsi="CESI仿宋-GB13000" w:eastAsia="CESI仿宋-GB13000" w:cs="CESI仿宋-GB13000"/>
          <w:bCs/>
          <w:sz w:val="32"/>
          <w:szCs w:val="32"/>
          <w:highlight w:val="none"/>
        </w:rPr>
      </w:pPr>
      <w:r>
        <w:rPr>
          <w:rFonts w:hint="eastAsia" w:ascii="CESI仿宋-GB13000" w:hAnsi="CESI仿宋-GB13000" w:eastAsia="CESI仿宋-GB13000" w:cs="CESI仿宋-GB13000"/>
          <w:bCs/>
          <w:sz w:val="32"/>
          <w:szCs w:val="32"/>
          <w:highlight w:val="none"/>
        </w:rPr>
        <w:t>七、政府性基金预算财政拨款收入支出决算表</w:t>
      </w:r>
    </w:p>
    <w:p>
      <w:pPr>
        <w:adjustRightInd w:val="0"/>
        <w:snapToGrid w:val="0"/>
        <w:spacing w:line="580" w:lineRule="atLeast"/>
        <w:ind w:firstLine="640" w:firstLineChars="200"/>
        <w:rPr>
          <w:rFonts w:hint="eastAsia" w:ascii="CESI仿宋-GB13000" w:hAnsi="CESI仿宋-GB13000" w:eastAsia="CESI仿宋-GB13000" w:cs="CESI仿宋-GB13000"/>
          <w:bCs/>
          <w:sz w:val="32"/>
          <w:szCs w:val="32"/>
          <w:highlight w:val="none"/>
        </w:rPr>
      </w:pPr>
      <w:r>
        <w:rPr>
          <w:rFonts w:hint="eastAsia" w:ascii="CESI仿宋-GB13000" w:hAnsi="CESI仿宋-GB13000" w:eastAsia="CESI仿宋-GB13000" w:cs="CESI仿宋-GB13000"/>
          <w:bCs/>
          <w:sz w:val="32"/>
          <w:szCs w:val="32"/>
          <w:highlight w:val="none"/>
        </w:rPr>
        <w:t>八、国有资本经营预算财政拨款支出决算表</w:t>
      </w:r>
    </w:p>
    <w:p>
      <w:pPr>
        <w:keepNext w:val="0"/>
        <w:keepLines w:val="0"/>
        <w:pageBreakBefore w:val="0"/>
        <w:widowControl w:val="0"/>
        <w:kinsoku/>
        <w:wordWrap/>
        <w:overflowPunct/>
        <w:topLinePunct w:val="0"/>
        <w:autoSpaceDE/>
        <w:autoSpaceDN/>
        <w:bidi w:val="0"/>
        <w:adjustRightInd w:val="0"/>
        <w:snapToGrid w:val="0"/>
        <w:spacing w:line="700" w:lineRule="exact"/>
        <w:ind w:firstLine="640" w:firstLineChars="200"/>
        <w:textAlignment w:val="auto"/>
        <w:rPr>
          <w:rFonts w:hint="eastAsia" w:ascii="CESI仿宋-GB13000" w:hAnsi="CESI仿宋-GB13000" w:eastAsia="CESI仿宋-GB13000" w:cs="CESI仿宋-GB13000"/>
          <w:bCs/>
          <w:sz w:val="10"/>
          <w:szCs w:val="10"/>
          <w:highlight w:val="none"/>
          <w:lang w:val="en-US" w:eastAsia="zh-CN"/>
        </w:rPr>
      </w:pPr>
      <w:r>
        <w:rPr>
          <w:rFonts w:hint="eastAsia" w:ascii="CESI仿宋-GB13000" w:hAnsi="CESI仿宋-GB13000" w:eastAsia="CESI仿宋-GB13000" w:cs="CESI仿宋-GB13000"/>
          <w:bCs/>
          <w:sz w:val="32"/>
          <w:szCs w:val="32"/>
          <w:highlight w:val="none"/>
          <w:lang w:eastAsia="zh-CN"/>
        </w:rPr>
        <w:t>九、</w:t>
      </w:r>
      <w:r>
        <w:rPr>
          <w:rFonts w:hint="eastAsia" w:ascii="CESI仿宋-GB13000" w:hAnsi="CESI仿宋-GB13000" w:eastAsia="CESI仿宋-GB13000" w:cs="CESI仿宋-GB13000"/>
          <w:bCs/>
          <w:sz w:val="32"/>
          <w:szCs w:val="32"/>
          <w:highlight w:val="none"/>
        </w:rPr>
        <w:t>财政拨款“三公”经费支出决算表</w:t>
      </w:r>
    </w:p>
    <w:p>
      <w:pPr>
        <w:keepNext w:val="0"/>
        <w:keepLines w:val="0"/>
        <w:pageBreakBefore w:val="0"/>
        <w:widowControl w:val="0"/>
        <w:numPr>
          <w:ilvl w:val="0"/>
          <w:numId w:val="0"/>
        </w:numPr>
        <w:kinsoku/>
        <w:wordWrap/>
        <w:overflowPunct/>
        <w:topLinePunct w:val="0"/>
        <w:autoSpaceDE/>
        <w:autoSpaceDN/>
        <w:bidi w:val="0"/>
        <w:spacing w:line="700" w:lineRule="exact"/>
        <w:jc w:val="center"/>
        <w:textAlignment w:val="auto"/>
        <w:rPr>
          <w:rFonts w:hint="eastAsia" w:ascii="CESI小标宋-GB13000" w:hAnsi="CESI小标宋-GB13000" w:eastAsia="CESI小标宋-GB13000" w:cs="CESI小标宋-GB13000"/>
          <w:sz w:val="32"/>
          <w:szCs w:val="32"/>
          <w:u w:val="none"/>
          <w:lang w:val="en-US" w:eastAsia="zh-CN"/>
        </w:rPr>
      </w:pPr>
      <w:r>
        <w:rPr>
          <w:rFonts w:hint="eastAsia" w:ascii="CESI小标宋-GB13000" w:hAnsi="CESI小标宋-GB13000" w:eastAsia="CESI小标宋-GB13000" w:cs="CESI小标宋-GB13000"/>
          <w:sz w:val="32"/>
          <w:szCs w:val="32"/>
          <w:u w:val="none"/>
          <w:lang w:val="en-US" w:eastAsia="zh-CN"/>
        </w:rPr>
        <w:t>第三部分  2023年度部门决算情况说明</w:t>
      </w:r>
    </w:p>
    <w:p>
      <w:pPr>
        <w:keepNext w:val="0"/>
        <w:keepLines w:val="0"/>
        <w:pageBreakBefore w:val="0"/>
        <w:widowControl w:val="0"/>
        <w:kinsoku/>
        <w:wordWrap/>
        <w:overflowPunct/>
        <w:topLinePunct w:val="0"/>
        <w:autoSpaceDE/>
        <w:autoSpaceDN/>
        <w:bidi w:val="0"/>
        <w:adjustRightInd w:val="0"/>
        <w:snapToGrid w:val="0"/>
        <w:spacing w:line="700" w:lineRule="exact"/>
        <w:ind w:firstLine="640" w:firstLineChars="200"/>
        <w:textAlignment w:val="auto"/>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一、收入支出决算总体情况说明</w:t>
      </w:r>
    </w:p>
    <w:p>
      <w:pPr>
        <w:adjustRightInd w:val="0"/>
        <w:snapToGrid w:val="0"/>
        <w:spacing w:line="580" w:lineRule="atLeast"/>
        <w:ind w:firstLine="640" w:firstLineChars="200"/>
        <w:rPr>
          <w:rFonts w:hint="eastAsia" w:ascii="CESI仿宋-GB13000" w:hAnsi="CESI仿宋-GB13000" w:eastAsia="CESI仿宋-GB13000" w:cs="CESI仿宋-GB13000"/>
          <w:sz w:val="32"/>
          <w:szCs w:val="32"/>
          <w:lang w:val="en-US" w:eastAsia="zh-CN"/>
        </w:rPr>
      </w:pPr>
      <w:r>
        <w:rPr>
          <w:rFonts w:hint="eastAsia" w:ascii="仿宋_GB2312" w:hAnsi="宋体"/>
          <w:bCs/>
          <w:sz w:val="32"/>
          <w:szCs w:val="32"/>
          <w:highlight w:val="none"/>
          <w:lang w:val="en-US" w:eastAsia="zh-CN"/>
        </w:rPr>
        <w:t>2</w:t>
      </w:r>
      <w:r>
        <w:rPr>
          <w:rFonts w:hint="eastAsia" w:ascii="CESI仿宋-GB13000" w:hAnsi="CESI仿宋-GB13000" w:eastAsia="CESI仿宋-GB13000" w:cs="CESI仿宋-GB13000"/>
          <w:sz w:val="32"/>
          <w:szCs w:val="32"/>
          <w:lang w:val="en-US" w:eastAsia="zh-CN"/>
        </w:rPr>
        <w:t>023年度收、支总计均为7759.84万元。与2022年度相比，收、支总计各增加2373.46万元，增长30.59 %，主要原因是拆迁办和安置办两个单位并入，导致经费增加。</w:t>
      </w:r>
    </w:p>
    <w:p>
      <w:pPr>
        <w:adjustRightInd w:val="0"/>
        <w:snapToGrid w:val="0"/>
        <w:spacing w:line="580" w:lineRule="atLeast"/>
        <w:ind w:firstLine="600" w:firstLineChars="200"/>
        <w:jc w:val="center"/>
        <w:rPr>
          <w:rFonts w:hint="eastAsia" w:ascii="仿宋_GB2312" w:hAnsi="宋体" w:eastAsia="仿宋_GB2312"/>
          <w:bCs/>
          <w:sz w:val="30"/>
          <w:szCs w:val="30"/>
          <w:highlight w:val="none"/>
          <w:lang w:val="en-US" w:eastAsia="zh-CN"/>
        </w:rPr>
      </w:pPr>
      <w:r>
        <w:rPr>
          <w:rFonts w:hint="eastAsia" w:ascii="仿宋_GB2312" w:hAnsi="宋体" w:eastAsia="仿宋_GB2312"/>
          <w:bCs/>
          <w:sz w:val="30"/>
          <w:szCs w:val="30"/>
          <w:highlight w:val="none"/>
          <w:lang w:val="en-US" w:eastAsia="zh-CN"/>
        </w:rPr>
        <w:t>图1：收、支决算总计变动情况</w:t>
      </w:r>
    </w:p>
    <w:p>
      <w:pPr>
        <w:adjustRightInd w:val="0"/>
        <w:snapToGrid w:val="0"/>
        <w:spacing w:line="580" w:lineRule="atLeast"/>
        <w:jc w:val="center"/>
        <w:rPr>
          <w:rFonts w:hint="eastAsia" w:ascii="仿宋_GB2312" w:hAnsi="宋体" w:eastAsia="仿宋_GB2312"/>
          <w:bCs/>
          <w:sz w:val="32"/>
          <w:szCs w:val="32"/>
          <w:highlight w:val="none"/>
          <w:lang w:val="en-US" w:eastAsia="zh-CN"/>
        </w:rPr>
      </w:pPr>
      <w:r>
        <w:rPr>
          <w:rFonts w:hint="eastAsia" w:ascii="仿宋_GB2312" w:hAnsi="宋体" w:eastAsia="仿宋_GB2312"/>
          <w:bCs/>
          <w:sz w:val="32"/>
          <w:szCs w:val="32"/>
          <w:highlight w:val="none"/>
          <w:lang w:val="en-US" w:eastAsia="zh-CN"/>
        </w:rPr>
        <w:object>
          <v:shape id="_x0000_i1025" o:spt="75" type="#_x0000_t75" style="height:246.1pt;width:412.6pt;" o:ole="t" filled="f" o:preferrelative="t" stroked="f" coordsize="21600,21600">
            <v:path/>
            <v:fill on="f" focussize="0,0"/>
            <v:stroke on="f"/>
            <v:imagedata r:id="rId6" o:title="olechartimg_1727679918235112_88745984"/>
            <o:lock v:ext="edit" aspectratio="t"/>
            <w10:wrap type="none"/>
            <w10:anchorlock/>
          </v:shape>
          <o:OLEObject Type="Embed" ProgID="Excel.Chart.8" ShapeID="_x0000_i1025" DrawAspect="Content" ObjectID="_1468075725" r:id="rId5">
            <o:LockedField>false</o:LockedField>
          </o:OLEObject>
        </w:object>
      </w:r>
    </w:p>
    <w:p>
      <w:pPr>
        <w:numPr>
          <w:ilvl w:val="0"/>
          <w:numId w:val="0"/>
        </w:numPr>
        <w:adjustRightInd w:val="0"/>
        <w:snapToGrid w:val="0"/>
        <w:spacing w:line="580" w:lineRule="atLeast"/>
        <w:ind w:firstLine="640" w:firstLineChars="200"/>
        <w:rPr>
          <w:rFonts w:hint="eastAsia" w:ascii="黑体" w:hAnsi="黑体" w:eastAsia="黑体" w:cs="黑体"/>
          <w:bCs/>
          <w:sz w:val="32"/>
          <w:szCs w:val="32"/>
          <w:highlight w:val="none"/>
          <w:lang w:val="en-US" w:eastAsia="zh-CN"/>
        </w:rPr>
      </w:pPr>
      <w:r>
        <w:rPr>
          <w:rFonts w:hint="eastAsia" w:ascii="黑体" w:hAnsi="黑体" w:eastAsia="黑体" w:cs="黑体"/>
          <w:bCs/>
          <w:sz w:val="32"/>
          <w:szCs w:val="32"/>
          <w:highlight w:val="none"/>
          <w:lang w:val="en-US" w:eastAsia="zh-CN"/>
        </w:rPr>
        <w:t>二、收入决算情况说明</w:t>
      </w:r>
    </w:p>
    <w:p>
      <w:pPr>
        <w:bidi w:val="0"/>
        <w:rPr>
          <w:rFonts w:hint="eastAsia" w:ascii="CESI仿宋-GB13000" w:hAnsi="CESI仿宋-GB13000" w:eastAsia="CESI仿宋-GB13000" w:cs="CESI仿宋-GB13000"/>
          <w:sz w:val="32"/>
          <w:szCs w:val="32"/>
          <w:lang w:val="en-US" w:eastAsia="zh-CN"/>
        </w:rPr>
      </w:pPr>
      <w:r>
        <w:rPr>
          <w:rFonts w:hint="eastAsia" w:ascii="仿宋_GB2312" w:hAnsi="宋体"/>
          <w:bCs/>
          <w:szCs w:val="32"/>
          <w:highlight w:val="none"/>
          <w:lang w:val="en-US" w:eastAsia="zh-CN"/>
        </w:rPr>
        <w:t xml:space="preserve">  </w:t>
      </w:r>
      <w:r>
        <w:rPr>
          <w:rFonts w:hint="eastAsia" w:ascii="仿宋_GB2312" w:hAnsi="宋体"/>
          <w:bCs/>
          <w:szCs w:val="32"/>
          <w:highlight w:val="none"/>
          <w:u w:val="none"/>
          <w:lang w:val="en-US" w:eastAsia="zh-CN"/>
        </w:rPr>
        <w:t xml:space="preserve">  </w:t>
      </w:r>
      <w:r>
        <w:rPr>
          <w:rFonts w:hint="eastAsia" w:ascii="CESI仿宋-GB13000" w:hAnsi="CESI仿宋-GB13000" w:eastAsia="CESI仿宋-GB13000" w:cs="CESI仿宋-GB13000"/>
          <w:sz w:val="32"/>
          <w:szCs w:val="32"/>
          <w:lang w:val="en-US" w:eastAsia="zh-CN"/>
        </w:rPr>
        <w:t>2023年度收入合计7759.84万元，与2022年度相比，收入合计增加2373.46万元，增长30.59%。其中：财政拨款收入7759.84万元，占本年收入100%；上级补助收入0万元，占本年收入0%；事业收入0万元，占本年收入0%；经营收入0万元，占本年收入0%；附属单位上缴收入0万元，占本年收入0%；其他收入0万元，占本年收入0%。</w:t>
      </w:r>
    </w:p>
    <w:p>
      <w:pPr>
        <w:bidi w:val="0"/>
        <w:jc w:val="cente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图2：收入决算结构</w:t>
      </w:r>
    </w:p>
    <w:p>
      <w:pPr>
        <w:bidi w:val="0"/>
        <w:jc w:val="center"/>
        <w:rPr>
          <w:rFonts w:hint="default"/>
          <w:lang w:val="en-US" w:eastAsia="zh-CN"/>
        </w:rPr>
      </w:pPr>
      <w:r>
        <w:rPr>
          <w:rFonts w:hint="default"/>
          <w:lang w:val="en-US" w:eastAsia="zh-CN"/>
        </w:rPr>
        <w:object>
          <v:shape id="_x0000_i1026" o:spt="75" type="#_x0000_t75" style="height:199.05pt;width:416.45pt;" o:ole="t" filled="f" o:preferrelative="t" stroked="f" coordsize="21600,21600">
            <v:path/>
            <v:fill on="f" focussize="0,0"/>
            <v:stroke on="f"/>
            <v:imagedata r:id="rId8" o:title="olechartimg_1727680149417588_74262528"/>
            <o:lock v:ext="edit" aspectratio="t"/>
            <w10:wrap type="none"/>
            <w10:anchorlock/>
          </v:shape>
          <o:OLEObject Type="Embed" ProgID="Excel.Chart.8" ShapeID="_x0000_i1026" DrawAspect="Content" ObjectID="_1468075726" r:id="rId7">
            <o:LockedField>false</o:LockedField>
          </o:OLEObject>
        </w:object>
      </w:r>
    </w:p>
    <w:p>
      <w:pPr>
        <w:bidi w:val="0"/>
        <w:ind w:firstLine="640" w:firstLineChars="200"/>
        <w:rPr>
          <w:rFonts w:hint="eastAsia" w:ascii="黑体" w:hAnsi="黑体" w:eastAsia="黑体" w:cs="黑体"/>
        </w:rPr>
      </w:pPr>
      <w:r>
        <w:rPr>
          <w:rFonts w:hint="eastAsia" w:ascii="黑体" w:hAnsi="黑体" w:eastAsia="黑体" w:cs="黑体"/>
          <w:lang w:val="en-US" w:eastAsia="zh-CN"/>
        </w:rPr>
        <w:t>三、支出决算情况说明</w:t>
      </w:r>
    </w:p>
    <w:p>
      <w:pPr>
        <w:bidi w:val="0"/>
        <w:ind w:firstLine="640" w:firstLineChars="200"/>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度支出合计7759.84万元，与2022年度相比，支出合计增加2373.46万元，增长30.59%。其中：基本支出695.69万元，占本年支出8.97%；项目支出7064.15万元，占本年支出91.03%；上缴上级支出0万元，占本年支出0%；经营支出0万元，占本年支出0%；对附属单位补助支出0万元，占本年支出0%。</w:t>
      </w:r>
    </w:p>
    <w:p>
      <w:pPr>
        <w:bidi w:val="0"/>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图3：支出决算结构</w:t>
      </w:r>
    </w:p>
    <w:p>
      <w:pPr>
        <w:bidi w:val="0"/>
        <w:jc w:val="center"/>
        <w:rPr>
          <w:rFonts w:hint="eastAsia"/>
          <w:lang w:val="en-US" w:eastAsia="zh-CN"/>
        </w:rPr>
      </w:pPr>
      <w:r>
        <w:rPr>
          <w:rFonts w:hint="eastAsia" w:eastAsia="仿宋_GB2312"/>
          <w:lang w:val="en-US" w:eastAsia="zh-CN"/>
        </w:rPr>
        <w:object>
          <v:shape id="_x0000_i1027" o:spt="75" type="#_x0000_t75" style="height:283.25pt;width:417.05pt;" o:ole="t" filled="f" o:preferrelative="t" stroked="f" coordsize="21600,21600">
            <v:path/>
            <v:fill on="f" focussize="0,0"/>
            <v:stroke on="f"/>
            <v:imagedata r:id="rId10" o:title="olechartimg_1727680649176263_84068352"/>
            <o:lock v:ext="edit" aspectratio="t"/>
            <w10:wrap type="none"/>
            <w10:anchorlock/>
          </v:shape>
          <o:OLEObject Type="Embed" ProgID="Excel.Chart.8" ShapeID="_x0000_i1027" DrawAspect="Content" ObjectID="_1468075727" r:id="rId9">
            <o:LockedField>false</o:LockedField>
          </o:OLEObject>
        </w:object>
      </w:r>
    </w:p>
    <w:p>
      <w:pPr>
        <w:bidi w:val="0"/>
        <w:ind w:firstLine="640" w:firstLineChars="200"/>
        <w:rPr>
          <w:rFonts w:hint="eastAsia" w:ascii="黑体" w:hAnsi="黑体" w:eastAsia="黑体" w:cs="黑体"/>
          <w:lang w:val="en-US" w:eastAsia="zh-CN"/>
        </w:rPr>
      </w:pPr>
      <w:r>
        <w:rPr>
          <w:rFonts w:hint="eastAsia" w:ascii="黑体" w:hAnsi="黑体" w:eastAsia="黑体" w:cs="黑体"/>
          <w:lang w:val="en-US" w:eastAsia="zh-CN"/>
        </w:rPr>
        <w:t>四、财政拨款收入支出决算总体情况说明</w:t>
      </w:r>
    </w:p>
    <w:p>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2023年度财政拨款收、支总计均为7759.84万元。与2022年度相比，财政拨款收、支总计各增加2373.46万元，增长30.59%，主要原因是拆迁办和安置办两个单位并入，导致经费增加</w:t>
      </w:r>
      <w:r>
        <w:rPr>
          <w:rFonts w:hint="eastAsia" w:ascii="CESI仿宋-GB13000" w:hAnsi="CESI仿宋-GB13000" w:eastAsia="CESI仿宋-GB13000" w:cs="CESI仿宋-GB13000"/>
          <w:b w:val="0"/>
          <w:bCs w:val="0"/>
          <w:sz w:val="32"/>
          <w:szCs w:val="32"/>
          <w:lang w:val="en-US" w:eastAsia="zh-CN"/>
        </w:rPr>
        <w:t>。</w:t>
      </w:r>
    </w:p>
    <w:p>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度财政拨款收入中，一般公共预算财政拨款收入4128.25万元，比2022年度决算数减少996.62万元。减少主要原因是房产工作经费、质监站工作经费、葛华污水处理厂污水处理服务费及农村生活污水运维服务费等方面的</w:t>
      </w:r>
      <w:r>
        <w:rPr>
          <w:rFonts w:hint="eastAsia" w:ascii="CESI仿宋-GB13000" w:hAnsi="CESI仿宋-GB13000" w:eastAsia="CESI仿宋-GB13000" w:cs="CESI仿宋-GB13000"/>
          <w:i w:val="0"/>
          <w:caps w:val="0"/>
          <w:color w:val="auto"/>
          <w:spacing w:val="0"/>
          <w:kern w:val="0"/>
          <w:sz w:val="32"/>
          <w:szCs w:val="32"/>
          <w:shd w:val="clear" w:color="auto" w:fill="auto"/>
          <w:lang w:val="en-US" w:eastAsia="zh-CN" w:bidi="ar"/>
        </w:rPr>
        <w:t>支出减少</w:t>
      </w:r>
      <w:r>
        <w:rPr>
          <w:rFonts w:hint="eastAsia"/>
          <w:b w:val="0"/>
          <w:bCs w:val="0"/>
          <w:color w:val="000000" w:themeColor="text1"/>
          <w14:textFill>
            <w14:solidFill>
              <w14:schemeClr w14:val="tx1"/>
            </w14:solidFill>
          </w14:textFill>
        </w:rPr>
        <w:t>。</w:t>
      </w:r>
      <w:r>
        <w:rPr>
          <w:rFonts w:hint="eastAsia" w:ascii="CESI仿宋-GB13000" w:hAnsi="CESI仿宋-GB13000" w:eastAsia="CESI仿宋-GB13000" w:cs="CESI仿宋-GB13000"/>
          <w:sz w:val="32"/>
          <w:szCs w:val="32"/>
          <w:lang w:val="en-US" w:eastAsia="zh-CN"/>
        </w:rPr>
        <w:t>政府性基金预算财政拨款收入3631.59万元，比2022年度决算数增加3370.08万元。增加主要原因是污水处理建设项目和轨道交通11号线二个项目政府专项债利息支出增加。国有资本经营预算财政拨款收入0万元，比2022年度决算数增加0万元。</w:t>
      </w:r>
    </w:p>
    <w:p>
      <w:pPr>
        <w:bidi w:val="0"/>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图4：财政拨款收、支决算总计变动情况</w:t>
      </w:r>
    </w:p>
    <w:p>
      <w:pPr>
        <w:bidi w:val="0"/>
        <w:jc w:val="center"/>
        <w:rPr>
          <w:rFonts w:hint="eastAsia"/>
          <w:lang w:val="en-US" w:eastAsia="zh-CN"/>
        </w:rPr>
      </w:pPr>
      <w:r>
        <w:rPr>
          <w:rFonts w:hint="eastAsia" w:ascii="仿宋_GB2312" w:hAnsi="宋体" w:eastAsia="仿宋_GB2312"/>
          <w:bCs/>
          <w:sz w:val="32"/>
          <w:szCs w:val="32"/>
          <w:highlight w:val="none"/>
          <w:lang w:val="en-US" w:eastAsia="zh-CN"/>
        </w:rPr>
        <w:object>
          <v:shape id="_x0000_i1028" o:spt="75" type="#_x0000_t75" style="height:151.8pt;width:367.5pt;" o:ole="t" filled="f" o:preferrelative="t" stroked="f" coordsize="21600,21600">
            <v:path/>
            <v:fill on="f" focussize="0,0"/>
            <v:stroke on="f"/>
            <v:imagedata r:id="rId12" o:title=""/>
            <o:lock v:ext="edit" aspectratio="t"/>
            <w10:wrap type="none"/>
            <w10:anchorlock/>
          </v:shape>
          <o:OLEObject Type="Embed" ProgID="Excel.Chart.8" ShapeID="_x0000_i1028" DrawAspect="Content" ObjectID="_1468075728" r:id="rId11">
            <o:LockedField>false</o:LockedField>
          </o:OLEObject>
        </w:object>
      </w:r>
    </w:p>
    <w:p>
      <w:pPr>
        <w:numPr>
          <w:ilvl w:val="0"/>
          <w:numId w:val="0"/>
        </w:numPr>
        <w:bidi w:val="0"/>
        <w:ind w:firstLine="640" w:firstLineChars="200"/>
        <w:rPr>
          <w:rFonts w:hint="eastAsia" w:ascii="黑体" w:hAnsi="黑体" w:eastAsia="黑体" w:cs="黑体"/>
          <w:lang w:val="en-US" w:eastAsia="zh-CN"/>
        </w:rPr>
      </w:pPr>
      <w:r>
        <w:rPr>
          <w:rFonts w:hint="eastAsia" w:ascii="黑体" w:hAnsi="黑体" w:eastAsia="黑体" w:cs="黑体"/>
          <w:lang w:val="en-US" w:eastAsia="zh-CN"/>
        </w:rPr>
        <w:t>五、一般公共预算财政拨款支出决算情况说明</w:t>
      </w:r>
    </w:p>
    <w:p>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（一）一般公共预算财政拨款支出决算总体情况。</w:t>
      </w:r>
    </w:p>
    <w:p>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度一般公共预算财政拨款支出4128.25万元，占本年支出合计的53.2%。与2022年度相比，一般公共预算财政拨款支出减少996.62万元，下降24%。主要原因是房产工作经费、质监站工作经费、葛华污水处理厂污水处理服务费及农村生活污水运维服务费等方面的</w:t>
      </w:r>
      <w:r>
        <w:rPr>
          <w:rFonts w:hint="eastAsia" w:ascii="CESI仿宋-GB13000" w:hAnsi="CESI仿宋-GB13000" w:eastAsia="CESI仿宋-GB13000" w:cs="CESI仿宋-GB13000"/>
          <w:i w:val="0"/>
          <w:caps w:val="0"/>
          <w:color w:val="auto"/>
          <w:spacing w:val="0"/>
          <w:kern w:val="0"/>
          <w:sz w:val="32"/>
          <w:szCs w:val="32"/>
          <w:shd w:val="clear" w:color="auto" w:fill="auto"/>
          <w:lang w:val="en-US" w:eastAsia="zh-CN" w:bidi="ar"/>
        </w:rPr>
        <w:t>支出减少</w:t>
      </w:r>
      <w:r>
        <w:rPr>
          <w:rFonts w:hint="eastAsia" w:ascii="CESI仿宋-GB13000" w:hAnsi="CESI仿宋-GB13000" w:eastAsia="CESI仿宋-GB13000" w:cs="CESI仿宋-GB13000"/>
          <w:sz w:val="32"/>
          <w:szCs w:val="32"/>
          <w:lang w:val="en-US" w:eastAsia="zh-CN"/>
        </w:rPr>
        <w:t>。</w:t>
      </w:r>
    </w:p>
    <w:p>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（二）一般公共预算财政拨款支出决算结构情况。</w:t>
      </w:r>
    </w:p>
    <w:p>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2023年度一般公共预算财政拨款支出4128.25万元，主要用于以下方面：</w:t>
      </w:r>
    </w:p>
    <w:p>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1.社会保障和就业支出（类）28.83万元，占0.7%。主要是用于在职人员单位部分基本养老保险缴费支出。</w:t>
      </w:r>
    </w:p>
    <w:p>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2.卫生健康支出（类）54.02万元，占1.31%。主要是用于在职人员单位部分医疗保险支出。</w:t>
      </w:r>
    </w:p>
    <w:p>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仿宋_GB2312" w:eastAsia="仿宋_GB2312"/>
          <w:bCs/>
          <w:kern w:val="44"/>
          <w:sz w:val="32"/>
          <w:szCs w:val="32"/>
          <w:highlight w:val="none"/>
          <w:lang w:val="en-US" w:eastAsia="zh-CN"/>
        </w:rPr>
      </w:pPr>
      <w:r>
        <w:rPr>
          <w:rFonts w:hint="eastAsia" w:ascii="CESI仿宋-GB13000" w:hAnsi="CESI仿宋-GB13000" w:eastAsia="CESI仿宋-GB13000" w:cs="CESI仿宋-GB13000"/>
          <w:sz w:val="32"/>
          <w:szCs w:val="32"/>
          <w:lang w:val="en-US" w:eastAsia="zh-CN"/>
        </w:rPr>
        <w:t>3.城乡社区支出（类）3964.86万元，占96.04%。主要是用于污水处理建设项目和轨道交通11号线二个项目政府专项债利息支出、葛华污水处理厂污水处理服务费及农村生活污水运维服务费等方面的</w:t>
      </w:r>
      <w:r>
        <w:rPr>
          <w:rFonts w:hint="eastAsia" w:ascii="CESI仿宋-GB13000" w:hAnsi="CESI仿宋-GB13000" w:eastAsia="CESI仿宋-GB13000" w:cs="CESI仿宋-GB13000"/>
          <w:i w:val="0"/>
          <w:caps w:val="0"/>
          <w:color w:val="auto"/>
          <w:spacing w:val="0"/>
          <w:kern w:val="0"/>
          <w:sz w:val="32"/>
          <w:szCs w:val="32"/>
          <w:shd w:val="clear" w:color="auto" w:fill="auto"/>
          <w:lang w:val="en-US" w:eastAsia="zh-CN" w:bidi="ar"/>
        </w:rPr>
        <w:t>支出</w:t>
      </w:r>
      <w:r>
        <w:rPr>
          <w:rFonts w:hint="eastAsia" w:ascii="仿宋_GB2312"/>
          <w:bCs/>
          <w:kern w:val="44"/>
          <w:sz w:val="32"/>
          <w:szCs w:val="32"/>
          <w:highlight w:val="none"/>
          <w:lang w:eastAsia="zh-CN"/>
        </w:rPr>
        <w:t>。</w:t>
      </w:r>
    </w:p>
    <w:p>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4.交通运输支出（类）33.56万元，占0.81%。主要是用于农村公路养护资金及农村公路技术状况评定费支出。</w:t>
      </w:r>
    </w:p>
    <w:p>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5.住房保障支出（类）46.97万元，占1.14%。主要是用于在职人员单位部分住房公积金支出。</w:t>
      </w:r>
    </w:p>
    <w:p>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（三）一般公共预算财政拨款支出决算具体情况。</w:t>
      </w:r>
    </w:p>
    <w:p>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none"/>
          <w:u w:val="none"/>
        </w:rPr>
      </w:pPr>
      <w:r>
        <w:rPr>
          <w:rFonts w:hint="eastAsia" w:ascii="CESI仿宋-GB13000" w:hAnsi="CESI仿宋-GB13000" w:eastAsia="CESI仿宋-GB13000" w:cs="CESI仿宋-GB13000"/>
          <w:bCs/>
          <w:kern w:val="44"/>
          <w:sz w:val="32"/>
          <w:szCs w:val="32"/>
          <w:highlight w:val="none"/>
          <w:u w:val="none"/>
          <w:lang w:eastAsia="zh-CN"/>
        </w:rPr>
        <w:t>2023年度</w:t>
      </w:r>
      <w:r>
        <w:rPr>
          <w:rFonts w:hint="eastAsia" w:ascii="CESI仿宋-GB13000" w:hAnsi="CESI仿宋-GB13000" w:eastAsia="CESI仿宋-GB13000" w:cs="CESI仿宋-GB13000"/>
          <w:bCs/>
          <w:kern w:val="44"/>
          <w:sz w:val="32"/>
          <w:szCs w:val="32"/>
          <w:highlight w:val="none"/>
          <w:u w:val="none"/>
        </w:rPr>
        <w:t>一般公共预算财政拨款支出年</w:t>
      </w:r>
      <w:r>
        <w:rPr>
          <w:rFonts w:hint="eastAsia" w:ascii="CESI仿宋-GB13000" w:hAnsi="CESI仿宋-GB13000" w:eastAsia="CESI仿宋-GB13000" w:cs="CESI仿宋-GB13000"/>
          <w:bCs/>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预算为</w:t>
      </w:r>
      <w:r>
        <w:rPr>
          <w:rFonts w:hint="eastAsia" w:ascii="CESI仿宋-GB13000" w:hAnsi="CESI仿宋-GB13000" w:eastAsia="CESI仿宋-GB13000" w:cs="CESI仿宋-GB13000"/>
          <w:bCs/>
          <w:kern w:val="44"/>
          <w:sz w:val="32"/>
          <w:szCs w:val="32"/>
          <w:highlight w:val="none"/>
          <w:u w:val="none"/>
          <w:lang w:val="en-US" w:eastAsia="zh-CN"/>
        </w:rPr>
        <w:t>7129.07</w:t>
      </w:r>
      <w:r>
        <w:rPr>
          <w:rFonts w:hint="eastAsia" w:ascii="CESI仿宋-GB13000" w:hAnsi="CESI仿宋-GB13000" w:eastAsia="CESI仿宋-GB13000" w:cs="CESI仿宋-GB13000"/>
          <w:bCs/>
          <w:kern w:val="44"/>
          <w:sz w:val="32"/>
          <w:szCs w:val="32"/>
          <w:highlight w:val="none"/>
          <w:u w:val="none"/>
        </w:rPr>
        <w:t>万元，支出决算为</w:t>
      </w:r>
      <w:r>
        <w:rPr>
          <w:rFonts w:hint="eastAsia" w:ascii="CESI仿宋-GB13000" w:hAnsi="CESI仿宋-GB13000" w:eastAsia="CESI仿宋-GB13000" w:cs="CESI仿宋-GB13000"/>
          <w:bCs/>
          <w:kern w:val="44"/>
          <w:sz w:val="32"/>
          <w:szCs w:val="32"/>
          <w:highlight w:val="none"/>
          <w:u w:val="none"/>
          <w:lang w:val="en-US" w:eastAsia="zh-CN"/>
        </w:rPr>
        <w:t>4128.25</w:t>
      </w:r>
      <w:r>
        <w:rPr>
          <w:rFonts w:hint="eastAsia" w:ascii="CESI仿宋-GB13000" w:hAnsi="CESI仿宋-GB13000" w:eastAsia="CESI仿宋-GB13000" w:cs="CESI仿宋-GB13000"/>
          <w:bCs/>
          <w:kern w:val="44"/>
          <w:sz w:val="32"/>
          <w:szCs w:val="32"/>
          <w:highlight w:val="none"/>
          <w:u w:val="none"/>
        </w:rPr>
        <w:t>万元，完成年</w:t>
      </w:r>
      <w:r>
        <w:rPr>
          <w:rFonts w:hint="eastAsia" w:ascii="CESI仿宋-GB13000" w:hAnsi="CESI仿宋-GB13000" w:eastAsia="CESI仿宋-GB13000" w:cs="CESI仿宋-GB13000"/>
          <w:bCs/>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预算的</w:t>
      </w:r>
      <w:r>
        <w:rPr>
          <w:rFonts w:hint="eastAsia" w:ascii="CESI仿宋-GB13000" w:hAnsi="CESI仿宋-GB13000" w:eastAsia="CESI仿宋-GB13000" w:cs="CESI仿宋-GB13000"/>
          <w:bCs/>
          <w:kern w:val="44"/>
          <w:sz w:val="32"/>
          <w:szCs w:val="32"/>
          <w:highlight w:val="none"/>
          <w:u w:val="none"/>
          <w:lang w:val="en-US" w:eastAsia="zh-CN"/>
        </w:rPr>
        <w:t>57.9</w:t>
      </w:r>
      <w:r>
        <w:rPr>
          <w:rFonts w:hint="eastAsia" w:ascii="CESI仿宋-GB13000" w:hAnsi="CESI仿宋-GB13000" w:eastAsia="CESI仿宋-GB13000" w:cs="CESI仿宋-GB13000"/>
          <w:bCs/>
          <w:kern w:val="44"/>
          <w:sz w:val="32"/>
          <w:szCs w:val="32"/>
          <w:highlight w:val="none"/>
          <w:u w:val="none"/>
        </w:rPr>
        <w:t>%。其中：</w:t>
      </w:r>
    </w:p>
    <w:p>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仿宋_GB2312" w:hAnsi="仿宋_GB2312" w:eastAsia="仿宋_GB2312" w:cs="仿宋_GB2312"/>
          <w:bCs/>
          <w:kern w:val="44"/>
          <w:sz w:val="32"/>
          <w:szCs w:val="32"/>
          <w:highlight w:val="yellow"/>
          <w:u w:val="none"/>
        </w:rPr>
      </w:pPr>
      <w:r>
        <w:rPr>
          <w:rFonts w:hint="eastAsia" w:ascii="CESI仿宋-GB13000" w:hAnsi="CESI仿宋-GB13000" w:eastAsia="CESI仿宋-GB13000" w:cs="CESI仿宋-GB13000"/>
          <w:bCs/>
          <w:color w:val="000000" w:themeColor="text1"/>
          <w:kern w:val="44"/>
          <w:sz w:val="32"/>
          <w:szCs w:val="32"/>
          <w:highlight w:val="none"/>
          <w:u w:val="none"/>
          <w14:textFill>
            <w14:solidFill>
              <w14:schemeClr w14:val="tx1"/>
            </w14:solidFill>
          </w14:textFill>
        </w:rPr>
        <w:t>1.</w:t>
      </w:r>
      <w:r>
        <w:rPr>
          <w:rFonts w:hint="eastAsia" w:ascii="CESI仿宋-GB13000" w:hAnsi="CESI仿宋-GB13000" w:eastAsia="CESI仿宋-GB13000" w:cs="CESI仿宋-GB13000"/>
          <w:bCs/>
          <w:color w:val="000000" w:themeColor="text1"/>
          <w:kern w:val="44"/>
          <w:sz w:val="32"/>
          <w:szCs w:val="32"/>
          <w:highlight w:val="none"/>
          <w:u w:val="none"/>
          <w:lang w:val="en-US" w:eastAsia="zh-CN"/>
          <w14:textFill>
            <w14:solidFill>
              <w14:schemeClr w14:val="tx1"/>
            </w14:solidFill>
          </w14:textFill>
        </w:rPr>
        <w:t>社会保障和就业</w:t>
      </w:r>
      <w:r>
        <w:rPr>
          <w:rFonts w:hint="eastAsia" w:ascii="CESI仿宋-GB13000" w:hAnsi="CESI仿宋-GB13000" w:eastAsia="CESI仿宋-GB13000" w:cs="CESI仿宋-GB13000"/>
          <w:bCs/>
          <w:color w:val="000000" w:themeColor="text1"/>
          <w:kern w:val="44"/>
          <w:sz w:val="32"/>
          <w:szCs w:val="32"/>
          <w:highlight w:val="none"/>
          <w:u w:val="none"/>
          <w14:textFill>
            <w14:solidFill>
              <w14:schemeClr w14:val="tx1"/>
            </w14:solidFill>
          </w14:textFill>
        </w:rPr>
        <w:t>支出</w:t>
      </w:r>
      <w:r>
        <w:rPr>
          <w:rFonts w:hint="eastAsia" w:ascii="CESI仿宋-GB13000" w:hAnsi="CESI仿宋-GB13000" w:eastAsia="CESI仿宋-GB13000" w:cs="CESI仿宋-GB13000"/>
          <w:bCs/>
          <w:color w:val="000000" w:themeColor="text1"/>
          <w:kern w:val="44"/>
          <w:sz w:val="32"/>
          <w:szCs w:val="32"/>
          <w:highlight w:val="none"/>
          <w:u w:val="none"/>
          <w:lang w:eastAsia="zh-CN"/>
          <w14:textFill>
            <w14:solidFill>
              <w14:schemeClr w14:val="tx1"/>
            </w14:solidFill>
          </w14:textFill>
        </w:rPr>
        <w:t>（类）行政事业单位养老支出（款）机关事业单位基本养老保险缴费支出（项）</w:t>
      </w:r>
      <w:r>
        <w:rPr>
          <w:rFonts w:hint="eastAsia" w:ascii="CESI仿宋-GB13000" w:hAnsi="CESI仿宋-GB13000" w:eastAsia="CESI仿宋-GB13000" w:cs="CESI仿宋-GB13000"/>
          <w:bCs/>
          <w:color w:val="000000" w:themeColor="text1"/>
          <w:kern w:val="44"/>
          <w:sz w:val="32"/>
          <w:szCs w:val="32"/>
          <w:highlight w:val="none"/>
          <w:u w:val="none"/>
          <w:lang w:val="en-US" w:eastAsia="zh-CN"/>
          <w14:textFill>
            <w14:solidFill>
              <w14:schemeClr w14:val="tx1"/>
            </w14:solidFill>
          </w14:textFill>
        </w:rPr>
        <w:t>。</w:t>
      </w:r>
      <w:r>
        <w:rPr>
          <w:rFonts w:hint="eastAsia" w:ascii="CESI仿宋-GB13000" w:hAnsi="CESI仿宋-GB13000" w:eastAsia="CESI仿宋-GB13000" w:cs="CESI仿宋-GB13000"/>
          <w:bCs/>
          <w:kern w:val="44"/>
          <w:sz w:val="32"/>
          <w:szCs w:val="32"/>
          <w:highlight w:val="none"/>
          <w:u w:val="none"/>
        </w:rPr>
        <w:t>年</w:t>
      </w:r>
      <w:r>
        <w:rPr>
          <w:rFonts w:hint="eastAsia" w:ascii="CESI仿宋-GB13000" w:hAnsi="CESI仿宋-GB13000" w:eastAsia="CESI仿宋-GB13000" w:cs="CESI仿宋-GB13000"/>
          <w:bCs/>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预算为</w:t>
      </w:r>
      <w:r>
        <w:rPr>
          <w:rFonts w:hint="eastAsia" w:ascii="CESI仿宋-GB13000" w:hAnsi="CESI仿宋-GB13000" w:eastAsia="CESI仿宋-GB13000" w:cs="CESI仿宋-GB13000"/>
          <w:bCs/>
          <w:kern w:val="44"/>
          <w:sz w:val="32"/>
          <w:szCs w:val="32"/>
          <w:highlight w:val="none"/>
          <w:u w:val="none"/>
          <w:lang w:val="en-US" w:eastAsia="zh-CN"/>
        </w:rPr>
        <w:t>54.4</w:t>
      </w:r>
      <w:r>
        <w:rPr>
          <w:rFonts w:hint="eastAsia" w:ascii="CESI仿宋-GB13000" w:hAnsi="CESI仿宋-GB13000" w:eastAsia="CESI仿宋-GB13000" w:cs="CESI仿宋-GB13000"/>
          <w:bCs/>
          <w:kern w:val="44"/>
          <w:sz w:val="32"/>
          <w:szCs w:val="32"/>
          <w:highlight w:val="none"/>
          <w:u w:val="none"/>
        </w:rPr>
        <w:t>万元，支出决算为</w:t>
      </w:r>
      <w:r>
        <w:rPr>
          <w:rFonts w:hint="eastAsia" w:ascii="CESI仿宋-GB13000" w:hAnsi="CESI仿宋-GB13000" w:eastAsia="CESI仿宋-GB13000" w:cs="CESI仿宋-GB13000"/>
          <w:bCs/>
          <w:kern w:val="44"/>
          <w:sz w:val="32"/>
          <w:szCs w:val="32"/>
          <w:highlight w:val="none"/>
          <w:u w:val="none"/>
          <w:lang w:val="en-US" w:eastAsia="zh-CN"/>
        </w:rPr>
        <w:t>28.08</w:t>
      </w:r>
      <w:r>
        <w:rPr>
          <w:rFonts w:hint="eastAsia" w:ascii="CESI仿宋-GB13000" w:hAnsi="CESI仿宋-GB13000" w:eastAsia="CESI仿宋-GB13000" w:cs="CESI仿宋-GB13000"/>
          <w:bCs/>
          <w:kern w:val="44"/>
          <w:sz w:val="32"/>
          <w:szCs w:val="32"/>
          <w:highlight w:val="none"/>
          <w:u w:val="none"/>
        </w:rPr>
        <w:t>万元，完成年</w:t>
      </w:r>
      <w:r>
        <w:rPr>
          <w:rFonts w:hint="eastAsia" w:ascii="CESI仿宋-GB13000" w:hAnsi="CESI仿宋-GB13000" w:eastAsia="CESI仿宋-GB13000" w:cs="CESI仿宋-GB13000"/>
          <w:bCs/>
          <w:color w:val="auto"/>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预算的</w:t>
      </w:r>
      <w:r>
        <w:rPr>
          <w:rFonts w:hint="eastAsia" w:ascii="CESI仿宋-GB13000" w:hAnsi="CESI仿宋-GB13000" w:eastAsia="CESI仿宋-GB13000" w:cs="CESI仿宋-GB13000"/>
          <w:bCs/>
          <w:kern w:val="44"/>
          <w:sz w:val="32"/>
          <w:szCs w:val="32"/>
          <w:highlight w:val="none"/>
          <w:u w:val="none"/>
          <w:lang w:val="en-US" w:eastAsia="zh-CN"/>
        </w:rPr>
        <w:t>51.6</w:t>
      </w:r>
      <w:r>
        <w:rPr>
          <w:rFonts w:hint="eastAsia" w:ascii="CESI仿宋-GB13000" w:hAnsi="CESI仿宋-GB13000" w:eastAsia="CESI仿宋-GB13000" w:cs="CESI仿宋-GB13000"/>
          <w:bCs/>
          <w:kern w:val="44"/>
          <w:sz w:val="32"/>
          <w:szCs w:val="32"/>
          <w:highlight w:val="none"/>
          <w:u w:val="none"/>
        </w:rPr>
        <w:t>%，支出决算数小于年</w:t>
      </w:r>
      <w:r>
        <w:rPr>
          <w:rFonts w:hint="eastAsia" w:ascii="CESI仿宋-GB13000" w:hAnsi="CESI仿宋-GB13000" w:eastAsia="CESI仿宋-GB13000" w:cs="CESI仿宋-GB13000"/>
          <w:bCs/>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预算数的主要原因</w:t>
      </w:r>
      <w:r>
        <w:rPr>
          <w:rFonts w:hint="eastAsia" w:ascii="CESI仿宋-GB13000" w:hAnsi="CESI仿宋-GB13000" w:eastAsia="CESI仿宋-GB13000" w:cs="CESI仿宋-GB13000"/>
          <w:bCs/>
          <w:kern w:val="44"/>
          <w:sz w:val="32"/>
          <w:szCs w:val="32"/>
          <w:highlight w:val="none"/>
          <w:u w:val="none"/>
          <w:lang w:eastAsia="zh-CN"/>
        </w:rPr>
        <w:t>：有工作人员的工作关系未转入本单位，导致未支出该工作人员的</w:t>
      </w:r>
      <w:r>
        <w:rPr>
          <w:rFonts w:hint="eastAsia" w:ascii="CESI仿宋-GB13000" w:hAnsi="CESI仿宋-GB13000" w:eastAsia="CESI仿宋-GB13000" w:cs="CESI仿宋-GB13000"/>
          <w:color w:val="000000"/>
          <w:sz w:val="32"/>
          <w:u w:val="none"/>
          <w:lang w:eastAsia="zh-CN"/>
        </w:rPr>
        <w:t>基本养老保险费</w:t>
      </w:r>
      <w:r>
        <w:rPr>
          <w:rFonts w:hint="eastAsia" w:ascii="CESI仿宋-GB13000" w:hAnsi="CESI仿宋-GB13000" w:eastAsia="CESI仿宋-GB13000" w:cs="CESI仿宋-GB13000"/>
          <w:bCs/>
          <w:kern w:val="44"/>
          <w:sz w:val="32"/>
          <w:szCs w:val="32"/>
          <w:highlight w:val="none"/>
          <w:u w:val="none"/>
        </w:rPr>
        <w:t>。</w:t>
      </w:r>
    </w:p>
    <w:p>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none"/>
          <w:u w:val="none"/>
          <w:lang w:val="en-US" w:eastAsia="zh-CN"/>
        </w:rPr>
      </w:pPr>
      <w:r>
        <w:rPr>
          <w:rFonts w:hint="eastAsia" w:ascii="CESI仿宋-GB13000" w:hAnsi="CESI仿宋-GB13000" w:eastAsia="CESI仿宋-GB13000" w:cs="CESI仿宋-GB13000"/>
          <w:bCs/>
          <w:color w:val="000000" w:themeColor="text1"/>
          <w:kern w:val="44"/>
          <w:sz w:val="32"/>
          <w:szCs w:val="32"/>
          <w:highlight w:val="none"/>
          <w:u w:val="none"/>
          <w14:textFill>
            <w14:solidFill>
              <w14:schemeClr w14:val="tx1"/>
            </w14:solidFill>
          </w14:textFill>
        </w:rPr>
        <w:t>2.</w:t>
      </w:r>
      <w:r>
        <w:rPr>
          <w:rFonts w:hint="eastAsia" w:ascii="CESI仿宋-GB13000" w:hAnsi="CESI仿宋-GB13000" w:eastAsia="CESI仿宋-GB13000" w:cs="CESI仿宋-GB13000"/>
          <w:bCs/>
          <w:color w:val="000000" w:themeColor="text1"/>
          <w:kern w:val="44"/>
          <w:sz w:val="32"/>
          <w:szCs w:val="32"/>
          <w:highlight w:val="none"/>
          <w:u w:val="none"/>
          <w:lang w:val="en-US" w:eastAsia="zh-CN"/>
          <w14:textFill>
            <w14:solidFill>
              <w14:schemeClr w14:val="tx1"/>
            </w14:solidFill>
          </w14:textFill>
        </w:rPr>
        <w:t>卫生健康支出（类）行政事业单位医疗（款）行政单位医疗（项）。</w:t>
      </w:r>
      <w:r>
        <w:rPr>
          <w:rFonts w:hint="eastAsia" w:ascii="CESI仿宋-GB13000" w:hAnsi="CESI仿宋-GB13000" w:eastAsia="CESI仿宋-GB13000" w:cs="CESI仿宋-GB13000"/>
          <w:bCs/>
          <w:kern w:val="44"/>
          <w:sz w:val="32"/>
          <w:szCs w:val="32"/>
          <w:highlight w:val="none"/>
          <w:u w:val="none"/>
        </w:rPr>
        <w:t>年</w:t>
      </w:r>
      <w:r>
        <w:rPr>
          <w:rFonts w:hint="eastAsia" w:ascii="CESI仿宋-GB13000" w:hAnsi="CESI仿宋-GB13000" w:eastAsia="CESI仿宋-GB13000" w:cs="CESI仿宋-GB13000"/>
          <w:bCs/>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预算为</w:t>
      </w:r>
      <w:r>
        <w:rPr>
          <w:rFonts w:hint="eastAsia" w:ascii="CESI仿宋-GB13000" w:hAnsi="CESI仿宋-GB13000" w:eastAsia="CESI仿宋-GB13000" w:cs="CESI仿宋-GB13000"/>
          <w:bCs/>
          <w:kern w:val="44"/>
          <w:sz w:val="32"/>
          <w:szCs w:val="32"/>
          <w:highlight w:val="none"/>
          <w:u w:val="none"/>
          <w:lang w:val="en-US" w:eastAsia="zh-CN"/>
        </w:rPr>
        <w:t>55.8</w:t>
      </w:r>
      <w:r>
        <w:rPr>
          <w:rFonts w:hint="eastAsia" w:ascii="CESI仿宋-GB13000" w:hAnsi="CESI仿宋-GB13000" w:eastAsia="CESI仿宋-GB13000" w:cs="CESI仿宋-GB13000"/>
          <w:bCs/>
          <w:kern w:val="44"/>
          <w:sz w:val="32"/>
          <w:szCs w:val="32"/>
          <w:highlight w:val="none"/>
          <w:u w:val="none"/>
        </w:rPr>
        <w:t>万元，支出决算为</w:t>
      </w:r>
      <w:r>
        <w:rPr>
          <w:rFonts w:hint="eastAsia" w:ascii="CESI仿宋-GB13000" w:hAnsi="CESI仿宋-GB13000" w:eastAsia="CESI仿宋-GB13000" w:cs="CESI仿宋-GB13000"/>
          <w:bCs/>
          <w:kern w:val="44"/>
          <w:sz w:val="32"/>
          <w:szCs w:val="32"/>
          <w:highlight w:val="none"/>
          <w:u w:val="none"/>
          <w:lang w:val="en-US" w:eastAsia="zh-CN"/>
        </w:rPr>
        <w:t>54.02</w:t>
      </w:r>
      <w:r>
        <w:rPr>
          <w:rFonts w:hint="eastAsia" w:ascii="CESI仿宋-GB13000" w:hAnsi="CESI仿宋-GB13000" w:eastAsia="CESI仿宋-GB13000" w:cs="CESI仿宋-GB13000"/>
          <w:bCs/>
          <w:kern w:val="44"/>
          <w:sz w:val="32"/>
          <w:szCs w:val="32"/>
          <w:highlight w:val="none"/>
          <w:u w:val="none"/>
        </w:rPr>
        <w:t>万元，完成年</w:t>
      </w:r>
      <w:r>
        <w:rPr>
          <w:rFonts w:hint="eastAsia" w:ascii="CESI仿宋-GB13000" w:hAnsi="CESI仿宋-GB13000" w:eastAsia="CESI仿宋-GB13000" w:cs="CESI仿宋-GB13000"/>
          <w:bCs/>
          <w:color w:val="auto"/>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预算的</w:t>
      </w:r>
      <w:r>
        <w:rPr>
          <w:rFonts w:hint="eastAsia" w:ascii="CESI仿宋-GB13000" w:hAnsi="CESI仿宋-GB13000" w:eastAsia="CESI仿宋-GB13000" w:cs="CESI仿宋-GB13000"/>
          <w:bCs/>
          <w:kern w:val="44"/>
          <w:sz w:val="32"/>
          <w:szCs w:val="32"/>
          <w:highlight w:val="none"/>
          <w:u w:val="none"/>
          <w:lang w:val="en-US" w:eastAsia="zh-CN"/>
        </w:rPr>
        <w:t>96.8</w:t>
      </w:r>
      <w:r>
        <w:rPr>
          <w:rFonts w:hint="eastAsia" w:ascii="CESI仿宋-GB13000" w:hAnsi="CESI仿宋-GB13000" w:eastAsia="CESI仿宋-GB13000" w:cs="CESI仿宋-GB13000"/>
          <w:bCs/>
          <w:kern w:val="44"/>
          <w:sz w:val="32"/>
          <w:szCs w:val="32"/>
          <w:highlight w:val="none"/>
          <w:u w:val="none"/>
        </w:rPr>
        <w:t>%。</w:t>
      </w:r>
    </w:p>
    <w:p>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none"/>
          <w:u w:val="none"/>
        </w:rPr>
      </w:pPr>
      <w:r>
        <w:rPr>
          <w:rFonts w:hint="eastAsia" w:ascii="CESI仿宋-GB13000" w:hAnsi="CESI仿宋-GB13000" w:eastAsia="CESI仿宋-GB13000" w:cs="CESI仿宋-GB13000"/>
          <w:bCs/>
          <w:color w:val="000000" w:themeColor="text1"/>
          <w:kern w:val="44"/>
          <w:sz w:val="32"/>
          <w:szCs w:val="32"/>
          <w:highlight w:val="none"/>
          <w:u w:val="none"/>
          <w:lang w:val="en-US" w:eastAsia="zh-CN"/>
          <w14:textFill>
            <w14:solidFill>
              <w14:schemeClr w14:val="tx1"/>
            </w14:solidFill>
          </w14:textFill>
        </w:rPr>
        <w:t>3.城乡社区支出（类）城乡社区管理事务（款）一般行政管理事务（项）。</w:t>
      </w:r>
      <w:r>
        <w:rPr>
          <w:rFonts w:hint="eastAsia" w:ascii="CESI仿宋-GB13000" w:hAnsi="CESI仿宋-GB13000" w:eastAsia="CESI仿宋-GB13000" w:cs="CESI仿宋-GB13000"/>
          <w:bCs/>
          <w:kern w:val="44"/>
          <w:sz w:val="32"/>
          <w:szCs w:val="32"/>
          <w:highlight w:val="none"/>
          <w:u w:val="none"/>
        </w:rPr>
        <w:t>年</w:t>
      </w:r>
      <w:r>
        <w:rPr>
          <w:rFonts w:hint="eastAsia" w:ascii="CESI仿宋-GB13000" w:hAnsi="CESI仿宋-GB13000" w:eastAsia="CESI仿宋-GB13000" w:cs="CESI仿宋-GB13000"/>
          <w:bCs/>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预算为</w:t>
      </w:r>
      <w:r>
        <w:rPr>
          <w:rFonts w:hint="eastAsia" w:ascii="CESI仿宋-GB13000" w:hAnsi="CESI仿宋-GB13000" w:eastAsia="CESI仿宋-GB13000" w:cs="CESI仿宋-GB13000"/>
          <w:bCs/>
          <w:kern w:val="44"/>
          <w:sz w:val="32"/>
          <w:szCs w:val="32"/>
          <w:highlight w:val="none"/>
          <w:u w:val="none"/>
          <w:lang w:val="en-US" w:eastAsia="zh-CN"/>
        </w:rPr>
        <w:t>3215.66</w:t>
      </w:r>
      <w:r>
        <w:rPr>
          <w:rFonts w:hint="eastAsia" w:ascii="CESI仿宋-GB13000" w:hAnsi="CESI仿宋-GB13000" w:eastAsia="CESI仿宋-GB13000" w:cs="CESI仿宋-GB13000"/>
          <w:bCs/>
          <w:kern w:val="44"/>
          <w:sz w:val="32"/>
          <w:szCs w:val="32"/>
          <w:highlight w:val="none"/>
          <w:u w:val="none"/>
        </w:rPr>
        <w:t>万元，支出决算为</w:t>
      </w:r>
      <w:r>
        <w:rPr>
          <w:rFonts w:hint="eastAsia" w:ascii="CESI仿宋-GB13000" w:hAnsi="CESI仿宋-GB13000" w:eastAsia="CESI仿宋-GB13000" w:cs="CESI仿宋-GB13000"/>
          <w:bCs/>
          <w:kern w:val="44"/>
          <w:sz w:val="32"/>
          <w:szCs w:val="32"/>
          <w:highlight w:val="none"/>
          <w:u w:val="none"/>
          <w:lang w:val="en-US" w:eastAsia="zh-CN"/>
        </w:rPr>
        <w:t>3964.85</w:t>
      </w:r>
      <w:r>
        <w:rPr>
          <w:rFonts w:hint="eastAsia" w:ascii="CESI仿宋-GB13000" w:hAnsi="CESI仿宋-GB13000" w:eastAsia="CESI仿宋-GB13000" w:cs="CESI仿宋-GB13000"/>
          <w:bCs/>
          <w:kern w:val="44"/>
          <w:sz w:val="32"/>
          <w:szCs w:val="32"/>
          <w:highlight w:val="none"/>
          <w:u w:val="none"/>
        </w:rPr>
        <w:t>万元，完成年</w:t>
      </w:r>
      <w:r>
        <w:rPr>
          <w:rFonts w:hint="eastAsia" w:ascii="CESI仿宋-GB13000" w:hAnsi="CESI仿宋-GB13000" w:eastAsia="CESI仿宋-GB13000" w:cs="CESI仿宋-GB13000"/>
          <w:bCs/>
          <w:color w:val="auto"/>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预算的</w:t>
      </w:r>
      <w:r>
        <w:rPr>
          <w:rFonts w:hint="eastAsia" w:ascii="CESI仿宋-GB13000" w:hAnsi="CESI仿宋-GB13000" w:eastAsia="CESI仿宋-GB13000" w:cs="CESI仿宋-GB13000"/>
          <w:bCs/>
          <w:kern w:val="44"/>
          <w:sz w:val="32"/>
          <w:szCs w:val="32"/>
          <w:highlight w:val="none"/>
          <w:u w:val="none"/>
          <w:lang w:val="en-US" w:eastAsia="zh-CN"/>
        </w:rPr>
        <w:t>123</w:t>
      </w:r>
      <w:r>
        <w:rPr>
          <w:rFonts w:hint="eastAsia" w:ascii="CESI仿宋-GB13000" w:hAnsi="CESI仿宋-GB13000" w:eastAsia="CESI仿宋-GB13000" w:cs="CESI仿宋-GB13000"/>
          <w:bCs/>
          <w:kern w:val="44"/>
          <w:sz w:val="32"/>
          <w:szCs w:val="32"/>
          <w:highlight w:val="none"/>
          <w:u w:val="none"/>
        </w:rPr>
        <w:t>%，支出决算数</w:t>
      </w:r>
      <w:r>
        <w:rPr>
          <w:rFonts w:hint="eastAsia" w:ascii="CESI仿宋-GB13000" w:hAnsi="CESI仿宋-GB13000" w:eastAsia="CESI仿宋-GB13000" w:cs="CESI仿宋-GB13000"/>
          <w:bCs/>
          <w:kern w:val="44"/>
          <w:sz w:val="32"/>
          <w:szCs w:val="32"/>
          <w:highlight w:val="none"/>
          <w:u w:val="none"/>
          <w:lang w:eastAsia="zh-CN"/>
        </w:rPr>
        <w:t>大</w:t>
      </w:r>
      <w:r>
        <w:rPr>
          <w:rFonts w:hint="eastAsia" w:ascii="CESI仿宋-GB13000" w:hAnsi="CESI仿宋-GB13000" w:eastAsia="CESI仿宋-GB13000" w:cs="CESI仿宋-GB13000"/>
          <w:bCs/>
          <w:kern w:val="44"/>
          <w:sz w:val="32"/>
          <w:szCs w:val="32"/>
          <w:highlight w:val="none"/>
          <w:u w:val="none"/>
        </w:rPr>
        <w:t>于年</w:t>
      </w:r>
      <w:r>
        <w:rPr>
          <w:rFonts w:hint="eastAsia" w:ascii="CESI仿宋-GB13000" w:hAnsi="CESI仿宋-GB13000" w:eastAsia="CESI仿宋-GB13000" w:cs="CESI仿宋-GB13000"/>
          <w:bCs/>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预算数的主要原因</w:t>
      </w:r>
      <w:r>
        <w:rPr>
          <w:rFonts w:hint="eastAsia" w:ascii="CESI仿宋-GB13000" w:hAnsi="CESI仿宋-GB13000" w:eastAsia="CESI仿宋-GB13000" w:cs="CESI仿宋-GB13000"/>
          <w:bCs/>
          <w:kern w:val="44"/>
          <w:sz w:val="32"/>
          <w:szCs w:val="32"/>
          <w:highlight w:val="none"/>
          <w:u w:val="none"/>
          <w:lang w:eastAsia="zh-CN"/>
        </w:rPr>
        <w:t>：追加了</w:t>
      </w:r>
      <w:r>
        <w:rPr>
          <w:rFonts w:hint="eastAsia" w:ascii="CESI仿宋-GB13000" w:hAnsi="CESI仿宋-GB13000" w:eastAsia="CESI仿宋-GB13000" w:cs="CESI仿宋-GB13000"/>
          <w:sz w:val="32"/>
          <w:szCs w:val="32"/>
          <w:lang w:val="en-US" w:eastAsia="zh-CN"/>
        </w:rPr>
        <w:t>葛华污水处理厂</w:t>
      </w:r>
      <w:r>
        <w:rPr>
          <w:rFonts w:hint="eastAsia" w:ascii="CESI仿宋-GB13000" w:hAnsi="CESI仿宋-GB13000" w:eastAsia="CESI仿宋-GB13000" w:cs="CESI仿宋-GB13000"/>
          <w:bCs/>
          <w:kern w:val="44"/>
          <w:sz w:val="32"/>
          <w:szCs w:val="32"/>
          <w:highlight w:val="none"/>
          <w:u w:val="none"/>
          <w:lang w:eastAsia="zh-CN"/>
        </w:rPr>
        <w:t>污水处理费及农村生活污水处理设施维护服务费</w:t>
      </w:r>
      <w:r>
        <w:rPr>
          <w:rFonts w:hint="eastAsia" w:ascii="CESI仿宋-GB13000" w:hAnsi="CESI仿宋-GB13000" w:eastAsia="CESI仿宋-GB13000" w:cs="CESI仿宋-GB13000"/>
          <w:bCs/>
          <w:kern w:val="44"/>
          <w:sz w:val="32"/>
          <w:szCs w:val="32"/>
          <w:highlight w:val="none"/>
          <w:u w:val="none"/>
        </w:rPr>
        <w:t>。</w:t>
      </w:r>
    </w:p>
    <w:p>
      <w:pPr>
        <w:pageBreakBefore w:val="0"/>
        <w:widowControl w:val="0"/>
        <w:kinsoku/>
        <w:wordWrap/>
        <w:overflowPunct/>
        <w:topLinePunct w:val="0"/>
        <w:bidi w:val="0"/>
        <w:adjustRightInd w:val="0"/>
        <w:snapToGrid w:val="0"/>
        <w:spacing w:line="360" w:lineRule="auto"/>
        <w:ind w:firstLine="640" w:firstLineChars="200"/>
        <w:textAlignment w:val="auto"/>
        <w:rPr>
          <w:rFonts w:hint="default" w:ascii="CESI仿宋-GB13000" w:hAnsi="CESI仿宋-GB13000" w:eastAsia="CESI仿宋-GB13000" w:cs="CESI仿宋-GB13000"/>
          <w:bCs/>
          <w:kern w:val="44"/>
          <w:sz w:val="32"/>
          <w:szCs w:val="32"/>
          <w:highlight w:val="none"/>
          <w:u w:val="none"/>
          <w:lang w:val="en-US" w:eastAsia="zh-CN"/>
        </w:rPr>
      </w:pPr>
      <w:r>
        <w:rPr>
          <w:rFonts w:hint="eastAsia" w:ascii="CESI仿宋-GB13000" w:hAnsi="CESI仿宋-GB13000" w:eastAsia="CESI仿宋-GB13000" w:cs="CESI仿宋-GB13000"/>
          <w:bCs/>
          <w:color w:val="000000" w:themeColor="text1"/>
          <w:kern w:val="44"/>
          <w:sz w:val="32"/>
          <w:szCs w:val="32"/>
          <w:highlight w:val="none"/>
          <w:u w:val="none"/>
          <w:lang w:val="en-US" w:eastAsia="zh-CN"/>
          <w14:textFill>
            <w14:solidFill>
              <w14:schemeClr w14:val="tx1"/>
            </w14:solidFill>
          </w14:textFill>
        </w:rPr>
        <w:t>4.交通运输支出（类）公路水路运输支出（款）公路建设（项）。</w:t>
      </w:r>
      <w:r>
        <w:rPr>
          <w:rFonts w:hint="eastAsia" w:ascii="CESI仿宋-GB13000" w:hAnsi="CESI仿宋-GB13000" w:eastAsia="CESI仿宋-GB13000" w:cs="CESI仿宋-GB13000"/>
          <w:bCs/>
          <w:kern w:val="44"/>
          <w:sz w:val="32"/>
          <w:szCs w:val="32"/>
          <w:highlight w:val="none"/>
          <w:u w:val="none"/>
        </w:rPr>
        <w:t>年</w:t>
      </w:r>
      <w:r>
        <w:rPr>
          <w:rFonts w:hint="eastAsia" w:ascii="CESI仿宋-GB13000" w:hAnsi="CESI仿宋-GB13000" w:eastAsia="CESI仿宋-GB13000" w:cs="CESI仿宋-GB13000"/>
          <w:bCs/>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预算为</w:t>
      </w:r>
      <w:r>
        <w:rPr>
          <w:rFonts w:hint="eastAsia" w:ascii="CESI仿宋-GB13000" w:hAnsi="CESI仿宋-GB13000" w:eastAsia="CESI仿宋-GB13000" w:cs="CESI仿宋-GB13000"/>
          <w:bCs/>
          <w:kern w:val="44"/>
          <w:sz w:val="32"/>
          <w:szCs w:val="32"/>
          <w:highlight w:val="none"/>
          <w:u w:val="none"/>
          <w:lang w:val="en-US" w:eastAsia="zh-CN"/>
        </w:rPr>
        <w:t>3724.41</w:t>
      </w:r>
      <w:r>
        <w:rPr>
          <w:rFonts w:hint="eastAsia" w:ascii="CESI仿宋-GB13000" w:hAnsi="CESI仿宋-GB13000" w:eastAsia="CESI仿宋-GB13000" w:cs="CESI仿宋-GB13000"/>
          <w:bCs/>
          <w:kern w:val="44"/>
          <w:sz w:val="32"/>
          <w:szCs w:val="32"/>
          <w:highlight w:val="none"/>
          <w:u w:val="none"/>
        </w:rPr>
        <w:t>万元，支出决算为</w:t>
      </w:r>
      <w:r>
        <w:rPr>
          <w:rFonts w:hint="eastAsia" w:ascii="CESI仿宋-GB13000" w:hAnsi="CESI仿宋-GB13000" w:eastAsia="CESI仿宋-GB13000" w:cs="CESI仿宋-GB13000"/>
          <w:bCs/>
          <w:kern w:val="44"/>
          <w:sz w:val="32"/>
          <w:szCs w:val="32"/>
          <w:highlight w:val="none"/>
          <w:u w:val="none"/>
          <w:lang w:val="en-US" w:eastAsia="zh-CN"/>
        </w:rPr>
        <w:t>33.56</w:t>
      </w:r>
      <w:r>
        <w:rPr>
          <w:rFonts w:hint="eastAsia" w:ascii="CESI仿宋-GB13000" w:hAnsi="CESI仿宋-GB13000" w:eastAsia="CESI仿宋-GB13000" w:cs="CESI仿宋-GB13000"/>
          <w:bCs/>
          <w:kern w:val="44"/>
          <w:sz w:val="32"/>
          <w:szCs w:val="32"/>
          <w:highlight w:val="none"/>
          <w:u w:val="none"/>
        </w:rPr>
        <w:t>万元，完成年</w:t>
      </w:r>
      <w:r>
        <w:rPr>
          <w:rFonts w:hint="eastAsia" w:ascii="CESI仿宋-GB13000" w:hAnsi="CESI仿宋-GB13000" w:eastAsia="CESI仿宋-GB13000" w:cs="CESI仿宋-GB13000"/>
          <w:bCs/>
          <w:color w:val="auto"/>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预算的</w:t>
      </w:r>
      <w:r>
        <w:rPr>
          <w:rFonts w:hint="eastAsia" w:ascii="CESI仿宋-GB13000" w:hAnsi="CESI仿宋-GB13000" w:eastAsia="CESI仿宋-GB13000" w:cs="CESI仿宋-GB13000"/>
          <w:bCs/>
          <w:kern w:val="44"/>
          <w:sz w:val="32"/>
          <w:szCs w:val="32"/>
          <w:highlight w:val="none"/>
          <w:u w:val="none"/>
          <w:lang w:val="en-US" w:eastAsia="zh-CN"/>
        </w:rPr>
        <w:t>0.9</w:t>
      </w:r>
      <w:r>
        <w:rPr>
          <w:rFonts w:hint="eastAsia" w:ascii="CESI仿宋-GB13000" w:hAnsi="CESI仿宋-GB13000" w:eastAsia="CESI仿宋-GB13000" w:cs="CESI仿宋-GB13000"/>
          <w:bCs/>
          <w:kern w:val="44"/>
          <w:sz w:val="32"/>
          <w:szCs w:val="32"/>
          <w:highlight w:val="none"/>
          <w:u w:val="none"/>
        </w:rPr>
        <w:t>%</w:t>
      </w:r>
      <w:r>
        <w:rPr>
          <w:rFonts w:hint="eastAsia" w:ascii="CESI仿宋-GB13000" w:hAnsi="CESI仿宋-GB13000" w:eastAsia="CESI仿宋-GB13000" w:cs="CESI仿宋-GB13000"/>
          <w:bCs/>
          <w:kern w:val="44"/>
          <w:sz w:val="32"/>
          <w:szCs w:val="32"/>
          <w:highlight w:val="none"/>
          <w:u w:val="none"/>
          <w:lang w:eastAsia="zh-CN"/>
        </w:rPr>
        <w:t>，</w:t>
      </w:r>
      <w:r>
        <w:rPr>
          <w:rFonts w:hint="eastAsia" w:ascii="CESI仿宋-GB13000" w:hAnsi="CESI仿宋-GB13000" w:eastAsia="CESI仿宋-GB13000" w:cs="CESI仿宋-GB13000"/>
          <w:bCs/>
          <w:kern w:val="44"/>
          <w:sz w:val="32"/>
          <w:szCs w:val="32"/>
          <w:highlight w:val="none"/>
          <w:u w:val="none"/>
        </w:rPr>
        <w:t>支出决算数</w:t>
      </w:r>
      <w:r>
        <w:rPr>
          <w:rFonts w:hint="eastAsia" w:ascii="CESI仿宋-GB13000" w:hAnsi="CESI仿宋-GB13000" w:eastAsia="CESI仿宋-GB13000" w:cs="CESI仿宋-GB13000"/>
          <w:bCs/>
          <w:kern w:val="44"/>
          <w:sz w:val="32"/>
          <w:szCs w:val="32"/>
          <w:highlight w:val="none"/>
          <w:u w:val="none"/>
          <w:lang w:eastAsia="zh-CN"/>
        </w:rPr>
        <w:t>小</w:t>
      </w:r>
      <w:r>
        <w:rPr>
          <w:rFonts w:hint="eastAsia" w:ascii="CESI仿宋-GB13000" w:hAnsi="CESI仿宋-GB13000" w:eastAsia="CESI仿宋-GB13000" w:cs="CESI仿宋-GB13000"/>
          <w:bCs/>
          <w:kern w:val="44"/>
          <w:sz w:val="32"/>
          <w:szCs w:val="32"/>
          <w:highlight w:val="none"/>
          <w:u w:val="none"/>
        </w:rPr>
        <w:t>于年</w:t>
      </w:r>
      <w:r>
        <w:rPr>
          <w:rFonts w:hint="eastAsia" w:ascii="CESI仿宋-GB13000" w:hAnsi="CESI仿宋-GB13000" w:eastAsia="CESI仿宋-GB13000" w:cs="CESI仿宋-GB13000"/>
          <w:bCs/>
          <w:color w:val="auto"/>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预算数</w:t>
      </w:r>
      <w:r>
        <w:rPr>
          <w:rFonts w:hint="eastAsia" w:ascii="CESI仿宋-GB13000" w:hAnsi="CESI仿宋-GB13000" w:eastAsia="CESI仿宋-GB13000" w:cs="CESI仿宋-GB13000"/>
          <w:bCs/>
          <w:kern w:val="44"/>
          <w:sz w:val="32"/>
          <w:szCs w:val="32"/>
          <w:highlight w:val="none"/>
          <w:u w:val="none"/>
          <w:lang w:eastAsia="zh-CN"/>
        </w:rPr>
        <w:t>的</w:t>
      </w:r>
      <w:r>
        <w:rPr>
          <w:rFonts w:hint="eastAsia" w:ascii="CESI仿宋-GB13000" w:hAnsi="CESI仿宋-GB13000" w:eastAsia="CESI仿宋-GB13000" w:cs="CESI仿宋-GB13000"/>
          <w:bCs/>
          <w:kern w:val="44"/>
          <w:sz w:val="32"/>
          <w:szCs w:val="32"/>
          <w:highlight w:val="none"/>
          <w:u w:val="none"/>
        </w:rPr>
        <w:t>主要原因</w:t>
      </w:r>
      <w:r>
        <w:rPr>
          <w:rFonts w:hint="eastAsia" w:ascii="CESI仿宋-GB13000" w:hAnsi="CESI仿宋-GB13000" w:eastAsia="CESI仿宋-GB13000" w:cs="CESI仿宋-GB13000"/>
          <w:bCs/>
          <w:kern w:val="44"/>
          <w:sz w:val="32"/>
          <w:szCs w:val="32"/>
          <w:highlight w:val="none"/>
          <w:u w:val="none"/>
          <w:lang w:eastAsia="zh-CN"/>
        </w:rPr>
        <w:t>：武汉轨道交通11号线葛店段运营管理费由财金局支付</w:t>
      </w:r>
      <w:r>
        <w:rPr>
          <w:rFonts w:hint="eastAsia" w:ascii="CESI仿宋-GB13000" w:hAnsi="CESI仿宋-GB13000" w:eastAsia="CESI仿宋-GB13000" w:cs="CESI仿宋-GB13000"/>
          <w:bCs/>
          <w:kern w:val="44"/>
          <w:sz w:val="32"/>
          <w:szCs w:val="32"/>
          <w:highlight w:val="none"/>
          <w:u w:val="none"/>
          <w:lang w:val="en-US" w:eastAsia="zh-CN"/>
        </w:rPr>
        <w:t>。</w:t>
      </w:r>
    </w:p>
    <w:p>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none"/>
          <w:u w:val="none"/>
          <w:lang w:val="en-US" w:eastAsia="zh-CN"/>
        </w:rPr>
      </w:pPr>
      <w:r>
        <w:rPr>
          <w:rFonts w:hint="eastAsia" w:ascii="CESI仿宋-GB13000" w:hAnsi="CESI仿宋-GB13000" w:eastAsia="CESI仿宋-GB13000" w:cs="CESI仿宋-GB13000"/>
          <w:bCs/>
          <w:color w:val="000000" w:themeColor="text1"/>
          <w:kern w:val="44"/>
          <w:sz w:val="32"/>
          <w:szCs w:val="32"/>
          <w:highlight w:val="none"/>
          <w:u w:val="none"/>
          <w:lang w:val="en-US" w:eastAsia="zh-CN"/>
          <w14:textFill>
            <w14:solidFill>
              <w14:schemeClr w14:val="tx1"/>
            </w14:solidFill>
          </w14:textFill>
        </w:rPr>
        <w:t>5.住房保障支出（类）住房改革支出（款）住房公积金（项）。</w:t>
      </w:r>
      <w:r>
        <w:rPr>
          <w:rFonts w:hint="eastAsia" w:ascii="CESI仿宋-GB13000" w:hAnsi="CESI仿宋-GB13000" w:eastAsia="CESI仿宋-GB13000" w:cs="CESI仿宋-GB13000"/>
          <w:bCs/>
          <w:color w:val="000000" w:themeColor="text1"/>
          <w:kern w:val="44"/>
          <w:sz w:val="32"/>
          <w:szCs w:val="32"/>
          <w:highlight w:val="none"/>
          <w:u w:val="none"/>
          <w14:textFill>
            <w14:solidFill>
              <w14:schemeClr w14:val="tx1"/>
            </w14:solidFill>
          </w14:textFill>
        </w:rPr>
        <w:t>年</w:t>
      </w:r>
      <w:r>
        <w:rPr>
          <w:rFonts w:hint="eastAsia" w:ascii="CESI仿宋-GB13000" w:hAnsi="CESI仿宋-GB13000" w:eastAsia="CESI仿宋-GB13000" w:cs="CESI仿宋-GB13000"/>
          <w:bCs/>
          <w:color w:val="000000" w:themeColor="text1"/>
          <w:kern w:val="44"/>
          <w:sz w:val="32"/>
          <w:szCs w:val="32"/>
          <w:highlight w:val="none"/>
          <w:u w:val="none"/>
          <w:lang w:eastAsia="zh-CN"/>
          <w14:textFill>
            <w14:solidFill>
              <w14:schemeClr w14:val="tx1"/>
            </w14:solidFill>
          </w14:textFill>
        </w:rPr>
        <w:t>初</w:t>
      </w:r>
      <w:r>
        <w:rPr>
          <w:rFonts w:hint="eastAsia" w:ascii="CESI仿宋-GB13000" w:hAnsi="CESI仿宋-GB13000" w:eastAsia="CESI仿宋-GB13000" w:cs="CESI仿宋-GB13000"/>
          <w:bCs/>
          <w:kern w:val="44"/>
          <w:sz w:val="32"/>
          <w:szCs w:val="32"/>
          <w:highlight w:val="none"/>
          <w:u w:val="none"/>
        </w:rPr>
        <w:t>预算为</w:t>
      </w:r>
      <w:r>
        <w:rPr>
          <w:rFonts w:hint="eastAsia" w:ascii="CESI仿宋-GB13000" w:hAnsi="CESI仿宋-GB13000" w:eastAsia="CESI仿宋-GB13000" w:cs="CESI仿宋-GB13000"/>
          <w:bCs/>
          <w:kern w:val="44"/>
          <w:sz w:val="32"/>
          <w:szCs w:val="32"/>
          <w:highlight w:val="none"/>
          <w:u w:val="none"/>
          <w:lang w:val="en-US" w:eastAsia="zh-CN"/>
        </w:rPr>
        <w:t>46.6</w:t>
      </w:r>
      <w:r>
        <w:rPr>
          <w:rFonts w:hint="eastAsia" w:ascii="CESI仿宋-GB13000" w:hAnsi="CESI仿宋-GB13000" w:eastAsia="CESI仿宋-GB13000" w:cs="CESI仿宋-GB13000"/>
          <w:bCs/>
          <w:kern w:val="44"/>
          <w:sz w:val="32"/>
          <w:szCs w:val="32"/>
          <w:highlight w:val="none"/>
          <w:u w:val="none"/>
        </w:rPr>
        <w:t>万元，支出决算为</w:t>
      </w:r>
      <w:r>
        <w:rPr>
          <w:rFonts w:hint="eastAsia" w:ascii="CESI仿宋-GB13000" w:hAnsi="CESI仿宋-GB13000" w:eastAsia="CESI仿宋-GB13000" w:cs="CESI仿宋-GB13000"/>
          <w:bCs/>
          <w:kern w:val="44"/>
          <w:sz w:val="32"/>
          <w:szCs w:val="32"/>
          <w:highlight w:val="none"/>
          <w:u w:val="none"/>
          <w:lang w:val="en-US" w:eastAsia="zh-CN"/>
        </w:rPr>
        <w:t>46.97</w:t>
      </w:r>
      <w:r>
        <w:rPr>
          <w:rFonts w:hint="eastAsia" w:ascii="CESI仿宋-GB13000" w:hAnsi="CESI仿宋-GB13000" w:eastAsia="CESI仿宋-GB13000" w:cs="CESI仿宋-GB13000"/>
          <w:bCs/>
          <w:kern w:val="44"/>
          <w:sz w:val="32"/>
          <w:szCs w:val="32"/>
          <w:highlight w:val="none"/>
          <w:u w:val="none"/>
        </w:rPr>
        <w:t>万元，完成年</w:t>
      </w:r>
      <w:r>
        <w:rPr>
          <w:rFonts w:hint="eastAsia" w:ascii="CESI仿宋-GB13000" w:hAnsi="CESI仿宋-GB13000" w:eastAsia="CESI仿宋-GB13000" w:cs="CESI仿宋-GB13000"/>
          <w:bCs/>
          <w:color w:val="auto"/>
          <w:kern w:val="44"/>
          <w:sz w:val="32"/>
          <w:szCs w:val="32"/>
          <w:highlight w:val="none"/>
          <w:u w:val="none"/>
          <w:lang w:eastAsia="zh-CN"/>
        </w:rPr>
        <w:t>初</w:t>
      </w:r>
      <w:r>
        <w:rPr>
          <w:rFonts w:hint="eastAsia" w:ascii="CESI仿宋-GB13000" w:hAnsi="CESI仿宋-GB13000" w:eastAsia="CESI仿宋-GB13000" w:cs="CESI仿宋-GB13000"/>
          <w:bCs/>
          <w:kern w:val="44"/>
          <w:sz w:val="32"/>
          <w:szCs w:val="32"/>
          <w:highlight w:val="none"/>
          <w:u w:val="none"/>
        </w:rPr>
        <w:t>预算的</w:t>
      </w:r>
      <w:r>
        <w:rPr>
          <w:rFonts w:hint="eastAsia" w:ascii="CESI仿宋-GB13000" w:hAnsi="CESI仿宋-GB13000" w:eastAsia="CESI仿宋-GB13000" w:cs="CESI仿宋-GB13000"/>
          <w:bCs/>
          <w:kern w:val="44"/>
          <w:sz w:val="32"/>
          <w:szCs w:val="32"/>
          <w:highlight w:val="none"/>
          <w:u w:val="none"/>
          <w:lang w:val="en-US" w:eastAsia="zh-CN"/>
        </w:rPr>
        <w:t>100</w:t>
      </w:r>
      <w:r>
        <w:rPr>
          <w:rFonts w:hint="eastAsia" w:ascii="CESI仿宋-GB13000" w:hAnsi="CESI仿宋-GB13000" w:eastAsia="CESI仿宋-GB13000" w:cs="CESI仿宋-GB13000"/>
          <w:bCs/>
          <w:kern w:val="44"/>
          <w:sz w:val="32"/>
          <w:szCs w:val="32"/>
          <w:highlight w:val="none"/>
          <w:u w:val="none"/>
        </w:rPr>
        <w:t>%</w:t>
      </w:r>
      <w:r>
        <w:rPr>
          <w:rFonts w:hint="eastAsia" w:ascii="CESI仿宋-GB13000" w:hAnsi="CESI仿宋-GB13000" w:eastAsia="CESI仿宋-GB13000" w:cs="CESI仿宋-GB13000"/>
          <w:bCs/>
          <w:kern w:val="44"/>
          <w:sz w:val="32"/>
          <w:szCs w:val="32"/>
          <w:highlight w:val="none"/>
          <w:u w:val="none"/>
          <w:lang w:val="en-US" w:eastAsia="zh-CN"/>
        </w:rPr>
        <w:t>。</w:t>
      </w:r>
    </w:p>
    <w:p>
      <w:pPr>
        <w:bidi w:val="0"/>
        <w:ind w:firstLine="640" w:firstLineChars="200"/>
        <w:rPr>
          <w:rFonts w:hint="eastAsia"/>
          <w:lang w:val="en-US" w:eastAsia="zh-CN"/>
        </w:rPr>
      </w:pPr>
      <w:r>
        <w:rPr>
          <w:rFonts w:hint="eastAsia" w:ascii="黑体" w:hAnsi="黑体" w:eastAsia="黑体" w:cs="黑体"/>
          <w:lang w:val="en-US" w:eastAsia="zh-CN"/>
        </w:rPr>
        <w:t>六、一般公共预算财政拨款基本支出决算情况说明</w:t>
      </w:r>
    </w:p>
    <w:p>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none"/>
          <w:u w:val="none"/>
          <w:lang w:val="en-US" w:eastAsia="zh-CN"/>
        </w:rPr>
      </w:pPr>
      <w:r>
        <w:rPr>
          <w:rFonts w:hint="eastAsia" w:ascii="CESI仿宋-GB13000" w:hAnsi="CESI仿宋-GB13000" w:eastAsia="CESI仿宋-GB13000" w:cs="CESI仿宋-GB13000"/>
          <w:bCs/>
          <w:kern w:val="44"/>
          <w:sz w:val="32"/>
          <w:szCs w:val="32"/>
          <w:highlight w:val="none"/>
          <w:u w:val="none"/>
          <w:lang w:val="en-US" w:eastAsia="zh-CN"/>
        </w:rPr>
        <w:t>2023年度一般公共预算财政拨款基本支出695.69万元，其中：</w:t>
      </w:r>
    </w:p>
    <w:p>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none"/>
          <w:u w:val="none"/>
          <w:lang w:val="en-US" w:eastAsia="zh-CN"/>
        </w:rPr>
      </w:pPr>
      <w:r>
        <w:rPr>
          <w:rFonts w:hint="eastAsia" w:ascii="CESI仿宋-GB13000" w:hAnsi="CESI仿宋-GB13000" w:eastAsia="CESI仿宋-GB13000" w:cs="CESI仿宋-GB13000"/>
          <w:bCs/>
          <w:kern w:val="44"/>
          <w:sz w:val="32"/>
          <w:szCs w:val="32"/>
          <w:highlight w:val="none"/>
          <w:u w:val="none"/>
          <w:lang w:val="en-US" w:eastAsia="zh-CN"/>
        </w:rPr>
        <w:t>人员经费665.48万元，主要包括：基本工资、津贴补贴、奖金、机关事业单位基本养老保险缴费、职业年金缴费、职工基本医疗保险缴费、其他社会保障缴费、住房公积金、其他工资福利支出、对个人和家庭的补助、退休费。</w:t>
      </w:r>
    </w:p>
    <w:p>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none"/>
          <w:u w:val="none"/>
          <w:lang w:val="en-US" w:eastAsia="zh-CN"/>
        </w:rPr>
      </w:pPr>
      <w:r>
        <w:rPr>
          <w:rFonts w:hint="eastAsia" w:ascii="CESI仿宋-GB13000" w:hAnsi="CESI仿宋-GB13000" w:eastAsia="CESI仿宋-GB13000" w:cs="CESI仿宋-GB13000"/>
          <w:bCs/>
          <w:kern w:val="44"/>
          <w:sz w:val="32"/>
          <w:szCs w:val="32"/>
          <w:highlight w:val="none"/>
          <w:u w:val="none"/>
          <w:lang w:val="en-US" w:eastAsia="zh-CN"/>
        </w:rPr>
        <w:t>公用经费30.21万元，主要包括：办公费、印刷费、水费、电费、邮电费、差旅费、维修(护)费、劳务费、工会经费、福利费、办公设备购置、无形资产购置。</w:t>
      </w:r>
    </w:p>
    <w:p>
      <w:pPr>
        <w:numPr>
          <w:ilvl w:val="0"/>
          <w:numId w:val="0"/>
        </w:numPr>
        <w:bidi w:val="0"/>
        <w:ind w:firstLine="640" w:firstLineChars="200"/>
        <w:rPr>
          <w:rFonts w:hint="eastAsia" w:ascii="黑体" w:hAnsi="黑体" w:eastAsia="黑体" w:cs="黑体"/>
          <w:sz w:val="32"/>
          <w:szCs w:val="32"/>
          <w:lang w:val="en-US" w:eastAsia="zh-CN"/>
        </w:rPr>
      </w:pPr>
      <w:r>
        <w:rPr>
          <w:rFonts w:hint="eastAsia" w:ascii="黑体" w:hAnsi="黑体" w:eastAsia="黑体" w:cs="黑体"/>
          <w:lang w:val="en-US" w:eastAsia="zh-CN"/>
        </w:rPr>
        <w:t xml:space="preserve">七、政府性基金预算财政拨款收入支出决算情况说明 </w:t>
      </w:r>
    </w:p>
    <w:p>
      <w:pPr>
        <w:ind w:firstLine="640"/>
        <w:jc w:val="both"/>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2023年度政府性基金预算财政拨款年初结转和结余</w:t>
      </w:r>
      <w:r>
        <w:rPr>
          <w:rFonts w:hint="default" w:ascii="CESI仿宋-GB13000" w:hAnsi="CESI仿宋-GB13000" w:eastAsia="CESI仿宋-GB13000" w:cs="CESI仿宋-GB13000"/>
          <w:sz w:val="32"/>
          <w:szCs w:val="32"/>
          <w:lang w:val="en" w:eastAsia="zh-CN"/>
        </w:rPr>
        <w:t>0</w:t>
      </w:r>
      <w:r>
        <w:rPr>
          <w:rFonts w:hint="eastAsia" w:ascii="CESI仿宋-GB13000" w:hAnsi="CESI仿宋-GB13000" w:eastAsia="CESI仿宋-GB13000" w:cs="CESI仿宋-GB13000"/>
          <w:sz w:val="32"/>
          <w:szCs w:val="32"/>
          <w:lang w:val="en-US" w:eastAsia="zh-CN"/>
        </w:rPr>
        <w:t>万元，本年收入</w:t>
      </w:r>
      <w:r>
        <w:rPr>
          <w:rFonts w:hint="default" w:ascii="CESI仿宋-GB13000" w:hAnsi="CESI仿宋-GB13000" w:eastAsia="CESI仿宋-GB13000" w:cs="CESI仿宋-GB13000"/>
          <w:sz w:val="32"/>
          <w:szCs w:val="32"/>
          <w:lang w:val="en" w:eastAsia="zh-CN"/>
        </w:rPr>
        <w:t>3631.59</w:t>
      </w:r>
      <w:r>
        <w:rPr>
          <w:rFonts w:hint="eastAsia" w:ascii="CESI仿宋-GB13000" w:hAnsi="CESI仿宋-GB13000" w:eastAsia="CESI仿宋-GB13000" w:cs="CESI仿宋-GB13000"/>
          <w:sz w:val="32"/>
          <w:szCs w:val="32"/>
          <w:lang w:val="en-US" w:eastAsia="zh-CN"/>
        </w:rPr>
        <w:t>万元，本年支出</w:t>
      </w:r>
      <w:r>
        <w:rPr>
          <w:rFonts w:hint="default" w:ascii="CESI仿宋-GB13000" w:hAnsi="CESI仿宋-GB13000" w:eastAsia="CESI仿宋-GB13000" w:cs="CESI仿宋-GB13000"/>
          <w:sz w:val="32"/>
          <w:szCs w:val="32"/>
          <w:lang w:val="en" w:eastAsia="zh-CN"/>
        </w:rPr>
        <w:t>3631.59</w:t>
      </w:r>
      <w:r>
        <w:rPr>
          <w:rFonts w:hint="eastAsia" w:ascii="CESI仿宋-GB13000" w:hAnsi="CESI仿宋-GB13000" w:eastAsia="CESI仿宋-GB13000" w:cs="CESI仿宋-GB13000"/>
          <w:sz w:val="32"/>
          <w:szCs w:val="32"/>
          <w:lang w:val="en-US" w:eastAsia="zh-CN"/>
        </w:rPr>
        <w:t>万元，年末结转和结余</w:t>
      </w:r>
      <w:r>
        <w:rPr>
          <w:rFonts w:hint="default" w:ascii="CESI仿宋-GB13000" w:hAnsi="CESI仿宋-GB13000" w:eastAsia="CESI仿宋-GB13000" w:cs="CESI仿宋-GB13000"/>
          <w:sz w:val="32"/>
          <w:szCs w:val="32"/>
          <w:lang w:val="en" w:eastAsia="zh-CN"/>
        </w:rPr>
        <w:t>0</w:t>
      </w:r>
      <w:r>
        <w:rPr>
          <w:rFonts w:hint="eastAsia" w:ascii="CESI仿宋-GB13000" w:hAnsi="CESI仿宋-GB13000" w:eastAsia="CESI仿宋-GB13000" w:cs="CESI仿宋-GB13000"/>
          <w:sz w:val="32"/>
          <w:szCs w:val="32"/>
          <w:lang w:val="en-US" w:eastAsia="zh-CN"/>
        </w:rPr>
        <w:t>万元。具体支出情况为：</w:t>
      </w:r>
    </w:p>
    <w:p>
      <w:pPr>
        <w:ind w:firstLine="640"/>
        <w:jc w:val="both"/>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(一)城乡社区支出(类)。支出决算为3631.59万元，主要用于污水处理建设项目和轨道交通11号线二个项目政府专项债利息支出、葛华污水处理厂污水处理服务费及农村生活污水运维服务费等方面的支出。</w:t>
      </w:r>
    </w:p>
    <w:p>
      <w:pPr>
        <w:numPr>
          <w:ilvl w:val="0"/>
          <w:numId w:val="0"/>
        </w:numPr>
        <w:bidi w:val="0"/>
        <w:ind w:leftChars="200"/>
        <w:rPr>
          <w:rFonts w:hint="eastAsia" w:ascii="黑体" w:hAnsi="黑体" w:eastAsia="黑体" w:cs="黑体"/>
          <w:lang w:val="en-US" w:eastAsia="zh-CN"/>
        </w:rPr>
      </w:pPr>
      <w:r>
        <w:rPr>
          <w:rFonts w:hint="eastAsia" w:ascii="黑体" w:hAnsi="黑体" w:eastAsia="黑体" w:cs="黑体"/>
          <w:lang w:val="en-US" w:eastAsia="zh-CN"/>
        </w:rPr>
        <w:t>八、国有资本经营预算财政拨款支出决算情况说明</w:t>
      </w:r>
    </w:p>
    <w:p>
      <w:pPr>
        <w:ind w:firstLine="640"/>
        <w:jc w:val="both"/>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本单位当年无国有资本经营预算财政拨款支出。</w:t>
      </w:r>
    </w:p>
    <w:p>
      <w:pPr>
        <w:numPr>
          <w:ilvl w:val="0"/>
          <w:numId w:val="0"/>
        </w:numPr>
        <w:bidi w:val="0"/>
        <w:ind w:firstLine="640" w:firstLineChars="200"/>
        <w:rPr>
          <w:rFonts w:hint="eastAsia" w:ascii="黑体" w:hAnsi="黑体" w:eastAsia="黑体" w:cs="黑体"/>
          <w:lang w:val="en-US" w:eastAsia="zh-CN"/>
        </w:rPr>
      </w:pPr>
      <w:r>
        <w:rPr>
          <w:rFonts w:hint="eastAsia" w:ascii="黑体" w:hAnsi="黑体" w:eastAsia="黑体" w:cs="黑体"/>
          <w:lang w:val="en-US" w:eastAsia="zh-CN"/>
        </w:rPr>
        <w:t xml:space="preserve">九、财政拨款“三公”经费支出决算情况说明 </w:t>
      </w:r>
    </w:p>
    <w:p>
      <w:pPr>
        <w:numPr>
          <w:ilvl w:val="0"/>
          <w:numId w:val="0"/>
        </w:numPr>
        <w:bidi w:val="0"/>
        <w:ind w:left="640" w:leftChars="200" w:firstLine="0" w:firstLineChars="0"/>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（一）“三公”经费财政拨款支出决算总体情况说明。</w:t>
      </w:r>
    </w:p>
    <w:p>
      <w:pPr>
        <w:numPr>
          <w:ilvl w:val="0"/>
          <w:numId w:val="0"/>
        </w:numPr>
        <w:bidi w:val="0"/>
        <w:ind w:firstLine="640" w:firstLineChars="200"/>
        <w:rPr>
          <w:rFonts w:hint="eastAsia" w:ascii="仿宋_GB2312" w:hAnsi="仿宋_GB2312" w:eastAsia="仿宋_GB2312" w:cs="仿宋_GB2312"/>
          <w:lang w:val="en-US" w:eastAsia="zh-CN"/>
        </w:rPr>
      </w:pPr>
      <w:r>
        <w:rPr>
          <w:rFonts w:hint="eastAsia" w:ascii="CESI仿宋-GB13000" w:hAnsi="CESI仿宋-GB13000" w:eastAsia="CESI仿宋-GB13000" w:cs="CESI仿宋-GB13000"/>
          <w:sz w:val="32"/>
          <w:szCs w:val="32"/>
          <w:lang w:val="en-US" w:eastAsia="zh-CN"/>
        </w:rPr>
        <w:t>2023年度“三公”经费财政拨款支出全年预算为0万元，支出决算为0万元，决算数与预算数一致。决算数较上年</w:t>
      </w:r>
      <w:r>
        <w:rPr>
          <w:rFonts w:hint="default" w:ascii="CESI仿宋-GB13000" w:hAnsi="CESI仿宋-GB13000" w:eastAsia="CESI仿宋-GB13000" w:cs="CESI仿宋-GB13000"/>
          <w:sz w:val="32"/>
          <w:szCs w:val="32"/>
          <w:lang w:val="en-US" w:eastAsia="zh-CN"/>
        </w:rPr>
        <w:t>无增减</w:t>
      </w:r>
      <w:r>
        <w:rPr>
          <w:rFonts w:hint="eastAsia" w:ascii="CESI仿宋-GB13000" w:hAnsi="CESI仿宋-GB13000" w:eastAsia="CESI仿宋-GB13000" w:cs="CESI仿宋-GB13000"/>
          <w:sz w:val="32"/>
          <w:szCs w:val="32"/>
          <w:lang w:val="en-US" w:eastAsia="zh-CN"/>
        </w:rPr>
        <w:t>变化。</w:t>
      </w:r>
    </w:p>
    <w:p>
      <w:pPr>
        <w:numPr>
          <w:ilvl w:val="0"/>
          <w:numId w:val="0"/>
        </w:numPr>
        <w:bidi w:val="0"/>
        <w:ind w:leftChars="200"/>
        <w:rPr>
          <w:rFonts w:hint="eastAsia" w:ascii="CESI仿宋-GB13000" w:hAnsi="CESI仿宋-GB13000" w:eastAsia="CESI仿宋-GB13000" w:cs="CESI仿宋-GB13000"/>
          <w:lang w:val="en-US" w:eastAsia="zh-CN"/>
        </w:rPr>
      </w:pPr>
      <w:r>
        <w:rPr>
          <w:rFonts w:hint="eastAsia" w:ascii="CESI仿宋-GB13000" w:hAnsi="CESI仿宋-GB13000" w:eastAsia="CESI仿宋-GB13000" w:cs="CESI仿宋-GB13000"/>
          <w:lang w:val="en-US" w:eastAsia="zh-CN"/>
        </w:rPr>
        <w:t>（二）“三公”经费财政拨款支出决算具体情况说明。</w:t>
      </w:r>
    </w:p>
    <w:p>
      <w:pPr>
        <w:ind w:firstLine="640" w:firstLineChars="200"/>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1.因公出国(境)费全年预算为0万元，支出决算为0万元，决算数与预算数一致。决算数较上年无增减变化。</w:t>
      </w:r>
    </w:p>
    <w:p>
      <w:pPr>
        <w:ind w:firstLine="640" w:firstLineChars="200"/>
        <w:rPr>
          <w:rFonts w:hint="default"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全年支出涉及出国（境）团组0个，累计0人次。</w:t>
      </w:r>
    </w:p>
    <w:p>
      <w:pPr>
        <w:ind w:firstLine="640" w:firstLineChars="200"/>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2.公务用车购置及运行费全年预算为0万元，支出决算为0万元，决算数与预算数一致。决算数较上年无增减变化。其中：</w:t>
      </w:r>
    </w:p>
    <w:p>
      <w:pPr>
        <w:ind w:firstLine="640" w:firstLineChars="200"/>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(1)公务用车购置费支出0万元，本年度购置(更新)公务用车0辆。</w:t>
      </w:r>
    </w:p>
    <w:p>
      <w:pPr>
        <w:ind w:firstLine="640" w:firstLineChars="200"/>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(2)公务用车运行费支出0万元。截至2023年12月31日，开支财政拨款的公务用车保有量为2辆（待处理）。</w:t>
      </w:r>
    </w:p>
    <w:p>
      <w:pPr>
        <w:ind w:firstLine="640" w:firstLineChars="200"/>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3.公务接待费全年预算为0万元，支出决算为0万元，决算数与预算数一致，决算数较上年无增减变化。其中：</w:t>
      </w:r>
    </w:p>
    <w:p>
      <w:pPr>
        <w:ind w:firstLine="640" w:firstLineChars="200"/>
        <w:rPr>
          <w:rFonts w:hint="eastAsia"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外宾接待支出0万元。2023年共接待来访团组0个，0人次（不包括陪同人员）。</w:t>
      </w:r>
    </w:p>
    <w:p>
      <w:pPr>
        <w:ind w:firstLine="640" w:firstLineChars="200"/>
        <w:rPr>
          <w:rFonts w:hint="default" w:ascii="CESI仿宋-GB13000" w:hAnsi="CESI仿宋-GB13000" w:eastAsia="CESI仿宋-GB13000" w:cs="CESI仿宋-GB13000"/>
          <w:sz w:val="32"/>
          <w:szCs w:val="32"/>
          <w:lang w:val="en-US" w:eastAsia="zh-CN"/>
        </w:rPr>
      </w:pPr>
      <w:r>
        <w:rPr>
          <w:rFonts w:hint="eastAsia" w:ascii="CESI仿宋-GB13000" w:hAnsi="CESI仿宋-GB13000" w:eastAsia="CESI仿宋-GB13000" w:cs="CESI仿宋-GB13000"/>
          <w:sz w:val="32"/>
          <w:szCs w:val="32"/>
          <w:lang w:val="en-US" w:eastAsia="zh-CN"/>
        </w:rPr>
        <w:t>国内公务接待支出0万元。2023年共接待国内来访团组0个，0人次（不包括陪同人员）。</w:t>
      </w:r>
    </w:p>
    <w:p>
      <w:pPr>
        <w:numPr>
          <w:ilvl w:val="0"/>
          <w:numId w:val="0"/>
        </w:numPr>
        <w:bidi w:val="0"/>
        <w:ind w:leftChars="200"/>
        <w:rPr>
          <w:rFonts w:hint="eastAsia" w:ascii="黑体" w:hAnsi="黑体" w:eastAsia="黑体" w:cs="黑体"/>
          <w:lang w:val="en-US" w:eastAsia="zh-CN"/>
        </w:rPr>
      </w:pPr>
      <w:r>
        <w:rPr>
          <w:rFonts w:hint="eastAsia" w:ascii="黑体" w:hAnsi="黑体" w:eastAsia="黑体" w:cs="黑体"/>
          <w:lang w:val="en-US" w:eastAsia="zh-CN"/>
        </w:rPr>
        <w:t>十、机关运行经费支出说明</w:t>
      </w:r>
    </w:p>
    <w:p>
      <w:pPr>
        <w:pStyle w:val="8"/>
        <w:rPr>
          <w:rFonts w:hint="eastAsia" w:ascii="仿宋_GB2312" w:eastAsia="仿宋_GB2312"/>
          <w:szCs w:val="32"/>
        </w:rPr>
      </w:pPr>
      <w:r>
        <w:rPr>
          <w:rFonts w:hint="eastAsia" w:ascii="CESI仿宋-GB13000" w:hAnsi="CESI仿宋-GB13000" w:eastAsia="CESI仿宋-GB13000" w:cs="CESI仿宋-GB13000"/>
          <w:kern w:val="2"/>
          <w:sz w:val="32"/>
          <w:szCs w:val="32"/>
          <w:lang w:val="en-US" w:eastAsia="zh-CN" w:bidi="ar-SA"/>
        </w:rPr>
        <w:t>本单位2023年度机关运行经费支出30.21万元，比年初预算数减少8.79万元，降低22.5%。主要原因是：落实过紧日子要求压减办公用品购置、维修（护）费支出等。</w:t>
      </w:r>
    </w:p>
    <w:p>
      <w:pPr>
        <w:numPr>
          <w:ilvl w:val="0"/>
          <w:numId w:val="0"/>
        </w:numPr>
        <w:bidi w:val="0"/>
        <w:ind w:leftChars="200"/>
        <w:rPr>
          <w:rFonts w:hint="eastAsia" w:ascii="黑体" w:hAnsi="黑体" w:eastAsia="黑体" w:cs="黑体"/>
          <w:lang w:val="en-US" w:eastAsia="zh-CN"/>
        </w:rPr>
      </w:pPr>
      <w:r>
        <w:rPr>
          <w:rFonts w:hint="eastAsia" w:ascii="黑体" w:hAnsi="黑体" w:eastAsia="黑体" w:cs="黑体"/>
          <w:lang w:val="en-US" w:eastAsia="zh-CN"/>
        </w:rPr>
        <w:t>十一、政府采购支出说明</w:t>
      </w:r>
    </w:p>
    <w:p>
      <w:pPr>
        <w:numPr>
          <w:ilvl w:val="0"/>
          <w:numId w:val="0"/>
        </w:numPr>
        <w:bidi w:val="0"/>
        <w:ind w:firstLine="640" w:firstLineChars="200"/>
        <w:rPr>
          <w:rFonts w:hint="eastAsia" w:ascii="CESI仿宋-GB13000" w:hAnsi="CESI仿宋-GB13000" w:eastAsia="CESI仿宋-GB13000" w:cs="CESI仿宋-GB13000"/>
          <w:kern w:val="2"/>
          <w:sz w:val="32"/>
          <w:szCs w:val="32"/>
          <w:lang w:val="en-US" w:eastAsia="zh-CN" w:bidi="ar-SA"/>
        </w:rPr>
      </w:pPr>
      <w:r>
        <w:rPr>
          <w:rFonts w:hint="eastAsia" w:ascii="CESI仿宋-GB13000" w:hAnsi="CESI仿宋-GB13000" w:eastAsia="CESI仿宋-GB13000" w:cs="CESI仿宋-GB13000"/>
          <w:kern w:val="2"/>
          <w:sz w:val="32"/>
          <w:szCs w:val="32"/>
          <w:lang w:val="en-US" w:eastAsia="zh-CN" w:bidi="ar-SA"/>
        </w:rPr>
        <w:t>本部门2023年度政府采购支出总额132.54万元，其中：政府采购货物支出1.88万元、政府采购服务支出130.66万元。授予中小企业合同金额132.54万元，占政府采购支出总额的100%。</w:t>
      </w:r>
    </w:p>
    <w:p>
      <w:pPr>
        <w:numPr>
          <w:ilvl w:val="0"/>
          <w:numId w:val="0"/>
        </w:numPr>
        <w:bidi w:val="0"/>
        <w:ind w:leftChars="200"/>
        <w:rPr>
          <w:rFonts w:hint="eastAsia" w:ascii="黑体" w:hAnsi="黑体" w:eastAsia="黑体" w:cs="黑体"/>
          <w:lang w:val="en-US" w:eastAsia="zh-CN"/>
        </w:rPr>
      </w:pPr>
      <w:r>
        <w:rPr>
          <w:rFonts w:hint="eastAsia" w:ascii="黑体" w:hAnsi="黑体" w:eastAsia="黑体" w:cs="黑体"/>
          <w:lang w:val="en-US" w:eastAsia="zh-CN"/>
        </w:rPr>
        <w:t>十二、国有资产占用情况说明</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Cs w:val="32"/>
        </w:rPr>
      </w:pPr>
      <w:r>
        <w:rPr>
          <w:rFonts w:hint="eastAsia" w:ascii="CESI仿宋-GB13000" w:hAnsi="CESI仿宋-GB13000" w:eastAsia="CESI仿宋-GB13000" w:cs="CESI仿宋-GB13000"/>
          <w:sz w:val="32"/>
          <w:szCs w:val="32"/>
          <w:lang w:val="en-US" w:eastAsia="zh-CN"/>
        </w:rPr>
        <w:t>截止2023年12月31日，本单位固定资产账面1295139.64元，累计计提折旧852283.76元，账面净值442855.88元（其中：通用设备账面价值877311.9元，累计计提折旧483789.51元，账面净值393522.39元；家具用具账面价值58027.74元，累计计提折8694.25元，账面净值49333.49元；待处置车辆2台价值359800元，累计计提折旧359800元，账面净值0元）。无形资产计算机应用软件账面原值2200元，累计计提折旧130.95元，账面净值2069.05元。公共设施账面原值85991928.52元，累计计提折旧2456911.5元，账面净值83535017.02元。单位价值100万元以上设备0台。</w:t>
      </w:r>
    </w:p>
    <w:p>
      <w:pPr>
        <w:bidi w:val="0"/>
        <w:ind w:firstLine="640" w:firstLineChars="200"/>
        <w:rPr>
          <w:rFonts w:hint="eastAsia" w:ascii="黑体" w:hAnsi="黑体" w:eastAsia="黑体" w:cs="黑体"/>
          <w:lang w:val="en-US" w:eastAsia="zh-CN"/>
        </w:rPr>
      </w:pPr>
      <w:r>
        <w:rPr>
          <w:rFonts w:hint="eastAsia" w:ascii="黑体" w:hAnsi="黑体" w:eastAsia="黑体" w:cs="黑体"/>
          <w:lang w:val="en-US" w:eastAsia="zh-CN"/>
        </w:rPr>
        <w:t>十三、预算绩效情况说明</w:t>
      </w:r>
    </w:p>
    <w:p>
      <w:pPr>
        <w:bidi w:val="0"/>
        <w:ind w:firstLine="640" w:firstLineChars="200"/>
        <w:rPr>
          <w:rFonts w:hint="eastAsia" w:ascii="CESI仿宋-GB13000" w:hAnsi="CESI仿宋-GB13000" w:eastAsia="CESI仿宋-GB13000" w:cs="CESI仿宋-GB13000"/>
          <w:lang w:eastAsia="zh-CN"/>
        </w:rPr>
      </w:pPr>
      <w:r>
        <w:rPr>
          <w:rFonts w:hint="eastAsia" w:ascii="CESI仿宋-GB13000" w:hAnsi="CESI仿宋-GB13000" w:eastAsia="CESI仿宋-GB13000" w:cs="CESI仿宋-GB13000"/>
          <w:lang w:val="en-US" w:eastAsia="zh-CN"/>
        </w:rPr>
        <w:t>(一)</w:t>
      </w:r>
      <w:r>
        <w:rPr>
          <w:rFonts w:hint="eastAsia" w:ascii="CESI仿宋-GB13000" w:hAnsi="CESI仿宋-GB13000" w:eastAsia="CESI仿宋-GB13000" w:cs="CESI仿宋-GB13000"/>
        </w:rPr>
        <w:t>预算绩效管理工作开展情况</w:t>
      </w:r>
      <w:r>
        <w:rPr>
          <w:rFonts w:hint="eastAsia" w:ascii="CESI仿宋-GB13000" w:hAnsi="CESI仿宋-GB13000" w:eastAsia="CESI仿宋-GB13000" w:cs="CESI仿宋-GB13000"/>
          <w:lang w:eastAsia="zh-CN"/>
        </w:rPr>
        <w:t>。</w:t>
      </w:r>
    </w:p>
    <w:p>
      <w:pPr>
        <w:bidi w:val="0"/>
        <w:ind w:firstLine="640" w:firstLineChars="200"/>
        <w:rPr>
          <w:rFonts w:hint="eastAsia" w:ascii="仿宋_GB2312" w:hAnsi="仿宋" w:eastAsia="仿宋_GB2312" w:cs="仿宋"/>
          <w:szCs w:val="32"/>
        </w:rPr>
      </w:pPr>
      <w:r>
        <w:rPr>
          <w:rFonts w:hint="eastAsia" w:ascii="CESI仿宋-GB13000" w:hAnsi="CESI仿宋-GB13000" w:eastAsia="CESI仿宋-GB13000" w:cs="CESI仿宋-GB13000"/>
          <w:sz w:val="32"/>
          <w:szCs w:val="32"/>
          <w:lang w:val="en-US" w:eastAsia="zh-CN"/>
        </w:rPr>
        <w:t>根据预算绩效管理要求，本部门组织对2023年度一般公共预算项目支出全面开展绩效自评，共涉及项目18个，资金7,064.15万元。</w:t>
      </w:r>
      <w:r>
        <w:rPr>
          <w:rFonts w:hint="eastAsia" w:ascii="CESI仿宋-GB13000" w:hAnsi="CESI仿宋-GB13000" w:eastAsia="CESI仿宋-GB13000" w:cs="CESI仿宋-GB13000"/>
          <w:sz w:val="32"/>
          <w:szCs w:val="32"/>
        </w:rPr>
        <w:t>从评价情况来看，</w:t>
      </w:r>
      <w:r>
        <w:rPr>
          <w:rFonts w:hint="eastAsia" w:ascii="CESI仿宋-GB13000" w:hAnsi="CESI仿宋-GB13000" w:eastAsia="CESI仿宋-GB13000" w:cs="CESI仿宋-GB13000"/>
          <w:sz w:val="32"/>
          <w:szCs w:val="32"/>
          <w:lang w:val="en-US" w:eastAsia="zh-CN"/>
        </w:rPr>
        <w:t>项目管理比较规范，资金到位及时，整体发挥社会效益明显，较好地完成了绩效目标。</w:t>
      </w:r>
    </w:p>
    <w:p>
      <w:pPr>
        <w:pStyle w:val="8"/>
        <w:rPr>
          <w:rFonts w:hint="eastAsia" w:ascii="CESI仿宋-GB13000" w:hAnsi="CESI仿宋-GB13000" w:eastAsia="CESI仿宋-GB13000" w:cs="CESI仿宋-GB13000"/>
          <w:sz w:val="32"/>
          <w:szCs w:val="32"/>
          <w:lang w:eastAsia="zh-CN"/>
        </w:rPr>
      </w:pPr>
      <w:r>
        <w:rPr>
          <w:rFonts w:hint="eastAsia" w:ascii="CESI仿宋-GB13000" w:hAnsi="CESI仿宋-GB13000" w:eastAsia="CESI仿宋-GB13000" w:cs="CESI仿宋-GB13000"/>
          <w:sz w:val="32"/>
          <w:szCs w:val="32"/>
          <w:lang w:val="en-US" w:eastAsia="zh-CN"/>
        </w:rPr>
        <w:t>（二）</w:t>
      </w:r>
      <w:r>
        <w:rPr>
          <w:rFonts w:hint="eastAsia" w:ascii="CESI仿宋-GB13000" w:hAnsi="CESI仿宋-GB13000" w:eastAsia="CESI仿宋-GB13000" w:cs="CESI仿宋-GB13000"/>
          <w:sz w:val="32"/>
          <w:szCs w:val="32"/>
          <w:lang w:eastAsia="zh-CN"/>
        </w:rPr>
        <w:t>部门决算中项目绩效自评结果。</w:t>
      </w:r>
    </w:p>
    <w:p>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本部门今年在部门决算中反映所有项目绩效自评结果（涉密项目除外）。</w:t>
      </w:r>
    </w:p>
    <w:p>
      <w:pPr>
        <w:spacing w:line="560" w:lineRule="exact"/>
        <w:ind w:firstLine="640"/>
        <w:rPr>
          <w:rFonts w:hint="default"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1.自建房安全鉴定费项目绩效自评综述：项目全年预算数为39.5万元，执行数为39.5万元，完成预算100％。主要产出和效益：有效保障自建房安全及降低自建房安全事故发生率。</w:t>
      </w:r>
    </w:p>
    <w:p>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2.葛华污水处理厂污泥应急处置服务项目绩效自评综述：项目全年预算数为168万元，执行数为92.11万元，完成预算54.83％。主要产出和效益：减少污泥污染，优化生态环境。</w:t>
      </w:r>
    </w:p>
    <w:p>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3.房产工作运转经费项目绩效自评综述：项目全年预算数为326.39万元，执行数为305.02万元万元，完成预算93.45%。主要产出和效益：做好全区公共租赁住房的运营指导和配后管理及低收入家庭住房租赁补贴资格审查、申报、公示和协助发放，维护人民群众的合法权益和社会稳定。</w:t>
      </w:r>
    </w:p>
    <w:p>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4.供排水有限公司泵站运营管理项目绩效自评综述：项目全年预算数为2533.85万元万元，执行数为2533.85万元万元，完成预算100％。主要产出和效益：用于保障10座泵站的正常运行及设备维修保养及清淤。</w:t>
      </w:r>
    </w:p>
    <w:p>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5.质监站工作经费项目绩效自评综述：项目全年预算数为209.30万元万元，执行数为207.15万元万元，完成预算98.97%。主要产出和效益：提高建筑工程质量，</w:t>
      </w:r>
      <w:r>
        <w:rPr>
          <w:rFonts w:hint="default"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改善建筑工程环境</w:t>
      </w: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，力争</w:t>
      </w:r>
      <w:r>
        <w:rPr>
          <w:rFonts w:hint="default"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事故发生率</w:t>
      </w: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为零。</w:t>
      </w:r>
    </w:p>
    <w:p>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6.农村公路养护资金项目绩效自评综述：项目全年预算数为39.30万元万元，执行数为33.56万元万元，完成预算85.39%。主要产出和效益：用于一般公路建设和省级危桥改造补助及农村公路县道、乡道的养护。有效解决了农村公路养护问题，保障群众的安全出行。</w:t>
      </w:r>
    </w:p>
    <w:p>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7.城镇保障性安居工程住房租赁补贴项目绩效自评综述：项目全年预算数为0.71万元，执行数为0.28万元，完成预算39.44%。主要产出和效益：对2户低收入家庭租赁住房进行补贴，确保低收入家庭住房有保障。</w:t>
      </w:r>
    </w:p>
    <w:p>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8.“红黑榜”考核评价项目绩效自评综述：项目全年预算数为40.00万元，执行数为38.55万元，完成预算96.38%。主要产出和效益：维护建筑市场秩序，健全建筑市场信用体系，确保质量安全。</w:t>
      </w:r>
    </w:p>
    <w:p>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9.保障性住房租金评估和收购房源价格评估经费项目绩效自评综述：项目全年预算数为32.20万元，执行数为32.20万元，完成预算100%。主要产出和效益：确保保障性住房租金合理，有效保障保障性住房房源。</w:t>
      </w:r>
    </w:p>
    <w:p>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10.消防设计审查专项费用项目绩效自评综述：项目全年预算数为4.30万元，执行数为4.30万元，完成预算100%。主要产出和效益：</w:t>
      </w:r>
      <w:r>
        <w:rPr>
          <w:rFonts w:hint="default"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消除消防隐患</w:t>
      </w: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w:t>
      </w:r>
      <w:r>
        <w:rPr>
          <w:rFonts w:hint="default"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保障居民生命财产安全</w:t>
      </w: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w:t>
      </w:r>
    </w:p>
    <w:p>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11.电厂农贸市经营补偿费项目绩效自评综述：项目全年预算数为40万元，执行数为40万元，完成预算100％。主要产出和效益：解决葛店开发区电厂周边乱摆地摊、菜摊，沿街为市的乱象，消除岱庙市场的消防安全隐患，切实为居民提供舒适清洁卫生的商贸环境。</w:t>
      </w:r>
    </w:p>
    <w:p>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12.拆迁办工作经费项目绩效自评综述：项目全年预算数为2.50万元，执行数为2.24万元，完成预算89.60%。主要产出和效益：用于支付租用宿舍的房租和水电费，提高工作人员的工作效率和生活质量。</w:t>
      </w:r>
    </w:p>
    <w:p>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13.房票购房奖励资金项目绩效自评综述：项目全年预算数为4.42万元，执行数为4.42万元，完成预算100%。主要产出和效益：完善房屋征收补偿方式，促进房屋征收市场化安置，缩短安置过渡期限，保障被征收人的合法权益。</w:t>
      </w:r>
    </w:p>
    <w:p>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14.房屋建筑、市政道路、农村公路普查费项目绩效自评综述：项目全年预算数为191.49万元，执行数为191.49万元，完成预算100％。主要产出和效益：完成建筑工程年度安全大检查，督促企业安全隐患及时整改，力争全年无安全事故；简易化质量、安全监督手续办理，将监管工作实行网络数据化，切实改善营商环境。</w:t>
      </w:r>
    </w:p>
    <w:p>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15.葛华污水处理厂污泥处置服务项目绩效自评综述：项目全年预算数为121万元，执行数为0万元，完成预算0%。因2023年年末污泥处置量未确定，</w:t>
      </w:r>
      <w:bookmarkStart w:id="0" w:name="_GoBack"/>
      <w:bookmarkEnd w:id="0"/>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该笔款项暂未支付。</w:t>
      </w:r>
    </w:p>
    <w:p>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16.热力管网规划编制费项目绩效自评综述：项目全年预算数为41.79万元，执行数为0万元，完成预算0%。因规划文本还需修改，该款项延期支付。</w:t>
      </w:r>
    </w:p>
    <w:p>
      <w:pPr>
        <w:spacing w:line="560" w:lineRule="exact"/>
        <w:ind w:firstLine="640"/>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17.污水处理费及农村生活污水处理设施运行维护费项目绩效自评综述：项目全年预算数为719.24万元，执行数为719.24万元，完成预算100％。主要产出和效益：确保农村污水处理设施及污水官网正常运营，实现农村污水全收集全处理，及时消除安全隐患，保障居民舒适清洁卫生的生活环境。</w:t>
      </w:r>
    </w:p>
    <w:p>
      <w:pPr>
        <w:spacing w:line="560" w:lineRule="exact"/>
        <w:ind w:firstLine="640"/>
        <w:rPr>
          <w:rFonts w:hint="default"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pP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18.专项债利息和发行费项目绩效自评综述：项目全年预算数为2820.24万元，执行数为2820.24万元，完成预算100%。主要产出和效益：改善交通出行，实现发债目标</w:t>
      </w:r>
      <w:r>
        <w:rPr>
          <w:rFonts w:hint="default"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武鄂同城一体化</w:t>
      </w:r>
      <w:r>
        <w:rPr>
          <w:rFonts w:hint="eastAsia" w:ascii="CESI仿宋-GB13000" w:hAnsi="CESI仿宋-GB13000" w:eastAsia="CESI仿宋-GB13000" w:cs="CESI仿宋-GB13000"/>
          <w:i w:val="0"/>
          <w:caps w:val="0"/>
          <w:color w:val="000000" w:themeColor="text1"/>
          <w:spacing w:val="0"/>
          <w:kern w:val="0"/>
          <w:sz w:val="32"/>
          <w:szCs w:val="32"/>
          <w:shd w:val="clear" w:color="auto" w:fill="auto"/>
          <w:lang w:val="en-US" w:eastAsia="zh-CN" w:bidi="ar"/>
          <w14:textFill>
            <w14:solidFill>
              <w14:schemeClr w14:val="tx1"/>
            </w14:solidFill>
          </w14:textFill>
        </w:rPr>
        <w:t>。</w:t>
      </w:r>
    </w:p>
    <w:p>
      <w:pPr>
        <w:spacing w:line="560" w:lineRule="exact"/>
        <w:ind w:firstLine="640"/>
        <w:rPr>
          <w:rFonts w:hint="eastAsia" w:ascii="CESI仿宋-GB13000" w:hAnsi="CESI仿宋-GB13000" w:eastAsia="CESI仿宋-GB13000" w:cs="CESI仿宋-GB13000"/>
          <w:bCs/>
          <w:sz w:val="32"/>
          <w:szCs w:val="32"/>
          <w:lang w:eastAsia="zh-CN"/>
        </w:rPr>
      </w:pPr>
      <w:r>
        <w:rPr>
          <w:rFonts w:hint="eastAsia" w:ascii="CESI仿宋-GB13000" w:hAnsi="CESI仿宋-GB13000" w:eastAsia="CESI仿宋-GB13000" w:cs="CESI仿宋-GB13000"/>
          <w:sz w:val="32"/>
          <w:szCs w:val="32"/>
          <w:lang w:val="en-US" w:eastAsia="zh-CN"/>
        </w:rPr>
        <w:t>（三）</w:t>
      </w:r>
      <w:r>
        <w:rPr>
          <w:rFonts w:hint="eastAsia" w:ascii="CESI仿宋-GB13000" w:hAnsi="CESI仿宋-GB13000" w:eastAsia="CESI仿宋-GB13000" w:cs="CESI仿宋-GB13000"/>
          <w:bCs/>
          <w:sz w:val="32"/>
          <w:szCs w:val="32"/>
        </w:rPr>
        <w:t>绩效评价结果应用情况</w:t>
      </w:r>
      <w:r>
        <w:rPr>
          <w:rFonts w:hint="eastAsia" w:ascii="CESI仿宋-GB13000" w:hAnsi="CESI仿宋-GB13000" w:eastAsia="CESI仿宋-GB13000" w:cs="CESI仿宋-GB13000"/>
          <w:bCs/>
          <w:sz w:val="32"/>
          <w:szCs w:val="32"/>
          <w:lang w:eastAsia="zh-CN"/>
        </w:rPr>
        <w:t>。</w:t>
      </w:r>
    </w:p>
    <w:p>
      <w:pPr>
        <w:ind w:firstLine="640" w:firstLineChars="200"/>
        <w:rPr>
          <w:rFonts w:hint="eastAsia" w:ascii="CESI仿宋-GB13000" w:hAnsi="CESI仿宋-GB13000" w:eastAsia="CESI仿宋-GB13000" w:cs="CESI仿宋-GB13000"/>
          <w:color w:val="FF0000"/>
          <w:sz w:val="32"/>
          <w:szCs w:val="32"/>
          <w:lang w:val="en-US" w:eastAsia="zh-CN"/>
        </w:rPr>
      </w:pPr>
      <w:r>
        <w:rPr>
          <w:rFonts w:hint="eastAsia" w:ascii="CESI仿宋-GB13000" w:hAnsi="CESI仿宋-GB13000" w:eastAsia="CESI仿宋-GB13000" w:cs="CESI仿宋-GB13000"/>
          <w:sz w:val="32"/>
          <w:szCs w:val="32"/>
        </w:rPr>
        <w:t>部门绩效评价结果应用情况。</w:t>
      </w:r>
      <w:r>
        <w:rPr>
          <w:rFonts w:hint="eastAsia" w:ascii="CESI仿宋-GB13000" w:hAnsi="CESI仿宋-GB13000" w:eastAsia="CESI仿宋-GB13000" w:cs="CESI仿宋-GB13000"/>
          <w:i w:val="0"/>
          <w:caps w:val="0"/>
          <w:color w:val="auto"/>
          <w:spacing w:val="0"/>
          <w:kern w:val="0"/>
          <w:sz w:val="32"/>
          <w:szCs w:val="32"/>
          <w:shd w:val="clear" w:color="auto" w:fill="auto"/>
          <w:lang w:val="en-US" w:eastAsia="zh-CN" w:bidi="ar"/>
        </w:rPr>
        <w:t>根据2023年绩效评价的结果，</w:t>
      </w:r>
      <w:r>
        <w:rPr>
          <w:rFonts w:hint="eastAsia" w:ascii="CESI仿宋-GB13000" w:hAnsi="CESI仿宋-GB13000" w:eastAsia="CESI仿宋-GB13000" w:cs="CESI仿宋-GB13000"/>
          <w:sz w:val="32"/>
          <w:szCs w:val="32"/>
        </w:rPr>
        <w:t>至部门决算公开时已经应</w:t>
      </w:r>
      <w:r>
        <w:rPr>
          <w:rFonts w:hint="eastAsia" w:ascii="CESI仿宋-GB13000" w:hAnsi="CESI仿宋-GB13000" w:eastAsia="CESI仿宋-GB13000" w:cs="CESI仿宋-GB13000"/>
          <w:color w:val="000000" w:themeColor="text1"/>
          <w:sz w:val="32"/>
          <w:szCs w:val="32"/>
          <w14:textFill>
            <w14:solidFill>
              <w14:schemeClr w14:val="tx1"/>
            </w14:solidFill>
          </w14:textFill>
        </w:rPr>
        <w:t>用的情况</w:t>
      </w:r>
      <w:r>
        <w:rPr>
          <w:rFonts w:hint="eastAsia" w:ascii="CESI仿宋-GB13000" w:hAnsi="CESI仿宋-GB13000" w:eastAsia="CESI仿宋-GB13000" w:cs="CESI仿宋-GB13000"/>
          <w:color w:val="000000" w:themeColor="text1"/>
          <w:sz w:val="32"/>
          <w:szCs w:val="32"/>
          <w:lang w:eastAsia="zh-CN"/>
          <w14:textFill>
            <w14:solidFill>
              <w14:schemeClr w14:val="tx1"/>
            </w14:solidFill>
          </w14:textFill>
        </w:rPr>
        <w:t>：</w:t>
      </w:r>
      <w:r>
        <w:rPr>
          <w:rFonts w:hint="eastAsia" w:ascii="CESI仿宋-GB13000" w:hAnsi="CESI仿宋-GB13000" w:eastAsia="CESI仿宋-GB13000" w:cs="CESI仿宋-GB13000"/>
          <w:sz w:val="32"/>
          <w:szCs w:val="32"/>
          <w:lang w:eastAsia="zh-CN"/>
        </w:rPr>
        <w:t>结合预算安排综合分析绩效评价结果，加强项目规划、绩效目标管理、完善项目分配办法和管理办法，为以后年度合理的预测项目绩效目标提供依据。</w:t>
      </w:r>
    </w:p>
    <w:p>
      <w:pPr>
        <w:spacing w:line="560" w:lineRule="exact"/>
        <w:ind w:firstLine="640"/>
        <w:rPr>
          <w:rFonts w:hint="eastAsia" w:ascii="仿宋_GB2312" w:hAnsi="仿宋" w:eastAsia="仿宋_GB2312" w:cs="仿宋"/>
          <w:color w:val="FF0000"/>
          <w:sz w:val="32"/>
          <w:szCs w:val="32"/>
        </w:rPr>
      </w:pPr>
      <w:r>
        <w:rPr>
          <w:rFonts w:hint="eastAsia" w:ascii="CESI仿宋-GB13000" w:hAnsi="CESI仿宋-GB13000" w:eastAsia="CESI仿宋-GB13000" w:cs="CESI仿宋-GB13000"/>
          <w:sz w:val="32"/>
          <w:szCs w:val="32"/>
        </w:rPr>
        <w:t>部门绩效评价结果拟应用情况。</w:t>
      </w:r>
      <w:r>
        <w:rPr>
          <w:rFonts w:hint="eastAsia" w:ascii="CESI仿宋-GB13000" w:hAnsi="CESI仿宋-GB13000" w:eastAsia="CESI仿宋-GB13000" w:cs="CESI仿宋-GB13000"/>
          <w:i w:val="0"/>
          <w:caps w:val="0"/>
          <w:color w:val="auto"/>
          <w:spacing w:val="0"/>
          <w:kern w:val="0"/>
          <w:sz w:val="32"/>
          <w:szCs w:val="32"/>
          <w:shd w:val="clear" w:color="auto" w:fill="auto"/>
          <w:lang w:val="en-US" w:eastAsia="zh-CN" w:bidi="ar"/>
        </w:rPr>
        <w:t>根据2023年绩效评价的结果，</w:t>
      </w:r>
      <w:r>
        <w:rPr>
          <w:rFonts w:hint="eastAsia" w:ascii="CESI仿宋-GB13000" w:hAnsi="CESI仿宋-GB13000" w:eastAsia="CESI仿宋-GB13000" w:cs="CESI仿宋-GB13000"/>
          <w:sz w:val="32"/>
          <w:szCs w:val="32"/>
        </w:rPr>
        <w:t>至部门决算公开时还未应用但拟</w:t>
      </w:r>
      <w:r>
        <w:rPr>
          <w:rFonts w:hint="eastAsia" w:ascii="CESI仿宋-GB13000" w:hAnsi="CESI仿宋-GB13000" w:eastAsia="CESI仿宋-GB13000" w:cs="CESI仿宋-GB13000"/>
          <w:color w:val="000000" w:themeColor="text1"/>
          <w:sz w:val="32"/>
          <w:szCs w:val="32"/>
          <w14:textFill>
            <w14:solidFill>
              <w14:schemeClr w14:val="tx1"/>
            </w14:solidFill>
          </w14:textFill>
        </w:rPr>
        <w:t>应用的情况</w:t>
      </w:r>
      <w:r>
        <w:rPr>
          <w:rFonts w:hint="eastAsia" w:ascii="CESI仿宋-GB13000" w:hAnsi="CESI仿宋-GB13000" w:eastAsia="CESI仿宋-GB13000" w:cs="CESI仿宋-GB13000"/>
          <w:sz w:val="32"/>
          <w:szCs w:val="32"/>
          <w:lang w:eastAsia="zh-CN"/>
        </w:rPr>
        <w:t>：强化绩效评价结果与预算安排相结合，将2023年度绩效自评结果作为2024年项目预算调整和资金安排的重要依据，增强预算编制的科学性、前瞻性和准确性，进一步提高预算绩效水平和项目实施质量。</w:t>
      </w:r>
    </w:p>
    <w:p>
      <w:pPr>
        <w:bidi w:val="0"/>
        <w:ind w:firstLine="640" w:firstLineChars="200"/>
        <w:rPr>
          <w:rFonts w:hint="eastAsia" w:ascii="黑体" w:hAnsi="黑体" w:eastAsia="黑体" w:cs="黑体"/>
          <w:lang w:val="en-US" w:eastAsia="zh-CN"/>
        </w:rPr>
      </w:pPr>
      <w:r>
        <w:rPr>
          <w:rFonts w:hint="eastAsia" w:ascii="黑体" w:hAnsi="黑体" w:eastAsia="黑体" w:cs="黑体"/>
          <w:lang w:val="en-US" w:eastAsia="zh-CN"/>
        </w:rPr>
        <w:t>十四、专项支出、转移支付支出情况说明</w:t>
      </w:r>
    </w:p>
    <w:p>
      <w:pPr>
        <w:spacing w:line="560" w:lineRule="exact"/>
        <w:ind w:firstLine="640"/>
        <w:rPr>
          <w:rFonts w:hint="eastAsia" w:ascii="CESI仿宋-GB13000" w:hAnsi="CESI仿宋-GB13000" w:eastAsia="CESI仿宋-GB13000" w:cs="CESI仿宋-GB13000"/>
          <w:sz w:val="10"/>
          <w:szCs w:val="10"/>
          <w:lang w:val="en-US" w:eastAsia="zh-CN"/>
        </w:rPr>
      </w:pPr>
      <w:r>
        <w:rPr>
          <w:rFonts w:hint="eastAsia" w:ascii="CESI仿宋-GB13000" w:hAnsi="CESI仿宋-GB13000" w:eastAsia="CESI仿宋-GB13000" w:cs="CESI仿宋-GB13000"/>
          <w:sz w:val="32"/>
          <w:szCs w:val="32"/>
          <w:lang w:val="en-US" w:eastAsia="zh-CN"/>
        </w:rPr>
        <w:t>本单位无专项支出、转移支付支出。</w:t>
      </w:r>
    </w:p>
    <w:p>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CESI小标宋-GB13000" w:hAnsi="CESI小标宋-GB13000" w:eastAsia="CESI小标宋-GB13000" w:cs="CESI小标宋-GB13000"/>
          <w:sz w:val="32"/>
          <w:szCs w:val="32"/>
          <w:lang w:val="en-US" w:eastAsia="zh-CN"/>
        </w:rPr>
      </w:pPr>
      <w:r>
        <w:rPr>
          <w:rFonts w:hint="eastAsia" w:ascii="CESI小标宋-GB13000" w:hAnsi="CESI小标宋-GB13000" w:eastAsia="CESI小标宋-GB13000" w:cs="CESI小标宋-GB13000"/>
          <w:sz w:val="32"/>
          <w:szCs w:val="32"/>
          <w:lang w:val="en-US" w:eastAsia="zh-CN"/>
        </w:rPr>
        <w:t>第四部分  其他需要说明的情况</w:t>
      </w:r>
    </w:p>
    <w:p>
      <w:pPr>
        <w:keepNext w:val="0"/>
        <w:keepLines w:val="0"/>
        <w:pageBreakBefore w:val="0"/>
        <w:widowControl w:val="0"/>
        <w:kinsoku/>
        <w:wordWrap/>
        <w:overflowPunct/>
        <w:topLinePunct w:val="0"/>
        <w:autoSpaceDE/>
        <w:autoSpaceDN/>
        <w:bidi w:val="0"/>
        <w:adjustRightInd/>
        <w:snapToGrid/>
        <w:spacing w:line="700" w:lineRule="exact"/>
        <w:ind w:firstLine="640"/>
        <w:textAlignment w:val="auto"/>
        <w:rPr>
          <w:rFonts w:hint="eastAsia" w:ascii="黑体" w:hAnsi="黑体" w:eastAsia="黑体" w:cs="黑体"/>
          <w:sz w:val="32"/>
          <w:szCs w:val="32"/>
          <w:lang w:val="en-US" w:eastAsia="zh-CN"/>
        </w:rPr>
      </w:pPr>
      <w:r>
        <w:rPr>
          <w:rFonts w:hint="eastAsia" w:ascii="CESI仿宋-GB13000" w:hAnsi="CESI仿宋-GB13000" w:eastAsia="CESI仿宋-GB13000" w:cs="CESI仿宋-GB13000"/>
          <w:sz w:val="32"/>
          <w:szCs w:val="32"/>
          <w:lang w:val="en-US" w:eastAsia="zh-CN"/>
        </w:rPr>
        <w:t>本单位无其他需要说明的情况</w:t>
      </w:r>
    </w:p>
    <w:p>
      <w:pPr>
        <w:keepNext w:val="0"/>
        <w:keepLines w:val="0"/>
        <w:pageBreakBefore w:val="0"/>
        <w:widowControl w:val="0"/>
        <w:numPr>
          <w:ilvl w:val="0"/>
          <w:numId w:val="0"/>
        </w:numPr>
        <w:kinsoku/>
        <w:wordWrap/>
        <w:overflowPunct/>
        <w:topLinePunct w:val="0"/>
        <w:autoSpaceDE/>
        <w:autoSpaceDN/>
        <w:bidi w:val="0"/>
        <w:adjustRightInd/>
        <w:snapToGrid/>
        <w:spacing w:line="700" w:lineRule="exact"/>
        <w:jc w:val="center"/>
        <w:textAlignment w:val="auto"/>
        <w:rPr>
          <w:rFonts w:hint="eastAsia" w:ascii="CESI小标宋-GB13000" w:hAnsi="CESI小标宋-GB13000" w:eastAsia="CESI小标宋-GB13000" w:cs="CESI小标宋-GB13000"/>
          <w:sz w:val="32"/>
          <w:szCs w:val="32"/>
          <w:lang w:val="en-US" w:eastAsia="zh-CN"/>
        </w:rPr>
      </w:pPr>
      <w:r>
        <w:rPr>
          <w:rFonts w:hint="eastAsia" w:ascii="CESI小标宋-GB13000" w:hAnsi="CESI小标宋-GB13000" w:eastAsia="CESI小标宋-GB13000" w:cs="CESI小标宋-GB13000"/>
          <w:sz w:val="32"/>
          <w:szCs w:val="32"/>
          <w:lang w:val="en-US" w:eastAsia="zh-CN"/>
        </w:rPr>
        <w:t>第五部分  名词解释</w:t>
      </w:r>
    </w:p>
    <w:p>
      <w:pPr>
        <w:spacing w:line="560" w:lineRule="exact"/>
        <w:ind w:firstLine="640"/>
        <w:rPr>
          <w:rFonts w:hint="eastAsia" w:ascii="CESI仿宋-GB13000" w:hAnsi="CESI仿宋-GB13000" w:eastAsia="CESI仿宋-GB13000" w:cs="CESI仿宋-GB13000"/>
          <w:bCs/>
          <w:kern w:val="44"/>
          <w:sz w:val="32"/>
          <w:szCs w:val="32"/>
          <w:highlight w:val="none"/>
          <w:lang w:eastAsia="zh-CN"/>
        </w:rPr>
      </w:pPr>
      <w:r>
        <w:rPr>
          <w:rFonts w:hint="eastAsia" w:ascii="CESI仿宋-GB13000" w:hAnsi="CESI仿宋-GB13000" w:eastAsia="CESI仿宋-GB13000" w:cs="CESI仿宋-GB13000"/>
          <w:sz w:val="32"/>
          <w:szCs w:val="32"/>
        </w:rPr>
        <w:t>(一)一般公共预算财政拨款收入：指</w:t>
      </w:r>
      <w:r>
        <w:rPr>
          <w:rFonts w:hint="eastAsia" w:ascii="CESI仿宋-GB13000" w:hAnsi="CESI仿宋-GB13000" w:eastAsia="CESI仿宋-GB13000" w:cs="CESI仿宋-GB13000"/>
          <w:sz w:val="32"/>
          <w:szCs w:val="32"/>
          <w:lang w:eastAsia="zh-CN"/>
        </w:rPr>
        <w:t>省</w:t>
      </w:r>
      <w:r>
        <w:rPr>
          <w:rFonts w:hint="eastAsia" w:ascii="CESI仿宋-GB13000" w:hAnsi="CESI仿宋-GB13000" w:eastAsia="CESI仿宋-GB13000" w:cs="CESI仿宋-GB13000"/>
          <w:bCs/>
          <w:kern w:val="44"/>
          <w:sz w:val="32"/>
          <w:szCs w:val="32"/>
          <w:highlight w:val="none"/>
          <w:lang w:eastAsia="zh-CN"/>
        </w:rPr>
        <w:t>级</w:t>
      </w:r>
      <w:r>
        <w:rPr>
          <w:rFonts w:hint="eastAsia" w:ascii="CESI仿宋-GB13000" w:hAnsi="CESI仿宋-GB13000" w:eastAsia="CESI仿宋-GB13000" w:cs="CESI仿宋-GB13000"/>
          <w:bCs/>
          <w:kern w:val="44"/>
          <w:sz w:val="32"/>
          <w:szCs w:val="32"/>
          <w:highlight w:val="none"/>
        </w:rPr>
        <w:t>财政一般公共预算当年拨付的</w:t>
      </w:r>
      <w:r>
        <w:rPr>
          <w:rFonts w:hint="eastAsia" w:ascii="CESI仿宋-GB13000" w:hAnsi="CESI仿宋-GB13000" w:eastAsia="CESI仿宋-GB13000" w:cs="CESI仿宋-GB13000"/>
          <w:bCs/>
          <w:kern w:val="44"/>
          <w:sz w:val="32"/>
          <w:szCs w:val="32"/>
          <w:highlight w:val="none"/>
          <w:lang w:eastAsia="zh-CN"/>
        </w:rPr>
        <w:t>资金。</w:t>
      </w:r>
    </w:p>
    <w:p>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none"/>
        </w:rPr>
      </w:pPr>
      <w:r>
        <w:rPr>
          <w:rFonts w:hint="eastAsia" w:ascii="CESI仿宋-GB13000" w:hAnsi="CESI仿宋-GB13000" w:eastAsia="CESI仿宋-GB13000" w:cs="CESI仿宋-GB13000"/>
          <w:bCs/>
          <w:kern w:val="44"/>
          <w:sz w:val="32"/>
          <w:szCs w:val="32"/>
          <w:highlight w:val="none"/>
        </w:rPr>
        <w:t>(</w:t>
      </w:r>
      <w:r>
        <w:rPr>
          <w:rFonts w:hint="eastAsia" w:ascii="CESI仿宋-GB13000" w:hAnsi="CESI仿宋-GB13000" w:eastAsia="CESI仿宋-GB13000" w:cs="CESI仿宋-GB13000"/>
          <w:bCs/>
          <w:kern w:val="44"/>
          <w:sz w:val="32"/>
          <w:szCs w:val="32"/>
          <w:highlight w:val="none"/>
          <w:lang w:eastAsia="zh-CN"/>
        </w:rPr>
        <w:t>二</w:t>
      </w:r>
      <w:r>
        <w:rPr>
          <w:rFonts w:hint="eastAsia" w:ascii="CESI仿宋-GB13000" w:hAnsi="CESI仿宋-GB13000" w:eastAsia="CESI仿宋-GB13000" w:cs="CESI仿宋-GB13000"/>
          <w:bCs/>
          <w:kern w:val="44"/>
          <w:sz w:val="32"/>
          <w:szCs w:val="32"/>
          <w:highlight w:val="none"/>
        </w:rPr>
        <w:t>)政府性基金预算财政拨款收入：指</w:t>
      </w:r>
      <w:r>
        <w:rPr>
          <w:rFonts w:hint="eastAsia" w:ascii="CESI仿宋-GB13000" w:hAnsi="CESI仿宋-GB13000" w:eastAsia="CESI仿宋-GB13000" w:cs="CESI仿宋-GB13000"/>
          <w:bCs/>
          <w:kern w:val="44"/>
          <w:sz w:val="32"/>
          <w:szCs w:val="32"/>
          <w:highlight w:val="none"/>
          <w:lang w:eastAsia="zh-CN"/>
        </w:rPr>
        <w:t>省级</w:t>
      </w:r>
      <w:r>
        <w:rPr>
          <w:rFonts w:hint="eastAsia" w:ascii="CESI仿宋-GB13000" w:hAnsi="CESI仿宋-GB13000" w:eastAsia="CESI仿宋-GB13000" w:cs="CESI仿宋-GB13000"/>
          <w:bCs/>
          <w:kern w:val="44"/>
          <w:sz w:val="32"/>
          <w:szCs w:val="32"/>
          <w:highlight w:val="none"/>
        </w:rPr>
        <w:t>财政政府性基金预算当年拨付的</w:t>
      </w:r>
      <w:r>
        <w:rPr>
          <w:rFonts w:hint="eastAsia" w:ascii="CESI仿宋-GB13000" w:hAnsi="CESI仿宋-GB13000" w:eastAsia="CESI仿宋-GB13000" w:cs="CESI仿宋-GB13000"/>
          <w:bCs/>
          <w:kern w:val="44"/>
          <w:sz w:val="32"/>
          <w:szCs w:val="32"/>
          <w:highlight w:val="none"/>
          <w:lang w:eastAsia="zh-CN"/>
        </w:rPr>
        <w:t>资金。</w:t>
      </w:r>
    </w:p>
    <w:p>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none"/>
        </w:rPr>
      </w:pPr>
      <w:r>
        <w:rPr>
          <w:rFonts w:hint="eastAsia" w:ascii="CESI仿宋-GB13000" w:hAnsi="CESI仿宋-GB13000" w:eastAsia="CESI仿宋-GB13000" w:cs="CESI仿宋-GB13000"/>
          <w:bCs/>
          <w:kern w:val="44"/>
          <w:sz w:val="32"/>
          <w:szCs w:val="32"/>
          <w:highlight w:val="none"/>
        </w:rPr>
        <w:t>(</w:t>
      </w:r>
      <w:r>
        <w:rPr>
          <w:rFonts w:hint="eastAsia" w:ascii="CESI仿宋-GB13000" w:hAnsi="CESI仿宋-GB13000" w:eastAsia="CESI仿宋-GB13000" w:cs="CESI仿宋-GB13000"/>
          <w:bCs/>
          <w:kern w:val="44"/>
          <w:sz w:val="32"/>
          <w:szCs w:val="32"/>
          <w:highlight w:val="none"/>
          <w:lang w:eastAsia="zh-CN"/>
        </w:rPr>
        <w:t>三</w:t>
      </w:r>
      <w:r>
        <w:rPr>
          <w:rFonts w:hint="eastAsia" w:ascii="CESI仿宋-GB13000" w:hAnsi="CESI仿宋-GB13000" w:eastAsia="CESI仿宋-GB13000" w:cs="CESI仿宋-GB13000"/>
          <w:bCs/>
          <w:kern w:val="44"/>
          <w:sz w:val="32"/>
          <w:szCs w:val="32"/>
          <w:highlight w:val="none"/>
        </w:rPr>
        <w:t>)</w:t>
      </w:r>
      <w:r>
        <w:rPr>
          <w:rFonts w:hint="eastAsia" w:ascii="CESI仿宋-GB13000" w:hAnsi="CESI仿宋-GB13000" w:eastAsia="CESI仿宋-GB13000" w:cs="CESI仿宋-GB13000"/>
          <w:bCs/>
          <w:kern w:val="44"/>
          <w:sz w:val="32"/>
          <w:szCs w:val="32"/>
          <w:highlight w:val="none"/>
          <w:lang w:eastAsia="zh-CN"/>
        </w:rPr>
        <w:t>国有资本经营</w:t>
      </w:r>
      <w:r>
        <w:rPr>
          <w:rFonts w:hint="eastAsia" w:ascii="CESI仿宋-GB13000" w:hAnsi="CESI仿宋-GB13000" w:eastAsia="CESI仿宋-GB13000" w:cs="CESI仿宋-GB13000"/>
          <w:bCs/>
          <w:kern w:val="44"/>
          <w:sz w:val="32"/>
          <w:szCs w:val="32"/>
          <w:highlight w:val="none"/>
        </w:rPr>
        <w:t>预算财政拨款收入：指</w:t>
      </w:r>
      <w:r>
        <w:rPr>
          <w:rFonts w:hint="eastAsia" w:ascii="CESI仿宋-GB13000" w:hAnsi="CESI仿宋-GB13000" w:eastAsia="CESI仿宋-GB13000" w:cs="CESI仿宋-GB13000"/>
          <w:bCs/>
          <w:kern w:val="44"/>
          <w:sz w:val="32"/>
          <w:szCs w:val="32"/>
          <w:highlight w:val="none"/>
          <w:lang w:eastAsia="zh-CN"/>
        </w:rPr>
        <w:t>省</w:t>
      </w:r>
      <w:r>
        <w:rPr>
          <w:rFonts w:hint="eastAsia" w:ascii="CESI仿宋-GB13000" w:hAnsi="CESI仿宋-GB13000" w:eastAsia="CESI仿宋-GB13000" w:cs="CESI仿宋-GB13000"/>
          <w:bCs/>
          <w:kern w:val="44"/>
          <w:sz w:val="32"/>
          <w:szCs w:val="32"/>
          <w:highlight w:val="none"/>
        </w:rPr>
        <w:t>级财政</w:t>
      </w:r>
      <w:r>
        <w:rPr>
          <w:rFonts w:hint="eastAsia" w:ascii="CESI仿宋-GB13000" w:hAnsi="CESI仿宋-GB13000" w:eastAsia="CESI仿宋-GB13000" w:cs="CESI仿宋-GB13000"/>
          <w:bCs/>
          <w:kern w:val="44"/>
          <w:sz w:val="32"/>
          <w:szCs w:val="32"/>
          <w:highlight w:val="none"/>
          <w:lang w:eastAsia="zh-CN"/>
        </w:rPr>
        <w:t>国有资本经营</w:t>
      </w:r>
      <w:r>
        <w:rPr>
          <w:rFonts w:hint="eastAsia" w:ascii="CESI仿宋-GB13000" w:hAnsi="CESI仿宋-GB13000" w:eastAsia="CESI仿宋-GB13000" w:cs="CESI仿宋-GB13000"/>
          <w:bCs/>
          <w:kern w:val="44"/>
          <w:sz w:val="32"/>
          <w:szCs w:val="32"/>
          <w:highlight w:val="none"/>
        </w:rPr>
        <w:t>预算当年拨付的资金。</w:t>
      </w:r>
    </w:p>
    <w:p>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outlineLvl w:val="9"/>
        <w:rPr>
          <w:rFonts w:hint="eastAsia" w:ascii="CESI仿宋-GB13000" w:hAnsi="CESI仿宋-GB13000" w:eastAsia="CESI仿宋-GB13000" w:cs="CESI仿宋-GB13000"/>
          <w:bCs/>
          <w:kern w:val="44"/>
          <w:sz w:val="32"/>
          <w:szCs w:val="32"/>
          <w:highlight w:val="yellow"/>
        </w:rPr>
      </w:pPr>
      <w:r>
        <w:rPr>
          <w:rFonts w:hint="eastAsia" w:ascii="CESI仿宋-GB13000" w:hAnsi="CESI仿宋-GB13000" w:eastAsia="CESI仿宋-GB13000" w:cs="CESI仿宋-GB13000"/>
          <w:bCs/>
          <w:kern w:val="44"/>
          <w:sz w:val="32"/>
          <w:szCs w:val="32"/>
          <w:highlight w:val="none"/>
        </w:rPr>
        <w:t>(</w:t>
      </w:r>
      <w:r>
        <w:rPr>
          <w:rFonts w:hint="eastAsia" w:ascii="CESI仿宋-GB13000" w:hAnsi="CESI仿宋-GB13000" w:eastAsia="CESI仿宋-GB13000" w:cs="CESI仿宋-GB13000"/>
          <w:bCs/>
          <w:kern w:val="44"/>
          <w:sz w:val="32"/>
          <w:szCs w:val="32"/>
          <w:highlight w:val="none"/>
          <w:lang w:eastAsia="zh-CN"/>
        </w:rPr>
        <w:t>四</w:t>
      </w:r>
      <w:r>
        <w:rPr>
          <w:rFonts w:hint="eastAsia" w:ascii="CESI仿宋-GB13000" w:hAnsi="CESI仿宋-GB13000" w:eastAsia="CESI仿宋-GB13000" w:cs="CESI仿宋-GB13000"/>
          <w:bCs/>
          <w:kern w:val="44"/>
          <w:sz w:val="32"/>
          <w:szCs w:val="32"/>
          <w:highlight w:val="none"/>
        </w:rPr>
        <w:t>)上级补助收入：指从</w:t>
      </w:r>
      <w:r>
        <w:rPr>
          <w:rFonts w:hint="eastAsia" w:ascii="CESI仿宋-GB13000" w:hAnsi="CESI仿宋-GB13000" w:eastAsia="CESI仿宋-GB13000" w:cs="CESI仿宋-GB13000"/>
          <w:sz w:val="32"/>
          <w:szCs w:val="32"/>
          <w:highlight w:val="none"/>
        </w:rPr>
        <w:t>事业单位</w:t>
      </w:r>
      <w:r>
        <w:rPr>
          <w:rFonts w:hint="eastAsia" w:ascii="CESI仿宋-GB13000" w:hAnsi="CESI仿宋-GB13000" w:eastAsia="CESI仿宋-GB13000" w:cs="CESI仿宋-GB13000"/>
          <w:bCs/>
          <w:kern w:val="44"/>
          <w:sz w:val="32"/>
          <w:szCs w:val="32"/>
          <w:highlight w:val="none"/>
        </w:rPr>
        <w:t>主管部门和上级单位取得的非财政补助收入。</w:t>
      </w:r>
    </w:p>
    <w:p>
      <w:pPr>
        <w:pageBreakBefore w:val="0"/>
        <w:widowControl w:val="0"/>
        <w:kinsoku/>
        <w:wordWrap/>
        <w:overflowPunct/>
        <w:topLinePunct w:val="0"/>
        <w:bidi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yellow"/>
        </w:rPr>
      </w:pPr>
      <w:r>
        <w:rPr>
          <w:rFonts w:hint="eastAsia" w:ascii="CESI仿宋-GB13000" w:hAnsi="CESI仿宋-GB13000" w:eastAsia="CESI仿宋-GB13000" w:cs="CESI仿宋-GB13000"/>
          <w:bCs/>
          <w:kern w:val="44"/>
          <w:sz w:val="32"/>
          <w:szCs w:val="32"/>
          <w:highlight w:val="none"/>
        </w:rPr>
        <w:t>(</w:t>
      </w:r>
      <w:r>
        <w:rPr>
          <w:rFonts w:hint="eastAsia" w:ascii="CESI仿宋-GB13000" w:hAnsi="CESI仿宋-GB13000" w:eastAsia="CESI仿宋-GB13000" w:cs="CESI仿宋-GB13000"/>
          <w:bCs/>
          <w:kern w:val="44"/>
          <w:sz w:val="32"/>
          <w:szCs w:val="32"/>
          <w:highlight w:val="none"/>
          <w:lang w:eastAsia="zh-CN"/>
        </w:rPr>
        <w:t>五</w:t>
      </w:r>
      <w:r>
        <w:rPr>
          <w:rFonts w:hint="eastAsia" w:ascii="CESI仿宋-GB13000" w:hAnsi="CESI仿宋-GB13000" w:eastAsia="CESI仿宋-GB13000" w:cs="CESI仿宋-GB13000"/>
          <w:bCs/>
          <w:kern w:val="44"/>
          <w:sz w:val="32"/>
          <w:szCs w:val="32"/>
          <w:highlight w:val="none"/>
        </w:rPr>
        <w:t>)事业收入：指事业单位开展专业业务活动及其辅助活动取得的收入。</w:t>
      </w:r>
    </w:p>
    <w:p>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yellow"/>
        </w:rPr>
      </w:pPr>
      <w:r>
        <w:rPr>
          <w:rFonts w:hint="eastAsia" w:ascii="CESI仿宋-GB13000" w:hAnsi="CESI仿宋-GB13000" w:eastAsia="CESI仿宋-GB13000" w:cs="CESI仿宋-GB13000"/>
          <w:bCs/>
          <w:kern w:val="44"/>
          <w:sz w:val="32"/>
          <w:szCs w:val="32"/>
          <w:highlight w:val="none"/>
        </w:rPr>
        <w:t>(</w:t>
      </w:r>
      <w:r>
        <w:rPr>
          <w:rFonts w:hint="eastAsia" w:ascii="CESI仿宋-GB13000" w:hAnsi="CESI仿宋-GB13000" w:eastAsia="CESI仿宋-GB13000" w:cs="CESI仿宋-GB13000"/>
          <w:bCs/>
          <w:kern w:val="44"/>
          <w:sz w:val="32"/>
          <w:szCs w:val="32"/>
          <w:highlight w:val="none"/>
          <w:lang w:eastAsia="zh-CN"/>
        </w:rPr>
        <w:t>六</w:t>
      </w:r>
      <w:r>
        <w:rPr>
          <w:rFonts w:hint="eastAsia" w:ascii="CESI仿宋-GB13000" w:hAnsi="CESI仿宋-GB13000" w:eastAsia="CESI仿宋-GB13000" w:cs="CESI仿宋-GB13000"/>
          <w:bCs/>
          <w:kern w:val="44"/>
          <w:sz w:val="32"/>
          <w:szCs w:val="32"/>
          <w:highlight w:val="none"/>
        </w:rPr>
        <w:t>)经营收入：指事业单位在专业业务活动及其辅助活动之外开展非独立核算经营活动取得的收入。</w:t>
      </w:r>
    </w:p>
    <w:p>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highlight w:val="none"/>
          <w:lang w:eastAsia="zh-CN"/>
        </w:rPr>
      </w:pPr>
      <w:r>
        <w:rPr>
          <w:rFonts w:hint="eastAsia" w:ascii="CESI仿宋-GB13000" w:hAnsi="CESI仿宋-GB13000" w:eastAsia="CESI仿宋-GB13000" w:cs="CESI仿宋-GB13000"/>
          <w:bCs/>
          <w:kern w:val="44"/>
          <w:sz w:val="32"/>
          <w:szCs w:val="32"/>
          <w:highlight w:val="none"/>
        </w:rPr>
        <w:t>(</w:t>
      </w:r>
      <w:r>
        <w:rPr>
          <w:rFonts w:hint="eastAsia" w:ascii="CESI仿宋-GB13000" w:hAnsi="CESI仿宋-GB13000" w:eastAsia="CESI仿宋-GB13000" w:cs="CESI仿宋-GB13000"/>
          <w:bCs/>
          <w:kern w:val="44"/>
          <w:sz w:val="32"/>
          <w:szCs w:val="32"/>
          <w:highlight w:val="none"/>
          <w:lang w:eastAsia="zh-CN"/>
        </w:rPr>
        <w:t>七</w:t>
      </w:r>
      <w:r>
        <w:rPr>
          <w:rFonts w:hint="eastAsia" w:ascii="CESI仿宋-GB13000" w:hAnsi="CESI仿宋-GB13000" w:eastAsia="CESI仿宋-GB13000" w:cs="CESI仿宋-GB13000"/>
          <w:bCs/>
          <w:kern w:val="44"/>
          <w:sz w:val="32"/>
          <w:szCs w:val="32"/>
          <w:highlight w:val="none"/>
        </w:rPr>
        <w:t>)其他收入：指</w:t>
      </w:r>
      <w:r>
        <w:rPr>
          <w:rFonts w:hint="eastAsia" w:ascii="CESI仿宋-GB13000" w:hAnsi="CESI仿宋-GB13000" w:eastAsia="CESI仿宋-GB13000" w:cs="CESI仿宋-GB13000"/>
          <w:sz w:val="32"/>
          <w:szCs w:val="32"/>
          <w:highlight w:val="none"/>
        </w:rPr>
        <w:t>单位取得的除</w:t>
      </w:r>
      <w:r>
        <w:rPr>
          <w:rFonts w:hint="eastAsia" w:ascii="CESI仿宋-GB13000" w:hAnsi="CESI仿宋-GB13000" w:eastAsia="CESI仿宋-GB13000" w:cs="CESI仿宋-GB13000"/>
          <w:sz w:val="32"/>
          <w:szCs w:val="32"/>
          <w:highlight w:val="none"/>
          <w:lang w:eastAsia="zh-CN"/>
        </w:rPr>
        <w:t>上述“一般公共预算财政拨款收入”、“</w:t>
      </w:r>
      <w:r>
        <w:rPr>
          <w:rFonts w:hint="eastAsia" w:ascii="CESI仿宋-GB13000" w:hAnsi="CESI仿宋-GB13000" w:eastAsia="CESI仿宋-GB13000" w:cs="CESI仿宋-GB13000"/>
          <w:sz w:val="32"/>
          <w:szCs w:val="32"/>
          <w:highlight w:val="none"/>
        </w:rPr>
        <w:t>政府性基金</w:t>
      </w:r>
      <w:r>
        <w:rPr>
          <w:rFonts w:hint="eastAsia" w:ascii="CESI仿宋-GB13000" w:hAnsi="CESI仿宋-GB13000" w:eastAsia="CESI仿宋-GB13000" w:cs="CESI仿宋-GB13000"/>
          <w:spacing w:val="6"/>
          <w:sz w:val="32"/>
          <w:szCs w:val="32"/>
          <w:highlight w:val="none"/>
        </w:rPr>
        <w:t>预算</w:t>
      </w:r>
      <w:r>
        <w:rPr>
          <w:rFonts w:hint="eastAsia" w:ascii="CESI仿宋-GB13000" w:hAnsi="CESI仿宋-GB13000" w:eastAsia="CESI仿宋-GB13000" w:cs="CESI仿宋-GB13000"/>
          <w:bCs/>
          <w:kern w:val="44"/>
          <w:sz w:val="32"/>
          <w:szCs w:val="32"/>
          <w:highlight w:val="none"/>
        </w:rPr>
        <w:t>财政拨款收入</w:t>
      </w:r>
      <w:r>
        <w:rPr>
          <w:rFonts w:hint="eastAsia" w:ascii="CESI仿宋-GB13000" w:hAnsi="CESI仿宋-GB13000" w:eastAsia="CESI仿宋-GB13000" w:cs="CESI仿宋-GB13000"/>
          <w:sz w:val="32"/>
          <w:szCs w:val="32"/>
          <w:highlight w:val="none"/>
          <w:lang w:eastAsia="zh-CN"/>
        </w:rPr>
        <w:t>”、“</w:t>
      </w:r>
      <w:r>
        <w:rPr>
          <w:rFonts w:hint="eastAsia" w:ascii="CESI仿宋-GB13000" w:hAnsi="CESI仿宋-GB13000" w:eastAsia="CESI仿宋-GB13000" w:cs="CESI仿宋-GB13000"/>
          <w:bCs/>
          <w:kern w:val="44"/>
          <w:sz w:val="32"/>
          <w:szCs w:val="32"/>
          <w:lang w:eastAsia="zh-CN"/>
        </w:rPr>
        <w:t>国有资本经营</w:t>
      </w:r>
      <w:r>
        <w:rPr>
          <w:rFonts w:hint="eastAsia" w:ascii="CESI仿宋-GB13000" w:hAnsi="CESI仿宋-GB13000" w:eastAsia="CESI仿宋-GB13000" w:cs="CESI仿宋-GB13000"/>
          <w:bCs/>
          <w:kern w:val="44"/>
          <w:sz w:val="32"/>
          <w:szCs w:val="32"/>
        </w:rPr>
        <w:t>预算财政拨款收入</w:t>
      </w:r>
      <w:r>
        <w:rPr>
          <w:rFonts w:hint="eastAsia" w:ascii="CESI仿宋-GB13000" w:hAnsi="CESI仿宋-GB13000" w:eastAsia="CESI仿宋-GB13000" w:cs="CESI仿宋-GB13000"/>
          <w:sz w:val="32"/>
          <w:szCs w:val="32"/>
          <w:highlight w:val="none"/>
          <w:lang w:eastAsia="zh-CN"/>
        </w:rPr>
        <w:t>”、“</w:t>
      </w:r>
      <w:r>
        <w:rPr>
          <w:rFonts w:hint="eastAsia" w:ascii="CESI仿宋-GB13000" w:hAnsi="CESI仿宋-GB13000" w:eastAsia="CESI仿宋-GB13000" w:cs="CESI仿宋-GB13000"/>
          <w:bCs/>
          <w:kern w:val="44"/>
          <w:sz w:val="32"/>
          <w:szCs w:val="32"/>
          <w:highlight w:val="none"/>
        </w:rPr>
        <w:t>上级补助收入</w:t>
      </w:r>
      <w:r>
        <w:rPr>
          <w:rFonts w:hint="eastAsia" w:ascii="CESI仿宋-GB13000" w:hAnsi="CESI仿宋-GB13000" w:eastAsia="CESI仿宋-GB13000" w:cs="CESI仿宋-GB13000"/>
          <w:sz w:val="32"/>
          <w:szCs w:val="32"/>
          <w:highlight w:val="none"/>
          <w:lang w:eastAsia="zh-CN"/>
        </w:rPr>
        <w:t>”、“事业收入”、“经营收入”等</w:t>
      </w:r>
      <w:r>
        <w:rPr>
          <w:rFonts w:hint="eastAsia" w:ascii="CESI仿宋-GB13000" w:hAnsi="CESI仿宋-GB13000" w:eastAsia="CESI仿宋-GB13000" w:cs="CESI仿宋-GB13000"/>
          <w:sz w:val="32"/>
          <w:szCs w:val="32"/>
          <w:highlight w:val="none"/>
        </w:rPr>
        <w:t>收入以外的各项收入</w:t>
      </w:r>
      <w:r>
        <w:rPr>
          <w:rFonts w:hint="eastAsia" w:ascii="CESI仿宋-GB13000" w:hAnsi="CESI仿宋-GB13000" w:eastAsia="CESI仿宋-GB13000" w:cs="CESI仿宋-GB13000"/>
          <w:sz w:val="32"/>
          <w:szCs w:val="32"/>
          <w:highlight w:val="none"/>
          <w:lang w:eastAsia="zh-CN"/>
        </w:rPr>
        <w:t>。</w:t>
      </w:r>
    </w:p>
    <w:p>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color w:val="000000"/>
          <w:sz w:val="32"/>
          <w:lang w:eastAsia="zh-CN"/>
        </w:rPr>
      </w:pPr>
      <w:r>
        <w:rPr>
          <w:rFonts w:hint="eastAsia" w:ascii="CESI仿宋-GB13000" w:hAnsi="CESI仿宋-GB13000" w:eastAsia="CESI仿宋-GB13000" w:cs="CESI仿宋-GB13000"/>
          <w:bCs/>
          <w:kern w:val="44"/>
          <w:sz w:val="32"/>
          <w:szCs w:val="32"/>
          <w:highlight w:val="none"/>
        </w:rPr>
        <w:t>(</w:t>
      </w:r>
      <w:r>
        <w:rPr>
          <w:rFonts w:hint="eastAsia" w:ascii="CESI仿宋-GB13000" w:hAnsi="CESI仿宋-GB13000" w:eastAsia="CESI仿宋-GB13000" w:cs="CESI仿宋-GB13000"/>
          <w:bCs/>
          <w:kern w:val="44"/>
          <w:sz w:val="32"/>
          <w:szCs w:val="32"/>
          <w:highlight w:val="none"/>
          <w:lang w:eastAsia="zh-CN"/>
        </w:rPr>
        <w:t>八</w:t>
      </w:r>
      <w:r>
        <w:rPr>
          <w:rFonts w:hint="eastAsia" w:ascii="CESI仿宋-GB13000" w:hAnsi="CESI仿宋-GB13000" w:eastAsia="CESI仿宋-GB13000" w:cs="CESI仿宋-GB13000"/>
          <w:bCs/>
          <w:kern w:val="44"/>
          <w:sz w:val="32"/>
          <w:szCs w:val="32"/>
          <w:highlight w:val="none"/>
        </w:rPr>
        <w:t>)</w:t>
      </w:r>
      <w:r>
        <w:rPr>
          <w:rFonts w:hint="eastAsia" w:ascii="CESI仿宋-GB13000" w:hAnsi="CESI仿宋-GB13000" w:eastAsia="CESI仿宋-GB13000" w:cs="CESI仿宋-GB13000"/>
          <w:bCs/>
          <w:kern w:val="44"/>
          <w:sz w:val="32"/>
          <w:szCs w:val="32"/>
          <w:highlight w:val="none"/>
          <w:lang w:eastAsia="zh-CN"/>
        </w:rPr>
        <w:t>使用非财政拨款结余</w:t>
      </w:r>
      <w:r>
        <w:rPr>
          <w:rFonts w:hint="eastAsia" w:ascii="CESI仿宋-GB13000" w:hAnsi="CESI仿宋-GB13000" w:eastAsia="CESI仿宋-GB13000" w:cs="CESI仿宋-GB13000"/>
          <w:bCs/>
          <w:kern w:val="44"/>
          <w:sz w:val="32"/>
          <w:szCs w:val="32"/>
          <w:highlight w:val="none"/>
        </w:rPr>
        <w:t>：</w:t>
      </w:r>
      <w:r>
        <w:rPr>
          <w:rFonts w:hint="eastAsia" w:ascii="CESI仿宋-GB13000" w:hAnsi="CESI仿宋-GB13000" w:eastAsia="CESI仿宋-GB13000" w:cs="CESI仿宋-GB13000"/>
          <w:color w:val="000000"/>
          <w:sz w:val="32"/>
        </w:rPr>
        <w:t>指事业单位</w:t>
      </w:r>
      <w:r>
        <w:rPr>
          <w:rFonts w:hint="eastAsia" w:ascii="CESI仿宋-GB13000" w:hAnsi="CESI仿宋-GB13000" w:eastAsia="CESI仿宋-GB13000" w:cs="CESI仿宋-GB13000"/>
          <w:color w:val="000000"/>
          <w:sz w:val="32"/>
          <w:lang w:eastAsia="zh-CN"/>
        </w:rPr>
        <w:t>使用以前年度积累的非财政拨款结余弥补当年收支差额的金额。</w:t>
      </w:r>
    </w:p>
    <w:p>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yellow"/>
        </w:rPr>
      </w:pPr>
      <w:r>
        <w:rPr>
          <w:rFonts w:hint="eastAsia" w:ascii="CESI仿宋-GB13000" w:hAnsi="CESI仿宋-GB13000" w:eastAsia="CESI仿宋-GB13000" w:cs="CESI仿宋-GB13000"/>
          <w:bCs/>
          <w:kern w:val="44"/>
          <w:sz w:val="32"/>
          <w:szCs w:val="32"/>
          <w:highlight w:val="none"/>
        </w:rPr>
        <w:t>(</w:t>
      </w:r>
      <w:r>
        <w:rPr>
          <w:rFonts w:hint="eastAsia" w:ascii="CESI仿宋-GB13000" w:hAnsi="CESI仿宋-GB13000" w:eastAsia="CESI仿宋-GB13000" w:cs="CESI仿宋-GB13000"/>
          <w:bCs/>
          <w:kern w:val="44"/>
          <w:sz w:val="32"/>
          <w:szCs w:val="32"/>
          <w:highlight w:val="none"/>
          <w:lang w:eastAsia="zh-CN"/>
        </w:rPr>
        <w:t>九</w:t>
      </w:r>
      <w:r>
        <w:rPr>
          <w:rFonts w:hint="eastAsia" w:ascii="CESI仿宋-GB13000" w:hAnsi="CESI仿宋-GB13000" w:eastAsia="CESI仿宋-GB13000" w:cs="CESI仿宋-GB13000"/>
          <w:bCs/>
          <w:kern w:val="44"/>
          <w:sz w:val="32"/>
          <w:szCs w:val="32"/>
          <w:highlight w:val="none"/>
        </w:rPr>
        <w:t>)年初结转和结余：</w:t>
      </w:r>
      <w:r>
        <w:rPr>
          <w:rFonts w:hint="eastAsia" w:ascii="CESI仿宋-GB13000" w:hAnsi="CESI仿宋-GB13000" w:eastAsia="CESI仿宋-GB13000" w:cs="CESI仿宋-GB13000"/>
          <w:color w:val="000000"/>
          <w:sz w:val="32"/>
        </w:rPr>
        <w:t>指</w:t>
      </w:r>
      <w:r>
        <w:rPr>
          <w:rFonts w:hint="eastAsia" w:ascii="CESI仿宋-GB13000" w:hAnsi="CESI仿宋-GB13000" w:eastAsia="CESI仿宋-GB13000" w:cs="CESI仿宋-GB13000"/>
          <w:color w:val="000000"/>
          <w:sz w:val="32"/>
          <w:lang w:eastAsia="zh-CN"/>
        </w:rPr>
        <w:t>单位</w:t>
      </w:r>
      <w:r>
        <w:rPr>
          <w:rFonts w:hint="eastAsia" w:ascii="CESI仿宋-GB13000" w:hAnsi="CESI仿宋-GB13000" w:eastAsia="CESI仿宋-GB13000" w:cs="CESI仿宋-GB13000"/>
          <w:color w:val="000000"/>
          <w:sz w:val="32"/>
        </w:rPr>
        <w:t>以前年度</w:t>
      </w:r>
      <w:r>
        <w:rPr>
          <w:rFonts w:hint="eastAsia" w:ascii="CESI仿宋-GB13000" w:hAnsi="CESI仿宋-GB13000" w:eastAsia="CESI仿宋-GB13000" w:cs="CESI仿宋-GB13000"/>
          <w:color w:val="000000"/>
          <w:sz w:val="32"/>
          <w:lang w:eastAsia="zh-CN"/>
        </w:rPr>
        <w:t>尚未完成</w:t>
      </w:r>
      <w:r>
        <w:rPr>
          <w:rFonts w:hint="eastAsia" w:ascii="CESI仿宋-GB13000" w:hAnsi="CESI仿宋-GB13000" w:eastAsia="CESI仿宋-GB13000" w:cs="CESI仿宋-GB13000"/>
          <w:color w:val="000000"/>
          <w:sz w:val="32"/>
        </w:rPr>
        <w:t>、结转到本年仍按原规定用途继续使用的资金</w:t>
      </w:r>
      <w:r>
        <w:rPr>
          <w:rFonts w:hint="eastAsia" w:ascii="CESI仿宋-GB13000" w:hAnsi="CESI仿宋-GB13000" w:eastAsia="CESI仿宋-GB13000" w:cs="CESI仿宋-GB13000"/>
          <w:color w:val="000000"/>
          <w:sz w:val="32"/>
          <w:lang w:eastAsia="zh-CN"/>
        </w:rPr>
        <w:t>，或项目已完成等产生的结余资金</w:t>
      </w:r>
      <w:r>
        <w:rPr>
          <w:rFonts w:hint="eastAsia" w:ascii="CESI仿宋-GB13000" w:hAnsi="CESI仿宋-GB13000" w:eastAsia="CESI仿宋-GB13000" w:cs="CESI仿宋-GB13000"/>
          <w:color w:val="000000"/>
          <w:sz w:val="32"/>
        </w:rPr>
        <w:t>。</w:t>
      </w:r>
    </w:p>
    <w:p>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color w:val="000000"/>
          <w:sz w:val="32"/>
        </w:rPr>
      </w:pPr>
      <w:r>
        <w:rPr>
          <w:rFonts w:hint="eastAsia" w:ascii="CESI仿宋-GB13000" w:hAnsi="CESI仿宋-GB13000" w:eastAsia="CESI仿宋-GB13000" w:cs="CESI仿宋-GB13000"/>
          <w:color w:val="000000"/>
          <w:sz w:val="32"/>
        </w:rPr>
        <w:t>(</w:t>
      </w:r>
      <w:r>
        <w:rPr>
          <w:rFonts w:hint="eastAsia" w:ascii="CESI仿宋-GB13000" w:hAnsi="CESI仿宋-GB13000" w:eastAsia="CESI仿宋-GB13000" w:cs="CESI仿宋-GB13000"/>
          <w:color w:val="000000"/>
          <w:sz w:val="32"/>
          <w:lang w:eastAsia="zh-CN"/>
        </w:rPr>
        <w:t>十</w:t>
      </w:r>
      <w:r>
        <w:rPr>
          <w:rFonts w:hint="eastAsia" w:ascii="CESI仿宋-GB13000" w:hAnsi="CESI仿宋-GB13000" w:eastAsia="CESI仿宋-GB13000" w:cs="CESI仿宋-GB13000"/>
          <w:color w:val="000000"/>
          <w:sz w:val="32"/>
        </w:rPr>
        <w:t>)本部门使用的支出功能分类科目(到项级)</w:t>
      </w:r>
    </w:p>
    <w:p>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color w:val="000000"/>
          <w:sz w:val="32"/>
          <w:lang w:val="en-US" w:eastAsia="zh-CN"/>
        </w:rPr>
      </w:pPr>
      <w:r>
        <w:rPr>
          <w:rFonts w:hint="eastAsia" w:ascii="CESI仿宋-GB13000" w:hAnsi="CESI仿宋-GB13000" w:eastAsia="CESI仿宋-GB13000" w:cs="CESI仿宋-GB13000"/>
          <w:color w:val="000000"/>
          <w:sz w:val="32"/>
        </w:rPr>
        <w:t>1.</w:t>
      </w:r>
      <w:r>
        <w:rPr>
          <w:rFonts w:hint="eastAsia" w:ascii="CESI仿宋-GB13000" w:hAnsi="CESI仿宋-GB13000" w:eastAsia="CESI仿宋-GB13000" w:cs="CESI仿宋-GB13000"/>
          <w:color w:val="000000"/>
          <w:sz w:val="32"/>
          <w:lang w:eastAsia="zh-CN"/>
        </w:rPr>
        <w:t>社会保障和就业支出：反映机关事业单位实施养老保险制度由单位缴纳的基本养老保险费支出。</w:t>
      </w:r>
    </w:p>
    <w:p>
      <w:pPr>
        <w:pageBreakBefore w:val="0"/>
        <w:widowControl w:val="0"/>
        <w:kinsoku/>
        <w:wordWrap/>
        <w:overflowPunct/>
        <w:topLinePunct w:val="0"/>
        <w:bidi w:val="0"/>
        <w:adjustRightInd w:val="0"/>
        <w:snapToGrid w:val="0"/>
        <w:spacing w:line="360" w:lineRule="auto"/>
        <w:ind w:firstLine="640" w:firstLineChars="200"/>
        <w:textAlignment w:val="auto"/>
        <w:rPr>
          <w:rFonts w:hint="default" w:ascii="CESI仿宋-GB13000" w:hAnsi="CESI仿宋-GB13000" w:eastAsia="CESI仿宋-GB13000" w:cs="CESI仿宋-GB13000"/>
          <w:color w:val="000000"/>
          <w:sz w:val="32"/>
          <w:lang w:val="en-US" w:eastAsia="zh-CN"/>
        </w:rPr>
      </w:pPr>
      <w:r>
        <w:rPr>
          <w:rFonts w:hint="eastAsia" w:ascii="CESI仿宋-GB13000" w:hAnsi="CESI仿宋-GB13000" w:eastAsia="CESI仿宋-GB13000" w:cs="CESI仿宋-GB13000"/>
          <w:color w:val="000000"/>
          <w:sz w:val="32"/>
        </w:rPr>
        <w:t>2</w:t>
      </w:r>
      <w:r>
        <w:rPr>
          <w:rFonts w:hint="eastAsia" w:ascii="CESI仿宋-GB13000" w:hAnsi="CESI仿宋-GB13000" w:eastAsia="CESI仿宋-GB13000" w:cs="CESI仿宋-GB13000"/>
          <w:color w:val="000000"/>
          <w:sz w:val="32"/>
          <w:lang w:val="en-US" w:eastAsia="zh-CN"/>
        </w:rPr>
        <w:t>.卫生健康支出：反映财政部门安排的行政单位（包括实行公务员管理的事业单位）基本医疗保险缴纳经费。</w:t>
      </w:r>
    </w:p>
    <w:p>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color w:val="000000"/>
          <w:sz w:val="32"/>
          <w:lang w:val="en-US" w:eastAsia="zh-CN"/>
        </w:rPr>
      </w:pPr>
      <w:r>
        <w:rPr>
          <w:rFonts w:hint="eastAsia" w:ascii="CESI仿宋-GB13000" w:hAnsi="CESI仿宋-GB13000" w:eastAsia="CESI仿宋-GB13000" w:cs="CESI仿宋-GB13000"/>
          <w:color w:val="000000"/>
          <w:sz w:val="32"/>
          <w:lang w:val="en-US" w:eastAsia="zh-CN"/>
        </w:rPr>
        <w:t>3.城乡社区支出：反映行政单位（包括实行公务员管理的事业单位）的基本支出。</w:t>
      </w:r>
    </w:p>
    <w:p>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color w:val="000000"/>
          <w:sz w:val="32"/>
          <w:lang w:eastAsia="zh-CN"/>
        </w:rPr>
      </w:pPr>
      <w:r>
        <w:rPr>
          <w:rFonts w:hint="eastAsia" w:ascii="CESI仿宋-GB13000" w:hAnsi="CESI仿宋-GB13000" w:eastAsia="CESI仿宋-GB13000" w:cs="CESI仿宋-GB13000"/>
          <w:color w:val="000000"/>
          <w:sz w:val="32"/>
          <w:lang w:val="en-US" w:eastAsia="zh-CN"/>
        </w:rPr>
        <w:t>4.住房保障支出：反映行政事业单位按人力资源和社会保障、财政部规定的基本工资和津贴补贴以及规定比例为职工缴纳的住房公积金。</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none"/>
        </w:rPr>
      </w:pPr>
      <w:r>
        <w:rPr>
          <w:rFonts w:hint="eastAsia" w:ascii="CESI仿宋-GB13000" w:hAnsi="CESI仿宋-GB13000" w:eastAsia="CESI仿宋-GB13000" w:cs="CESI仿宋-GB13000"/>
          <w:bCs/>
          <w:kern w:val="44"/>
          <w:sz w:val="32"/>
          <w:szCs w:val="32"/>
          <w:highlight w:val="none"/>
        </w:rPr>
        <w:t>(十</w:t>
      </w:r>
      <w:r>
        <w:rPr>
          <w:rFonts w:hint="eastAsia" w:ascii="CESI仿宋-GB13000" w:hAnsi="CESI仿宋-GB13000" w:eastAsia="CESI仿宋-GB13000" w:cs="CESI仿宋-GB13000"/>
          <w:bCs/>
          <w:kern w:val="44"/>
          <w:sz w:val="32"/>
          <w:szCs w:val="32"/>
          <w:highlight w:val="none"/>
          <w:lang w:eastAsia="zh-CN"/>
        </w:rPr>
        <w:t>一</w:t>
      </w:r>
      <w:r>
        <w:rPr>
          <w:rFonts w:hint="eastAsia" w:ascii="CESI仿宋-GB13000" w:hAnsi="CESI仿宋-GB13000" w:eastAsia="CESI仿宋-GB13000" w:cs="CESI仿宋-GB13000"/>
          <w:bCs/>
          <w:kern w:val="44"/>
          <w:sz w:val="32"/>
          <w:szCs w:val="32"/>
          <w:highlight w:val="none"/>
        </w:rPr>
        <w:t>)结余分配：指事业单位按照会计制度规定缴纳</w:t>
      </w:r>
      <w:r>
        <w:rPr>
          <w:rFonts w:hint="eastAsia" w:ascii="CESI仿宋-GB13000" w:hAnsi="CESI仿宋-GB13000" w:eastAsia="CESI仿宋-GB13000" w:cs="CESI仿宋-GB13000"/>
          <w:bCs/>
          <w:kern w:val="44"/>
          <w:sz w:val="32"/>
          <w:szCs w:val="32"/>
          <w:highlight w:val="none"/>
          <w:lang w:eastAsia="zh-CN"/>
        </w:rPr>
        <w:t>的企业</w:t>
      </w:r>
      <w:r>
        <w:rPr>
          <w:rFonts w:hint="eastAsia" w:ascii="CESI仿宋-GB13000" w:hAnsi="CESI仿宋-GB13000" w:eastAsia="CESI仿宋-GB13000" w:cs="CESI仿宋-GB13000"/>
          <w:bCs/>
          <w:kern w:val="44"/>
          <w:sz w:val="32"/>
          <w:szCs w:val="32"/>
          <w:highlight w:val="none"/>
        </w:rPr>
        <w:t>所得税</w:t>
      </w:r>
      <w:r>
        <w:rPr>
          <w:rFonts w:hint="eastAsia" w:ascii="CESI仿宋-GB13000" w:hAnsi="CESI仿宋-GB13000" w:eastAsia="CESI仿宋-GB13000" w:cs="CESI仿宋-GB13000"/>
          <w:bCs/>
          <w:kern w:val="44"/>
          <w:sz w:val="32"/>
          <w:szCs w:val="32"/>
          <w:highlight w:val="none"/>
          <w:lang w:eastAsia="zh-CN"/>
        </w:rPr>
        <w:t>、提取的专用结余以及转入非财政拨款结余的金额</w:t>
      </w:r>
      <w:r>
        <w:rPr>
          <w:rFonts w:hint="eastAsia" w:ascii="CESI仿宋-GB13000" w:hAnsi="CESI仿宋-GB13000" w:eastAsia="CESI仿宋-GB13000" w:cs="CESI仿宋-GB13000"/>
          <w:bCs/>
          <w:kern w:val="44"/>
          <w:sz w:val="32"/>
          <w:szCs w:val="32"/>
          <w:highlight w:val="none"/>
        </w:rPr>
        <w:t>等。</w:t>
      </w:r>
    </w:p>
    <w:p>
      <w:pPr>
        <w:pageBreakBefore w:val="0"/>
        <w:widowControl w:val="0"/>
        <w:numPr>
          <w:ilvl w:val="0"/>
          <w:numId w:val="0"/>
        </w:numPr>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Cs w:val="32"/>
          <w:highlight w:val="none"/>
        </w:rPr>
      </w:pPr>
      <w:r>
        <w:rPr>
          <w:rFonts w:hint="eastAsia" w:ascii="CESI仿宋-GB13000" w:hAnsi="CESI仿宋-GB13000" w:eastAsia="CESI仿宋-GB13000" w:cs="CESI仿宋-GB13000"/>
          <w:bCs/>
          <w:kern w:val="44"/>
          <w:sz w:val="32"/>
          <w:szCs w:val="32"/>
          <w:highlight w:val="none"/>
        </w:rPr>
        <w:t>(十</w:t>
      </w:r>
      <w:r>
        <w:rPr>
          <w:rFonts w:hint="eastAsia" w:ascii="CESI仿宋-GB13000" w:hAnsi="CESI仿宋-GB13000" w:eastAsia="CESI仿宋-GB13000" w:cs="CESI仿宋-GB13000"/>
          <w:bCs/>
          <w:kern w:val="44"/>
          <w:sz w:val="32"/>
          <w:szCs w:val="32"/>
          <w:highlight w:val="none"/>
          <w:lang w:eastAsia="zh-CN"/>
        </w:rPr>
        <w:t>二</w:t>
      </w:r>
      <w:r>
        <w:rPr>
          <w:rFonts w:hint="eastAsia" w:ascii="CESI仿宋-GB13000" w:hAnsi="CESI仿宋-GB13000" w:eastAsia="CESI仿宋-GB13000" w:cs="CESI仿宋-GB13000"/>
          <w:bCs/>
          <w:kern w:val="44"/>
          <w:sz w:val="32"/>
          <w:szCs w:val="32"/>
          <w:highlight w:val="none"/>
        </w:rPr>
        <w:t>)年末结转和结余：指单位</w:t>
      </w:r>
      <w:r>
        <w:rPr>
          <w:rFonts w:hint="eastAsia" w:ascii="CESI仿宋-GB13000" w:hAnsi="CESI仿宋-GB13000" w:eastAsia="CESI仿宋-GB13000" w:cs="CESI仿宋-GB13000"/>
          <w:bCs/>
          <w:kern w:val="44"/>
          <w:sz w:val="32"/>
          <w:szCs w:val="32"/>
          <w:highlight w:val="none"/>
          <w:lang w:eastAsia="zh-CN"/>
        </w:rPr>
        <w:t>按有关规定结转到下年或以后年度继续使用的资金</w:t>
      </w:r>
      <w:r>
        <w:rPr>
          <w:rFonts w:hint="eastAsia" w:ascii="CESI仿宋-GB13000" w:hAnsi="CESI仿宋-GB13000" w:eastAsia="CESI仿宋-GB13000" w:cs="CESI仿宋-GB13000"/>
          <w:bCs/>
          <w:kern w:val="44"/>
          <w:sz w:val="32"/>
          <w:szCs w:val="32"/>
          <w:highlight w:val="none"/>
        </w:rPr>
        <w:t>，或项目已完成等产生的结余资金。</w:t>
      </w:r>
    </w:p>
    <w:p>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none"/>
        </w:rPr>
      </w:pPr>
      <w:r>
        <w:rPr>
          <w:rFonts w:hint="eastAsia" w:ascii="CESI仿宋-GB13000" w:hAnsi="CESI仿宋-GB13000" w:eastAsia="CESI仿宋-GB13000" w:cs="CESI仿宋-GB13000"/>
          <w:bCs/>
          <w:kern w:val="44"/>
          <w:sz w:val="32"/>
          <w:szCs w:val="32"/>
          <w:highlight w:val="none"/>
        </w:rPr>
        <w:t>(十</w:t>
      </w:r>
      <w:r>
        <w:rPr>
          <w:rFonts w:hint="eastAsia" w:ascii="CESI仿宋-GB13000" w:hAnsi="CESI仿宋-GB13000" w:eastAsia="CESI仿宋-GB13000" w:cs="CESI仿宋-GB13000"/>
          <w:bCs/>
          <w:kern w:val="44"/>
          <w:sz w:val="32"/>
          <w:szCs w:val="32"/>
          <w:highlight w:val="none"/>
          <w:lang w:eastAsia="zh-CN"/>
        </w:rPr>
        <w:t>三</w:t>
      </w:r>
      <w:r>
        <w:rPr>
          <w:rFonts w:hint="eastAsia" w:ascii="CESI仿宋-GB13000" w:hAnsi="CESI仿宋-GB13000" w:eastAsia="CESI仿宋-GB13000" w:cs="CESI仿宋-GB13000"/>
          <w:bCs/>
          <w:kern w:val="44"/>
          <w:sz w:val="32"/>
          <w:szCs w:val="32"/>
          <w:highlight w:val="none"/>
        </w:rPr>
        <w:t>)基本支出：指为保障机构正常运转、完成日常工作任务而发生的人员支出和公用支出。</w:t>
      </w:r>
    </w:p>
    <w:p>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color w:val="000000"/>
          <w:sz w:val="32"/>
          <w:szCs w:val="22"/>
        </w:rPr>
      </w:pPr>
      <w:r>
        <w:rPr>
          <w:rFonts w:hint="eastAsia" w:ascii="CESI仿宋-GB13000" w:hAnsi="CESI仿宋-GB13000" w:eastAsia="CESI仿宋-GB13000" w:cs="CESI仿宋-GB13000"/>
          <w:color w:val="000000"/>
          <w:sz w:val="32"/>
          <w:szCs w:val="22"/>
        </w:rPr>
        <w:t>(十</w:t>
      </w:r>
      <w:r>
        <w:rPr>
          <w:rFonts w:hint="eastAsia" w:ascii="CESI仿宋-GB13000" w:hAnsi="CESI仿宋-GB13000" w:eastAsia="CESI仿宋-GB13000" w:cs="CESI仿宋-GB13000"/>
          <w:color w:val="000000"/>
          <w:sz w:val="32"/>
          <w:szCs w:val="22"/>
          <w:lang w:eastAsia="zh-CN"/>
        </w:rPr>
        <w:t>四</w:t>
      </w:r>
      <w:r>
        <w:rPr>
          <w:rFonts w:hint="eastAsia" w:ascii="CESI仿宋-GB13000" w:hAnsi="CESI仿宋-GB13000" w:eastAsia="CESI仿宋-GB13000" w:cs="CESI仿宋-GB13000"/>
          <w:color w:val="000000"/>
          <w:sz w:val="32"/>
          <w:szCs w:val="22"/>
        </w:rPr>
        <w:t>)项目支出：指在基本支出之外为完成特定行政任务或事业发展目标所发生的支出。</w:t>
      </w:r>
    </w:p>
    <w:p>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bCs/>
          <w:kern w:val="44"/>
          <w:sz w:val="32"/>
          <w:szCs w:val="32"/>
          <w:highlight w:val="none"/>
        </w:rPr>
      </w:pPr>
      <w:r>
        <w:rPr>
          <w:rFonts w:hint="eastAsia" w:ascii="CESI仿宋-GB13000" w:hAnsi="CESI仿宋-GB13000" w:eastAsia="CESI仿宋-GB13000" w:cs="CESI仿宋-GB13000"/>
          <w:sz w:val="32"/>
          <w:szCs w:val="32"/>
          <w:highlight w:val="none"/>
        </w:rPr>
        <w:t>(十</w:t>
      </w:r>
      <w:r>
        <w:rPr>
          <w:rFonts w:hint="eastAsia" w:ascii="CESI仿宋-GB13000" w:hAnsi="CESI仿宋-GB13000" w:eastAsia="CESI仿宋-GB13000" w:cs="CESI仿宋-GB13000"/>
          <w:sz w:val="32"/>
          <w:szCs w:val="32"/>
          <w:highlight w:val="none"/>
          <w:lang w:eastAsia="zh-CN"/>
        </w:rPr>
        <w:t>五</w:t>
      </w:r>
      <w:r>
        <w:rPr>
          <w:rFonts w:hint="eastAsia" w:ascii="CESI仿宋-GB13000" w:hAnsi="CESI仿宋-GB13000" w:eastAsia="CESI仿宋-GB13000" w:cs="CESI仿宋-GB13000"/>
          <w:sz w:val="32"/>
          <w:szCs w:val="32"/>
          <w:highlight w:val="none"/>
        </w:rPr>
        <w:t>)</w:t>
      </w:r>
      <w:r>
        <w:rPr>
          <w:rFonts w:hint="eastAsia" w:ascii="CESI仿宋-GB13000" w:hAnsi="CESI仿宋-GB13000" w:eastAsia="CESI仿宋-GB13000" w:cs="CESI仿宋-GB13000"/>
          <w:bCs/>
          <w:kern w:val="44"/>
          <w:sz w:val="32"/>
          <w:szCs w:val="32"/>
          <w:highlight w:val="none"/>
        </w:rPr>
        <w:t>经营支出：指事业单位在专业活动及辅助活动之外开展非独立核算经营活动发生的支出。</w:t>
      </w:r>
    </w:p>
    <w:p>
      <w:pPr>
        <w:pageBreakBefore w:val="0"/>
        <w:widowControl w:val="0"/>
        <w:kinsoku/>
        <w:wordWrap/>
        <w:overflowPunct/>
        <w:topLinePunct w:val="0"/>
        <w:bidi w:val="0"/>
        <w:adjustRightInd w:val="0"/>
        <w:snapToGrid w:val="0"/>
        <w:spacing w:line="360" w:lineRule="auto"/>
        <w:ind w:firstLine="640" w:firstLineChars="200"/>
        <w:textAlignment w:val="auto"/>
        <w:rPr>
          <w:rFonts w:hint="eastAsia" w:ascii="CESI仿宋-GB13000" w:hAnsi="CESI仿宋-GB13000" w:eastAsia="CESI仿宋-GB13000" w:cs="CESI仿宋-GB13000"/>
          <w:sz w:val="32"/>
          <w:szCs w:val="32"/>
          <w:highlight w:val="yellow"/>
        </w:rPr>
      </w:pPr>
      <w:r>
        <w:rPr>
          <w:rFonts w:hint="eastAsia" w:ascii="CESI仿宋-GB13000" w:hAnsi="CESI仿宋-GB13000" w:eastAsia="CESI仿宋-GB13000" w:cs="CESI仿宋-GB13000"/>
          <w:sz w:val="32"/>
          <w:szCs w:val="32"/>
          <w:highlight w:val="none"/>
        </w:rPr>
        <w:t>(十</w:t>
      </w:r>
      <w:r>
        <w:rPr>
          <w:rFonts w:hint="eastAsia" w:ascii="CESI仿宋-GB13000" w:hAnsi="CESI仿宋-GB13000" w:eastAsia="CESI仿宋-GB13000" w:cs="CESI仿宋-GB13000"/>
          <w:sz w:val="32"/>
          <w:szCs w:val="32"/>
          <w:highlight w:val="none"/>
          <w:lang w:eastAsia="zh-CN"/>
        </w:rPr>
        <w:t>六</w:t>
      </w:r>
      <w:r>
        <w:rPr>
          <w:rFonts w:hint="eastAsia" w:ascii="CESI仿宋-GB13000" w:hAnsi="CESI仿宋-GB13000" w:eastAsia="CESI仿宋-GB13000" w:cs="CESI仿宋-GB13000"/>
          <w:sz w:val="32"/>
          <w:szCs w:val="32"/>
          <w:highlight w:val="none"/>
        </w:rPr>
        <w:t>)“三公”经费：</w:t>
      </w:r>
      <w:r>
        <w:rPr>
          <w:rFonts w:hint="eastAsia" w:ascii="CESI仿宋-GB13000" w:hAnsi="CESI仿宋-GB13000" w:eastAsia="CESI仿宋-GB13000" w:cs="CESI仿宋-GB13000"/>
          <w:sz w:val="32"/>
          <w:szCs w:val="32"/>
          <w:highlight w:val="none"/>
          <w:lang w:eastAsia="zh-CN"/>
        </w:rPr>
        <w:t>纳入省级财政预决算管理的</w:t>
      </w:r>
      <w:r>
        <w:rPr>
          <w:rFonts w:hint="eastAsia" w:ascii="CESI仿宋-GB13000" w:hAnsi="CESI仿宋-GB13000" w:eastAsia="CESI仿宋-GB13000" w:cs="CESI仿宋-GB13000"/>
          <w:sz w:val="32"/>
          <w:szCs w:val="32"/>
          <w:highlight w:val="none"/>
        </w:rPr>
        <w:t>“三公”经费</w:t>
      </w:r>
      <w:r>
        <w:rPr>
          <w:rFonts w:hint="eastAsia" w:ascii="CESI仿宋-GB13000" w:hAnsi="CESI仿宋-GB13000" w:eastAsia="CESI仿宋-GB13000" w:cs="CESI仿宋-GB13000"/>
          <w:sz w:val="32"/>
          <w:szCs w:val="32"/>
          <w:highlight w:val="none"/>
          <w:lang w:eastAsia="zh-CN"/>
        </w:rPr>
        <w:t>，是</w:t>
      </w:r>
      <w:r>
        <w:rPr>
          <w:rFonts w:hint="eastAsia" w:ascii="CESI仿宋-GB13000" w:hAnsi="CESI仿宋-GB13000" w:eastAsia="CESI仿宋-GB13000" w:cs="CESI仿宋-GB13000"/>
          <w:sz w:val="32"/>
          <w:szCs w:val="32"/>
          <w:highlight w:val="none"/>
        </w:rPr>
        <w:t>指</w:t>
      </w:r>
      <w:r>
        <w:rPr>
          <w:rFonts w:hint="eastAsia" w:ascii="CESI仿宋-GB13000" w:hAnsi="CESI仿宋-GB13000" w:eastAsia="CESI仿宋-GB13000" w:cs="CESI仿宋-GB13000"/>
          <w:sz w:val="32"/>
          <w:szCs w:val="32"/>
          <w:highlight w:val="none"/>
          <w:lang w:eastAsia="zh-CN"/>
        </w:rPr>
        <w:t>省直部门</w:t>
      </w:r>
      <w:r>
        <w:rPr>
          <w:rFonts w:hint="eastAsia" w:ascii="CESI仿宋-GB13000" w:hAnsi="CESI仿宋-GB13000" w:eastAsia="CESI仿宋-GB13000" w:cs="CESI仿宋-GB13000"/>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支出(含车辆购置税</w:t>
      </w:r>
      <w:r>
        <w:rPr>
          <w:rFonts w:hint="eastAsia" w:ascii="CESI仿宋-GB13000" w:hAnsi="CESI仿宋-GB13000" w:eastAsia="CESI仿宋-GB13000" w:cs="CESI仿宋-GB13000"/>
          <w:sz w:val="32"/>
          <w:szCs w:val="32"/>
          <w:highlight w:val="none"/>
          <w:lang w:eastAsia="zh-CN"/>
        </w:rPr>
        <w:t>、牌照费</w:t>
      </w:r>
      <w:r>
        <w:rPr>
          <w:rFonts w:hint="eastAsia" w:ascii="CESI仿宋-GB13000" w:hAnsi="CESI仿宋-GB13000" w:eastAsia="CESI仿宋-GB13000" w:cs="CESI仿宋-GB13000"/>
          <w:sz w:val="32"/>
          <w:szCs w:val="32"/>
          <w:highlight w:val="none"/>
        </w:rPr>
        <w:t>)及燃料费、维修费、过桥过路费、保险费、安全奖励费用等支出；公务接待费反映单位按规定开支的各类公务接待(含外宾接待)费用。</w:t>
      </w:r>
    </w:p>
    <w:p>
      <w:pPr>
        <w:pageBreakBefore w:val="0"/>
        <w:widowControl w:val="0"/>
        <w:kinsoku/>
        <w:wordWrap/>
        <w:overflowPunct/>
        <w:topLinePunct w:val="0"/>
        <w:bidi w:val="0"/>
        <w:snapToGrid w:val="0"/>
        <w:spacing w:line="360" w:lineRule="auto"/>
        <w:ind w:firstLine="640" w:firstLineChars="200"/>
        <w:textAlignment w:val="auto"/>
        <w:rPr>
          <w:rFonts w:hint="eastAsia" w:ascii="CESI仿宋-GB13000" w:hAnsi="CESI仿宋-GB13000" w:eastAsia="CESI仿宋-GB13000" w:cs="CESI仿宋-GB13000"/>
          <w:sz w:val="32"/>
          <w:szCs w:val="32"/>
          <w:highlight w:val="yellow"/>
          <w:lang w:eastAsia="zh-CN"/>
        </w:rPr>
      </w:pPr>
      <w:r>
        <w:rPr>
          <w:rFonts w:hint="eastAsia" w:ascii="CESI仿宋-GB13000" w:hAnsi="CESI仿宋-GB13000" w:eastAsia="CESI仿宋-GB13000" w:cs="CESI仿宋-GB13000"/>
          <w:sz w:val="32"/>
          <w:szCs w:val="32"/>
          <w:highlight w:val="none"/>
        </w:rPr>
        <w:t>(十</w:t>
      </w:r>
      <w:r>
        <w:rPr>
          <w:rFonts w:hint="eastAsia" w:ascii="CESI仿宋-GB13000" w:hAnsi="CESI仿宋-GB13000" w:eastAsia="CESI仿宋-GB13000" w:cs="CESI仿宋-GB13000"/>
          <w:sz w:val="32"/>
          <w:szCs w:val="32"/>
          <w:highlight w:val="none"/>
          <w:lang w:eastAsia="zh-CN"/>
        </w:rPr>
        <w:t>七</w:t>
      </w:r>
      <w:r>
        <w:rPr>
          <w:rFonts w:hint="eastAsia" w:ascii="CESI仿宋-GB13000" w:hAnsi="CESI仿宋-GB13000" w:eastAsia="CESI仿宋-GB13000" w:cs="CESI仿宋-GB13000"/>
          <w:sz w:val="32"/>
          <w:szCs w:val="32"/>
          <w:highlight w:val="none"/>
        </w:rPr>
        <w:t>)机关运行经费：指为保障行政单位（</w:t>
      </w:r>
      <w:r>
        <w:rPr>
          <w:rFonts w:hint="eastAsia" w:ascii="CESI仿宋-GB13000" w:hAnsi="CESI仿宋-GB13000" w:eastAsia="CESI仿宋-GB13000" w:cs="CESI仿宋-GB13000"/>
          <w:sz w:val="32"/>
          <w:szCs w:val="32"/>
          <w:highlight w:val="none"/>
          <w:lang w:eastAsia="zh-CN"/>
        </w:rPr>
        <w:t>包括</w:t>
      </w:r>
      <w:r>
        <w:rPr>
          <w:rFonts w:hint="eastAsia" w:ascii="CESI仿宋-GB13000" w:hAnsi="CESI仿宋-GB13000" w:eastAsia="CESI仿宋-GB13000" w:cs="CESI仿宋-GB13000"/>
          <w:sz w:val="32"/>
          <w:szCs w:val="32"/>
          <w:highlight w:val="none"/>
        </w:rPr>
        <w:t>参照公务员法管理的事业单位）运行用于购买货物和服务的各项资金，包括办公</w:t>
      </w:r>
      <w:r>
        <w:rPr>
          <w:rFonts w:hint="eastAsia" w:ascii="CESI仿宋-GB13000" w:hAnsi="CESI仿宋-GB13000" w:eastAsia="CESI仿宋-GB13000" w:cs="CESI仿宋-GB13000"/>
          <w:sz w:val="32"/>
          <w:szCs w:val="32"/>
          <w:highlight w:val="none"/>
          <w:lang w:eastAsia="zh-CN"/>
        </w:rPr>
        <w:t>费、</w:t>
      </w:r>
      <w:r>
        <w:rPr>
          <w:rFonts w:hint="eastAsia" w:ascii="CESI仿宋-GB13000" w:hAnsi="CESI仿宋-GB13000" w:eastAsia="CESI仿宋-GB13000" w:cs="CESI仿宋-GB13000"/>
          <w:sz w:val="32"/>
          <w:szCs w:val="32"/>
          <w:highlight w:val="none"/>
        </w:rPr>
        <w:t>印刷费、邮电费、差旅费、会议费、福利费、日常维修费、专用材料及一般设备购置费、办公用房水电费、办公用房取暖费、办公用房物业管理费、公务用车运行维护费以及其他费用。</w:t>
      </w:r>
    </w:p>
    <w:p>
      <w:pPr>
        <w:numPr>
          <w:ilvl w:val="0"/>
          <w:numId w:val="0"/>
        </w:numPr>
        <w:spacing w:line="560" w:lineRule="exact"/>
        <w:jc w:val="center"/>
        <w:rPr>
          <w:rFonts w:hint="eastAsia" w:ascii="CESI小标宋-GB13000" w:hAnsi="CESI小标宋-GB13000" w:eastAsia="CESI小标宋-GB13000" w:cs="CESI小标宋-GB13000"/>
          <w:sz w:val="32"/>
          <w:szCs w:val="32"/>
          <w:lang w:val="en-US" w:eastAsia="zh-CN"/>
        </w:rPr>
      </w:pPr>
      <w:r>
        <w:rPr>
          <w:rFonts w:hint="eastAsia" w:ascii="CESI小标宋-GB13000" w:hAnsi="CESI小标宋-GB13000" w:eastAsia="CESI小标宋-GB13000" w:cs="CESI小标宋-GB13000"/>
          <w:sz w:val="32"/>
          <w:szCs w:val="32"/>
          <w:lang w:val="en-US" w:eastAsia="zh-CN"/>
        </w:rPr>
        <w:t>第六部分  附件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 w:lineRule="atLeast"/>
        <w:ind w:left="0" w:right="0" w:firstLine="640" w:firstLineChars="200"/>
        <w:jc w:val="left"/>
        <w:textAlignment w:val="auto"/>
        <w:rPr>
          <w:rFonts w:hint="eastAsia" w:ascii="CESI仿宋-GB13000" w:hAnsi="CESI仿宋-GB13000" w:eastAsia="CESI仿宋-GB13000" w:cs="CESI仿宋-GB13000"/>
          <w:i w:val="0"/>
          <w:caps w:val="0"/>
          <w:color w:val="333333"/>
          <w:spacing w:val="0"/>
          <w:sz w:val="32"/>
          <w:szCs w:val="32"/>
        </w:rPr>
      </w:pPr>
      <w:r>
        <w:rPr>
          <w:rFonts w:hint="eastAsia" w:ascii="CESI仿宋-GB13000" w:hAnsi="CESI仿宋-GB13000" w:eastAsia="CESI仿宋-GB13000" w:cs="CESI仿宋-GB13000"/>
          <w:i w:val="0"/>
          <w:caps w:val="0"/>
          <w:color w:val="333333"/>
          <w:spacing w:val="0"/>
          <w:kern w:val="0"/>
          <w:sz w:val="32"/>
          <w:szCs w:val="32"/>
          <w:shd w:val="clear" w:fill="FFFFFF"/>
          <w:lang w:val="en-US" w:eastAsia="zh-CN" w:bidi="ar"/>
        </w:rPr>
        <w:t>一、2023年度葛店开发区住建局项目绩效自评表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 w:lineRule="atLeast"/>
        <w:ind w:left="0" w:right="0" w:firstLine="640" w:firstLineChars="200"/>
        <w:jc w:val="left"/>
        <w:textAlignment w:val="auto"/>
        <w:rPr>
          <w:rFonts w:hint="eastAsia" w:ascii="CESI仿宋-GB13000" w:hAnsi="CESI仿宋-GB13000" w:eastAsia="CESI仿宋-GB13000" w:cs="CESI仿宋-GB13000"/>
          <w:i w:val="0"/>
          <w:caps w:val="0"/>
          <w:color w:val="333333"/>
          <w:spacing w:val="0"/>
          <w:kern w:val="0"/>
          <w:sz w:val="32"/>
          <w:szCs w:val="32"/>
          <w:shd w:val="clear" w:fill="FFFFFF"/>
          <w:lang w:val="en-US" w:eastAsia="zh-CN" w:bidi="ar"/>
        </w:rPr>
      </w:pPr>
      <w:r>
        <w:rPr>
          <w:rFonts w:hint="eastAsia" w:ascii="CESI仿宋-GB13000" w:hAnsi="CESI仿宋-GB13000" w:eastAsia="CESI仿宋-GB13000" w:cs="CESI仿宋-GB13000"/>
          <w:i w:val="0"/>
          <w:caps w:val="0"/>
          <w:color w:val="333333"/>
          <w:spacing w:val="0"/>
          <w:kern w:val="0"/>
          <w:sz w:val="32"/>
          <w:szCs w:val="32"/>
          <w:shd w:val="clear" w:fill="FFFFFF"/>
          <w:lang w:val="en-US" w:eastAsia="zh-CN" w:bidi="ar"/>
        </w:rPr>
        <w:t>二、2023年度葛店开发区住建局整体绩效自评表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 w:lineRule="atLeast"/>
        <w:ind w:left="0" w:right="0" w:firstLine="640" w:firstLineChars="200"/>
        <w:jc w:val="left"/>
        <w:textAlignment w:val="auto"/>
        <w:rPr>
          <w:rFonts w:hint="eastAsia" w:ascii="CESI仿宋-GB13000" w:hAnsi="CESI仿宋-GB13000" w:eastAsia="CESI仿宋-GB13000" w:cs="CESI仿宋-GB13000"/>
          <w:i w:val="0"/>
          <w:caps w:val="0"/>
          <w:color w:val="333333"/>
          <w:spacing w:val="0"/>
          <w:kern w:val="0"/>
          <w:sz w:val="32"/>
          <w:szCs w:val="32"/>
          <w:shd w:val="clear" w:fill="FFFFFF"/>
          <w:lang w:val="en-US" w:eastAsia="zh-CN" w:bidi="ar"/>
        </w:rPr>
      </w:pPr>
      <w:r>
        <w:rPr>
          <w:rFonts w:hint="eastAsia" w:ascii="CESI仿宋-GB13000" w:hAnsi="CESI仿宋-GB13000" w:eastAsia="CESI仿宋-GB13000" w:cs="CESI仿宋-GB13000"/>
          <w:i w:val="0"/>
          <w:caps w:val="0"/>
          <w:color w:val="333333"/>
          <w:spacing w:val="0"/>
          <w:kern w:val="0"/>
          <w:sz w:val="32"/>
          <w:szCs w:val="32"/>
          <w:shd w:val="clear" w:fill="FFFFFF"/>
          <w:lang w:val="en-US" w:eastAsia="zh-CN" w:bidi="ar"/>
        </w:rPr>
        <w:t>三、2023年度葛店开发区住建局整体绩效自评结果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 w:lineRule="atLeast"/>
        <w:ind w:left="0" w:right="0" w:firstLine="640" w:firstLineChars="200"/>
        <w:jc w:val="left"/>
        <w:textAlignment w:val="auto"/>
        <w:rPr>
          <w:rFonts w:hint="eastAsia" w:ascii="CESI仿宋-GB13000" w:hAnsi="CESI仿宋-GB13000" w:eastAsia="CESI仿宋-GB13000" w:cs="CESI仿宋-GB13000"/>
          <w:i w:val="0"/>
          <w:caps w:val="0"/>
          <w:color w:val="333333"/>
          <w:spacing w:val="0"/>
          <w:sz w:val="32"/>
          <w:szCs w:val="32"/>
        </w:rPr>
      </w:pPr>
      <w:r>
        <w:rPr>
          <w:rFonts w:hint="eastAsia" w:ascii="CESI仿宋-GB13000" w:hAnsi="CESI仿宋-GB13000" w:eastAsia="CESI仿宋-GB13000" w:cs="CESI仿宋-GB13000"/>
          <w:i w:val="0"/>
          <w:caps w:val="0"/>
          <w:color w:val="333333"/>
          <w:spacing w:val="0"/>
          <w:kern w:val="0"/>
          <w:sz w:val="32"/>
          <w:szCs w:val="32"/>
          <w:shd w:val="clear" w:fill="FFFFFF"/>
          <w:lang w:val="en-US" w:eastAsia="zh-CN" w:bidi="ar"/>
        </w:rPr>
        <w:t>四、2023年葛店开发区住建局绩效自评情况汇总表</w:t>
      </w:r>
    </w:p>
    <w:p>
      <w:pPr>
        <w:bidi w:val="0"/>
        <w:ind w:firstLine="640" w:firstLineChars="200"/>
        <w:rPr>
          <w:rFonts w:hint="default"/>
          <w:lang w:val="en-US"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文泉驿微米黑"/>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文泉驿微米黑"/>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文泉驿微米黑"/>
    <w:panose1 w:val="02010609030101010101"/>
    <w:charset w:val="00"/>
    <w:family w:val="modern"/>
    <w:pitch w:val="default"/>
    <w:sig w:usb0="00000000" w:usb1="00000000" w:usb2="00000000" w:usb3="00000000" w:csb0="00040000" w:csb1="00000000"/>
  </w:font>
  <w:font w:name="仿宋">
    <w:altName w:val="文泉驿微米黑"/>
    <w:panose1 w:val="02010609060101010101"/>
    <w:charset w:val="00"/>
    <w:family w:val="modern"/>
    <w:pitch w:val="default"/>
    <w:sig w:usb0="00000000" w:usb1="00000000" w:usb2="00000016" w:usb3="00000000" w:csb0="00040001" w:csb1="00000000"/>
  </w:font>
  <w:font w:name="方正小标宋简体">
    <w:altName w:val="文泉驿微米黑"/>
    <w:panose1 w:val="03000509000000000000"/>
    <w:charset w:val="00"/>
    <w:family w:val="auto"/>
    <w:pitch w:val="default"/>
    <w:sig w:usb0="00000000" w:usb1="00000000" w:usb2="00000000" w:usb3="00000000" w:csb0="00040000" w:csb1="00000000"/>
  </w:font>
  <w:font w:name="CESI仿宋-GB13000">
    <w:panose1 w:val="02000500000000000000"/>
    <w:charset w:val="86"/>
    <w:family w:val="auto"/>
    <w:pitch w:val="default"/>
    <w:sig w:usb0="800002BF" w:usb1="18CF7CF8" w:usb2="00000016" w:usb3="00000000" w:csb0="0004000F" w:csb1="00000000"/>
  </w:font>
  <w:font w:name="CESI小标宋-GB13000">
    <w:panose1 w:val="02000500000000000000"/>
    <w:charset w:val="86"/>
    <w:family w:val="auto"/>
    <w:pitch w:val="default"/>
    <w:sig w:usb0="800002BF" w:usb1="18CF7CF8" w:usb2="00000016" w:usb3="00000000" w:csb0="0004000F" w:csb1="00000000"/>
  </w:font>
  <w:font w:name="CESI仿宋-GB2312">
    <w:panose1 w:val="02000500000000000000"/>
    <w:charset w:val="86"/>
    <w:family w:val="auto"/>
    <w:pitch w:val="default"/>
    <w:sig w:usb0="800002AF" w:usb1="084F6CF8" w:usb2="00000010" w:usb3="00000000" w:csb0="0004000F" w:csb1="00000000"/>
  </w:font>
  <w:font w:name="CESI黑体-GB13000">
    <w:panose1 w:val="02000500000000000000"/>
    <w:charset w:val="86"/>
    <w:family w:val="auto"/>
    <w:pitch w:val="default"/>
    <w:sig w:usb0="800002BF" w:usb1="38CF7CF8" w:usb2="00000016" w:usb3="00000000" w:csb0="0004000F" w:csb1="00000000"/>
  </w:font>
  <w:font w:name="文泉驿微米黑">
    <w:panose1 w:val="020B0606030804020204"/>
    <w:charset w:val="86"/>
    <w:family w:val="auto"/>
    <w:pitch w:val="default"/>
    <w:sig w:usb0="E10002EF" w:usb1="6BDFFCFB" w:usb2="00800036" w:usb3="00000000" w:csb0="603E019F" w:csb1="DFD7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2"/>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2"/>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wYWJkNzBkMzUwNWQ4ZjYxNGJkMGI2OTIxZTcyMGIifQ=="/>
  </w:docVars>
  <w:rsids>
    <w:rsidRoot w:val="00172A27"/>
    <w:rsid w:val="004547FD"/>
    <w:rsid w:val="00617FFE"/>
    <w:rsid w:val="006929F9"/>
    <w:rsid w:val="013E7AC7"/>
    <w:rsid w:val="01BE2D5A"/>
    <w:rsid w:val="01DE62F7"/>
    <w:rsid w:val="029861A7"/>
    <w:rsid w:val="02A34C5F"/>
    <w:rsid w:val="02D35CB6"/>
    <w:rsid w:val="03201C98"/>
    <w:rsid w:val="05A361EF"/>
    <w:rsid w:val="05C123A9"/>
    <w:rsid w:val="0603185D"/>
    <w:rsid w:val="06136D4A"/>
    <w:rsid w:val="0616577C"/>
    <w:rsid w:val="063C4113"/>
    <w:rsid w:val="06455523"/>
    <w:rsid w:val="066F0480"/>
    <w:rsid w:val="069C1222"/>
    <w:rsid w:val="06EA398A"/>
    <w:rsid w:val="0737768A"/>
    <w:rsid w:val="07500C2E"/>
    <w:rsid w:val="07C42015"/>
    <w:rsid w:val="08324A39"/>
    <w:rsid w:val="08BB4CF2"/>
    <w:rsid w:val="08BF7782"/>
    <w:rsid w:val="0A30541D"/>
    <w:rsid w:val="0B2168ED"/>
    <w:rsid w:val="0B674E2F"/>
    <w:rsid w:val="0BC23F6A"/>
    <w:rsid w:val="0C9674F1"/>
    <w:rsid w:val="0D2838E8"/>
    <w:rsid w:val="0EA702B9"/>
    <w:rsid w:val="0EC20D63"/>
    <w:rsid w:val="0F155897"/>
    <w:rsid w:val="0F5E69F1"/>
    <w:rsid w:val="0F63EE3B"/>
    <w:rsid w:val="0F782054"/>
    <w:rsid w:val="0FE232D7"/>
    <w:rsid w:val="103E70D0"/>
    <w:rsid w:val="10644984"/>
    <w:rsid w:val="106C7341"/>
    <w:rsid w:val="107226B0"/>
    <w:rsid w:val="10BB78FC"/>
    <w:rsid w:val="10ED7ECB"/>
    <w:rsid w:val="11E06FA9"/>
    <w:rsid w:val="12172533"/>
    <w:rsid w:val="12A54EC2"/>
    <w:rsid w:val="12E80C4A"/>
    <w:rsid w:val="12E96197"/>
    <w:rsid w:val="132A2CAA"/>
    <w:rsid w:val="13420EFD"/>
    <w:rsid w:val="13675281"/>
    <w:rsid w:val="13A721FF"/>
    <w:rsid w:val="13DB4F89"/>
    <w:rsid w:val="14557466"/>
    <w:rsid w:val="14AC6C95"/>
    <w:rsid w:val="151C034B"/>
    <w:rsid w:val="15DE7A43"/>
    <w:rsid w:val="167DABF1"/>
    <w:rsid w:val="175306B7"/>
    <w:rsid w:val="17B24FAF"/>
    <w:rsid w:val="17DF5EC9"/>
    <w:rsid w:val="193F4E7E"/>
    <w:rsid w:val="1980363C"/>
    <w:rsid w:val="19823B1B"/>
    <w:rsid w:val="1A7E630A"/>
    <w:rsid w:val="1AAE67BE"/>
    <w:rsid w:val="1ABE6FE3"/>
    <w:rsid w:val="1AD05FDE"/>
    <w:rsid w:val="1AD30C32"/>
    <w:rsid w:val="1B20600E"/>
    <w:rsid w:val="1B5D1E4D"/>
    <w:rsid w:val="1BB1641A"/>
    <w:rsid w:val="1C800ECA"/>
    <w:rsid w:val="1CC27AD1"/>
    <w:rsid w:val="1CFD5171"/>
    <w:rsid w:val="1D3A53B2"/>
    <w:rsid w:val="1D7C428F"/>
    <w:rsid w:val="1D9C0305"/>
    <w:rsid w:val="1DAC59D1"/>
    <w:rsid w:val="1EA16312"/>
    <w:rsid w:val="1F085EE0"/>
    <w:rsid w:val="1F1EBAF2"/>
    <w:rsid w:val="1F6FD237"/>
    <w:rsid w:val="1FB95752"/>
    <w:rsid w:val="1FFF7EA4"/>
    <w:rsid w:val="21075ECE"/>
    <w:rsid w:val="210C177B"/>
    <w:rsid w:val="21A86C72"/>
    <w:rsid w:val="21F62F01"/>
    <w:rsid w:val="223631D9"/>
    <w:rsid w:val="22DD2FC9"/>
    <w:rsid w:val="23933B89"/>
    <w:rsid w:val="24317D36"/>
    <w:rsid w:val="254D730D"/>
    <w:rsid w:val="25E40F1B"/>
    <w:rsid w:val="2857B73B"/>
    <w:rsid w:val="290902F6"/>
    <w:rsid w:val="29350C34"/>
    <w:rsid w:val="29B82726"/>
    <w:rsid w:val="2ABC5374"/>
    <w:rsid w:val="2ADDFB27"/>
    <w:rsid w:val="2B146097"/>
    <w:rsid w:val="2B1C41B0"/>
    <w:rsid w:val="2B585B55"/>
    <w:rsid w:val="2C543195"/>
    <w:rsid w:val="2C634B47"/>
    <w:rsid w:val="2D356D6C"/>
    <w:rsid w:val="2EF75CCE"/>
    <w:rsid w:val="2F052A80"/>
    <w:rsid w:val="3069714B"/>
    <w:rsid w:val="30B11BE5"/>
    <w:rsid w:val="31072E65"/>
    <w:rsid w:val="310D6804"/>
    <w:rsid w:val="317821EF"/>
    <w:rsid w:val="31902C3E"/>
    <w:rsid w:val="324D79F5"/>
    <w:rsid w:val="32683364"/>
    <w:rsid w:val="3359566B"/>
    <w:rsid w:val="335F45E9"/>
    <w:rsid w:val="337C6572"/>
    <w:rsid w:val="33A066C8"/>
    <w:rsid w:val="341328FE"/>
    <w:rsid w:val="342815E4"/>
    <w:rsid w:val="348A12B7"/>
    <w:rsid w:val="362566B0"/>
    <w:rsid w:val="364A12E8"/>
    <w:rsid w:val="36C06BEC"/>
    <w:rsid w:val="37054B8B"/>
    <w:rsid w:val="37CB2439"/>
    <w:rsid w:val="37F12EFC"/>
    <w:rsid w:val="386A515B"/>
    <w:rsid w:val="38E677D5"/>
    <w:rsid w:val="391F30E3"/>
    <w:rsid w:val="39BA0CB8"/>
    <w:rsid w:val="39D57AEA"/>
    <w:rsid w:val="39E73ADD"/>
    <w:rsid w:val="3A2F2A04"/>
    <w:rsid w:val="3A471949"/>
    <w:rsid w:val="3A96743D"/>
    <w:rsid w:val="3B2E0A9A"/>
    <w:rsid w:val="3B3BEE8B"/>
    <w:rsid w:val="3B460044"/>
    <w:rsid w:val="3B7E251F"/>
    <w:rsid w:val="3C300DB8"/>
    <w:rsid w:val="3CCC762D"/>
    <w:rsid w:val="3CF14CF6"/>
    <w:rsid w:val="3E1875F9"/>
    <w:rsid w:val="3E3699D5"/>
    <w:rsid w:val="3F134852"/>
    <w:rsid w:val="3F1B9EF6"/>
    <w:rsid w:val="3F39A55C"/>
    <w:rsid w:val="3F7E481D"/>
    <w:rsid w:val="3FA93C5C"/>
    <w:rsid w:val="3FBBB8E9"/>
    <w:rsid w:val="3FD85D09"/>
    <w:rsid w:val="40117033"/>
    <w:rsid w:val="402C37E7"/>
    <w:rsid w:val="40557BBD"/>
    <w:rsid w:val="40E575B6"/>
    <w:rsid w:val="414A4154"/>
    <w:rsid w:val="415E5FF2"/>
    <w:rsid w:val="41912E59"/>
    <w:rsid w:val="42C7362B"/>
    <w:rsid w:val="43172620"/>
    <w:rsid w:val="43AA2C88"/>
    <w:rsid w:val="443E6F80"/>
    <w:rsid w:val="46094FCA"/>
    <w:rsid w:val="467B616A"/>
    <w:rsid w:val="470733B5"/>
    <w:rsid w:val="47DA38F3"/>
    <w:rsid w:val="48BA31C1"/>
    <w:rsid w:val="49592FF6"/>
    <w:rsid w:val="49CD7158"/>
    <w:rsid w:val="4A075347"/>
    <w:rsid w:val="4A231C0E"/>
    <w:rsid w:val="4A273CC0"/>
    <w:rsid w:val="4A2FE802"/>
    <w:rsid w:val="4A7455D7"/>
    <w:rsid w:val="4A831624"/>
    <w:rsid w:val="4AA549ED"/>
    <w:rsid w:val="4B9A4935"/>
    <w:rsid w:val="4BB67944"/>
    <w:rsid w:val="4C6F174F"/>
    <w:rsid w:val="4CD93F58"/>
    <w:rsid w:val="4CF76003"/>
    <w:rsid w:val="4DF80089"/>
    <w:rsid w:val="4F3B42FB"/>
    <w:rsid w:val="501C4516"/>
    <w:rsid w:val="505C103B"/>
    <w:rsid w:val="50874A7C"/>
    <w:rsid w:val="51EF4924"/>
    <w:rsid w:val="51F5623E"/>
    <w:rsid w:val="51F577C4"/>
    <w:rsid w:val="5219152A"/>
    <w:rsid w:val="52281131"/>
    <w:rsid w:val="52707792"/>
    <w:rsid w:val="52A707CD"/>
    <w:rsid w:val="54155AC4"/>
    <w:rsid w:val="54162067"/>
    <w:rsid w:val="544D0F4F"/>
    <w:rsid w:val="549459EB"/>
    <w:rsid w:val="54F2448F"/>
    <w:rsid w:val="55A07CB5"/>
    <w:rsid w:val="55EA540F"/>
    <w:rsid w:val="56655AC8"/>
    <w:rsid w:val="569D3A25"/>
    <w:rsid w:val="56B20826"/>
    <w:rsid w:val="56FD2A28"/>
    <w:rsid w:val="579F6A64"/>
    <w:rsid w:val="57FA09B2"/>
    <w:rsid w:val="593542E4"/>
    <w:rsid w:val="59371AB8"/>
    <w:rsid w:val="59E6188F"/>
    <w:rsid w:val="5A7B2EF0"/>
    <w:rsid w:val="5AC708F2"/>
    <w:rsid w:val="5AD83789"/>
    <w:rsid w:val="5B726329"/>
    <w:rsid w:val="5BBDF370"/>
    <w:rsid w:val="5BD443CE"/>
    <w:rsid w:val="5BD4C12A"/>
    <w:rsid w:val="5D14783E"/>
    <w:rsid w:val="5D301AE5"/>
    <w:rsid w:val="5D334270"/>
    <w:rsid w:val="5D486349"/>
    <w:rsid w:val="5DCA70C9"/>
    <w:rsid w:val="5DE51CFC"/>
    <w:rsid w:val="5DF87710"/>
    <w:rsid w:val="5DFFAE3D"/>
    <w:rsid w:val="5E205FF3"/>
    <w:rsid w:val="5E451AD3"/>
    <w:rsid w:val="5EF63DB3"/>
    <w:rsid w:val="5F4014D0"/>
    <w:rsid w:val="5F4E8FD1"/>
    <w:rsid w:val="5F8FAC29"/>
    <w:rsid w:val="5FB794F5"/>
    <w:rsid w:val="5FD8371D"/>
    <w:rsid w:val="5FFAA246"/>
    <w:rsid w:val="5FFF85B8"/>
    <w:rsid w:val="5FFFBC38"/>
    <w:rsid w:val="609A4BD3"/>
    <w:rsid w:val="61004C07"/>
    <w:rsid w:val="61980F92"/>
    <w:rsid w:val="627B0ECC"/>
    <w:rsid w:val="62AE7649"/>
    <w:rsid w:val="63BF8E3A"/>
    <w:rsid w:val="63F6CD9B"/>
    <w:rsid w:val="64510316"/>
    <w:rsid w:val="645706A8"/>
    <w:rsid w:val="64721DE4"/>
    <w:rsid w:val="649B2F7D"/>
    <w:rsid w:val="64B42850"/>
    <w:rsid w:val="64E32140"/>
    <w:rsid w:val="653448B6"/>
    <w:rsid w:val="65547BFE"/>
    <w:rsid w:val="65E968A5"/>
    <w:rsid w:val="661C0CF6"/>
    <w:rsid w:val="662D0574"/>
    <w:rsid w:val="66826A61"/>
    <w:rsid w:val="66A948C2"/>
    <w:rsid w:val="66F329DB"/>
    <w:rsid w:val="67764D21"/>
    <w:rsid w:val="67E20283"/>
    <w:rsid w:val="69880225"/>
    <w:rsid w:val="69AD32FC"/>
    <w:rsid w:val="69C80956"/>
    <w:rsid w:val="6A5A093E"/>
    <w:rsid w:val="6B0E372A"/>
    <w:rsid w:val="6BF7211B"/>
    <w:rsid w:val="6C5076BD"/>
    <w:rsid w:val="6CC142A2"/>
    <w:rsid w:val="6CDBBECA"/>
    <w:rsid w:val="6CDD7745"/>
    <w:rsid w:val="6CF22418"/>
    <w:rsid w:val="6D396136"/>
    <w:rsid w:val="6D443723"/>
    <w:rsid w:val="6D8A46AE"/>
    <w:rsid w:val="6DCA1178"/>
    <w:rsid w:val="6DE7520D"/>
    <w:rsid w:val="6DF39116"/>
    <w:rsid w:val="6DFD2BFB"/>
    <w:rsid w:val="6EA00679"/>
    <w:rsid w:val="6EFFDAE5"/>
    <w:rsid w:val="6F7EEDF2"/>
    <w:rsid w:val="6FDB8FA3"/>
    <w:rsid w:val="6FEB8D9D"/>
    <w:rsid w:val="70170310"/>
    <w:rsid w:val="70B87F23"/>
    <w:rsid w:val="710B2708"/>
    <w:rsid w:val="71525086"/>
    <w:rsid w:val="72F73226"/>
    <w:rsid w:val="72FD8E6B"/>
    <w:rsid w:val="73972FFE"/>
    <w:rsid w:val="74056784"/>
    <w:rsid w:val="74823C8D"/>
    <w:rsid w:val="756B0DDF"/>
    <w:rsid w:val="75D25F0A"/>
    <w:rsid w:val="75DBC4A4"/>
    <w:rsid w:val="75FFE80A"/>
    <w:rsid w:val="76DC4D6B"/>
    <w:rsid w:val="76E81511"/>
    <w:rsid w:val="777A6BF1"/>
    <w:rsid w:val="77906EE1"/>
    <w:rsid w:val="77BFE384"/>
    <w:rsid w:val="77E963DD"/>
    <w:rsid w:val="783AF68B"/>
    <w:rsid w:val="78675726"/>
    <w:rsid w:val="795379F2"/>
    <w:rsid w:val="797353EC"/>
    <w:rsid w:val="797E7EAC"/>
    <w:rsid w:val="79BE6BF7"/>
    <w:rsid w:val="7A5549F4"/>
    <w:rsid w:val="7A715023"/>
    <w:rsid w:val="7A9F93E7"/>
    <w:rsid w:val="7AE95FA4"/>
    <w:rsid w:val="7B2E0177"/>
    <w:rsid w:val="7BAA698E"/>
    <w:rsid w:val="7BBF6848"/>
    <w:rsid w:val="7BE063D3"/>
    <w:rsid w:val="7C2A387C"/>
    <w:rsid w:val="7C94315B"/>
    <w:rsid w:val="7C9B0B58"/>
    <w:rsid w:val="7CD56640"/>
    <w:rsid w:val="7DB60F89"/>
    <w:rsid w:val="7E032A0C"/>
    <w:rsid w:val="7E235C19"/>
    <w:rsid w:val="7EEFE89C"/>
    <w:rsid w:val="7EFB5C2B"/>
    <w:rsid w:val="7F14A355"/>
    <w:rsid w:val="7F342E1F"/>
    <w:rsid w:val="7F36679A"/>
    <w:rsid w:val="7F3D3593"/>
    <w:rsid w:val="7F5F87B3"/>
    <w:rsid w:val="7F6B598D"/>
    <w:rsid w:val="7F737DF6"/>
    <w:rsid w:val="7F7F7666"/>
    <w:rsid w:val="7FDF3DEF"/>
    <w:rsid w:val="7FDF6C84"/>
    <w:rsid w:val="7FE00F56"/>
    <w:rsid w:val="7FE21DC4"/>
    <w:rsid w:val="7FE9C912"/>
    <w:rsid w:val="7FFB4029"/>
    <w:rsid w:val="7FFE52FC"/>
    <w:rsid w:val="7FFFC45C"/>
    <w:rsid w:val="82FA689C"/>
    <w:rsid w:val="93EDA1D2"/>
    <w:rsid w:val="9B7B17BE"/>
    <w:rsid w:val="9BAC36D9"/>
    <w:rsid w:val="9FAFB94D"/>
    <w:rsid w:val="9FEBA561"/>
    <w:rsid w:val="9FFB5A07"/>
    <w:rsid w:val="A73E05F9"/>
    <w:rsid w:val="AF1AAD52"/>
    <w:rsid w:val="B38EDE1A"/>
    <w:rsid w:val="B3F4DBE7"/>
    <w:rsid w:val="B5FC58D1"/>
    <w:rsid w:val="B7712DAC"/>
    <w:rsid w:val="B99E6C29"/>
    <w:rsid w:val="BA9C314F"/>
    <w:rsid w:val="BB50BE54"/>
    <w:rsid w:val="BBEF4C66"/>
    <w:rsid w:val="BBFB2A18"/>
    <w:rsid w:val="BCFD8226"/>
    <w:rsid w:val="BEFFAB35"/>
    <w:rsid w:val="BF27A376"/>
    <w:rsid w:val="BF6B94A5"/>
    <w:rsid w:val="BFBE234F"/>
    <w:rsid w:val="BFCFDD27"/>
    <w:rsid w:val="BFEBB420"/>
    <w:rsid w:val="BFF56896"/>
    <w:rsid w:val="BFFF053F"/>
    <w:rsid w:val="BFFFF5CD"/>
    <w:rsid w:val="CFFFD493"/>
    <w:rsid w:val="D4BDA178"/>
    <w:rsid w:val="D7FB9F12"/>
    <w:rsid w:val="DBFF205D"/>
    <w:rsid w:val="DCB7B679"/>
    <w:rsid w:val="DDAF1AB5"/>
    <w:rsid w:val="DDDFB13B"/>
    <w:rsid w:val="DF6D1CDE"/>
    <w:rsid w:val="DFFDA40A"/>
    <w:rsid w:val="E6F7189C"/>
    <w:rsid w:val="E7EFF6B9"/>
    <w:rsid w:val="EBEFA62F"/>
    <w:rsid w:val="EDACF227"/>
    <w:rsid w:val="EF9E2E8B"/>
    <w:rsid w:val="EFEED22B"/>
    <w:rsid w:val="EFFFBAA2"/>
    <w:rsid w:val="F2ED397D"/>
    <w:rsid w:val="F4D64337"/>
    <w:rsid w:val="F7BE0024"/>
    <w:rsid w:val="F7BEF1C4"/>
    <w:rsid w:val="F7D59F49"/>
    <w:rsid w:val="F7DB6B4A"/>
    <w:rsid w:val="F9EB898A"/>
    <w:rsid w:val="F9F32272"/>
    <w:rsid w:val="FA9B4413"/>
    <w:rsid w:val="FAFF2A23"/>
    <w:rsid w:val="FB77B50E"/>
    <w:rsid w:val="FBEB4747"/>
    <w:rsid w:val="FBFF867C"/>
    <w:rsid w:val="FC0216D3"/>
    <w:rsid w:val="FCCC5907"/>
    <w:rsid w:val="FCFD3BF8"/>
    <w:rsid w:val="FD7F629E"/>
    <w:rsid w:val="FDEF7672"/>
    <w:rsid w:val="FDFF749E"/>
    <w:rsid w:val="FE475C77"/>
    <w:rsid w:val="FEE60D0F"/>
    <w:rsid w:val="FEFBA1EC"/>
    <w:rsid w:val="FF3EF465"/>
    <w:rsid w:val="FF7D8955"/>
    <w:rsid w:val="FFB7BC8F"/>
    <w:rsid w:val="FFBB06B8"/>
    <w:rsid w:val="FFDF714D"/>
    <w:rsid w:val="FFDF9749"/>
    <w:rsid w:val="FFEBE1D2"/>
    <w:rsid w:val="FFEF7AA3"/>
    <w:rsid w:val="FFFB1C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footnote text"/>
    <w:basedOn w:val="1"/>
    <w:next w:val="1"/>
    <w:qFormat/>
    <w:uiPriority w:val="0"/>
    <w:pPr>
      <w:snapToGrid w:val="0"/>
      <w:jc w:val="left"/>
    </w:pPr>
    <w:rPr>
      <w:sz w:val="32"/>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8">
    <w:name w:val="正文缩进 + 首行缩进:  2 字符"/>
    <w:basedOn w:val="1"/>
    <w:qFormat/>
    <w:uiPriority w:val="0"/>
    <w:pPr>
      <w:spacing w:line="560" w:lineRule="exact"/>
      <w:ind w:firstLine="640"/>
    </w:pPr>
    <w:rPr>
      <w:rFonts w:ascii="仿宋" w:hAnsi="仿宋" w:eastAsia="仿宋" w:cs="宋体"/>
      <w:sz w:val="32"/>
      <w:szCs w:val="20"/>
    </w:rPr>
  </w:style>
  <w:style w:type="paragraph" w:customStyle="1" w:styleId="9">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0">
    <w:name w:val="样式1"/>
    <w:basedOn w:val="1"/>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png"/><Relationship Id="rId7" Type="http://schemas.openxmlformats.org/officeDocument/2006/relationships/oleObject" Target="embeddings/oleObject2.bin"/><Relationship Id="rId6" Type="http://schemas.openxmlformats.org/officeDocument/2006/relationships/image" Target="media/image1.png"/><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4.emf"/><Relationship Id="rId11" Type="http://schemas.openxmlformats.org/officeDocument/2006/relationships/oleObject" Target="embeddings/oleObject4.bin"/><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18</Pages>
  <Words>6516</Words>
  <Characters>6798</Characters>
  <Lines>0</Lines>
  <Paragraphs>0</Paragraphs>
  <TotalTime>21</TotalTime>
  <ScaleCrop>false</ScaleCrop>
  <LinksUpToDate>false</LinksUpToDate>
  <CharactersWithSpaces>7252</CharactersWithSpaces>
  <Application>WPS Office_11.1.0.10161_F1E327BC-269C-435d-A152-05C5408002CA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2014-11-02T20:08:00Z</dcterms:created>
  <dc:creator>Administrator</dc:creator>
  <cp:lastModifiedBy>lenovo</cp:lastModifiedBy>
  <cp:lastPrinted>2024-10-14T01:25:00Z</cp:lastPrinted>
  <dcterms:modified xsi:type="dcterms:W3CDTF">2024-10-25T09:02:11Z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2052-11.1.0.10161</vt:lpwstr>
  </property>
  <property fmtid="{D5CDD505-2E9C-101B-9397-08002B2CF9AE}" pid="3" name="ICV">
    <vt:lpwstr>584416916D894806ADDAF586C19F35E1_13</vt:lpwstr>
  </property>
</Properties>
</file>