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rPr>
          <w:rFonts w:ascii="Times New Roman" w:hAnsi="Times New Roman" w:eastAsia="黑体"/>
          <w:sz w:val="32"/>
          <w:szCs w:val="32"/>
        </w:rPr>
      </w:pPr>
      <w:r>
        <w:rPr>
          <w:rFonts w:ascii="Times New Roman" w:hAnsi="Times New Roman" w:eastAsia="黑体"/>
          <w:sz w:val="32"/>
          <w:szCs w:val="32"/>
        </w:rPr>
        <w:t>附件1</w:t>
      </w:r>
    </w:p>
    <w:p>
      <w:pPr>
        <w:overflowPunct w:val="0"/>
        <w:spacing w:before="124" w:beforeLines="40" w:after="436" w:afterLines="140" w:line="579"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2023年保障性租赁住房、公租房保障、城镇棚户区改造等计划汇总表</w:t>
      </w:r>
    </w:p>
    <w:p>
      <w:pPr>
        <w:overflowPunct w:val="0"/>
        <w:spacing w:after="93" w:afterLines="30" w:line="300" w:lineRule="exact"/>
        <w:rPr>
          <w:rFonts w:ascii="Times New Roman" w:hAnsi="Times New Roman" w:eastAsia="仿宋_GB2312"/>
          <w:szCs w:val="21"/>
        </w:rPr>
      </w:pPr>
      <w:r>
        <w:rPr>
          <w:rFonts w:hint="eastAsia" w:ascii="Times New Roman" w:hAnsi="Times New Roman" w:eastAsia="仿宋_GB2312"/>
          <w:szCs w:val="21"/>
          <w:lang w:eastAsia="zh-CN"/>
        </w:rPr>
        <w:t>县</w:t>
      </w:r>
      <w:r>
        <w:rPr>
          <w:rFonts w:ascii="Times New Roman" w:hAnsi="Times New Roman" w:eastAsia="仿宋_GB2312"/>
          <w:szCs w:val="21"/>
        </w:rPr>
        <w:t>（</w:t>
      </w:r>
      <w:r>
        <w:rPr>
          <w:rFonts w:hint="eastAsia" w:ascii="Times New Roman" w:hAnsi="Times New Roman" w:eastAsia="仿宋_GB2312"/>
          <w:szCs w:val="21"/>
          <w:lang w:eastAsia="zh-CN"/>
        </w:rPr>
        <w:t>市、区</w:t>
      </w:r>
      <w:r>
        <w:rPr>
          <w:rFonts w:ascii="Times New Roman" w:hAnsi="Times New Roman" w:eastAsia="仿宋_GB2312"/>
          <w:szCs w:val="21"/>
        </w:rPr>
        <w:t>）：</w:t>
      </w:r>
      <w:r>
        <w:rPr>
          <w:rFonts w:hint="eastAsia" w:ascii="Times New Roman" w:hAnsi="Times New Roman" w:eastAsia="仿宋_GB2312"/>
          <w:szCs w:val="21"/>
          <w:lang w:val="en-US" w:eastAsia="zh-CN"/>
        </w:rPr>
        <w:t>葛店经开</w:t>
      </w:r>
      <w:r>
        <w:rPr>
          <w:rFonts w:hint="eastAsia" w:ascii="Times New Roman" w:hAnsi="Times New Roman" w:eastAsia="仿宋_GB2312"/>
          <w:szCs w:val="21"/>
          <w:lang w:eastAsia="zh-CN"/>
        </w:rPr>
        <w:t>区</w:t>
      </w:r>
      <w:r>
        <w:rPr>
          <w:rFonts w:ascii="Times New Roman" w:hAnsi="Times New Roman" w:eastAsia="仿宋_GB2312"/>
          <w:szCs w:val="21"/>
        </w:rPr>
        <w:t>　　　　　　　　　　　　　　</w:t>
      </w:r>
      <w:r>
        <w:rPr>
          <w:rFonts w:hint="eastAsia" w:ascii="Times New Roman" w:hAnsi="Times New Roman" w:eastAsia="仿宋_GB2312"/>
          <w:szCs w:val="21"/>
        </w:rPr>
        <w:t>　</w:t>
      </w:r>
      <w:r>
        <w:rPr>
          <w:rFonts w:ascii="Times New Roman" w:hAnsi="Times New Roman" w:eastAsia="仿宋_GB2312"/>
          <w:szCs w:val="21"/>
        </w:rPr>
        <w:t>　　　　　　　　　　　　　　</w:t>
      </w:r>
      <w:r>
        <w:rPr>
          <w:rFonts w:hint="eastAsia" w:ascii="Times New Roman" w:hAnsi="Times New Roman" w:eastAsia="仿宋_GB2312"/>
          <w:szCs w:val="21"/>
        </w:rPr>
        <w:t xml:space="preserve"> </w:t>
      </w:r>
      <w:r>
        <w:rPr>
          <w:rFonts w:ascii="Times New Roman" w:hAnsi="Times New Roman" w:eastAsia="仿宋_GB2312"/>
          <w:szCs w:val="21"/>
        </w:rPr>
        <w:t>　　　</w:t>
      </w:r>
      <w:r>
        <w:rPr>
          <w:rFonts w:hint="eastAsia" w:ascii="Times New Roman" w:hAnsi="Times New Roman" w:eastAsia="仿宋_GB2312"/>
          <w:szCs w:val="21"/>
        </w:rPr>
        <w:t xml:space="preserve">      </w:t>
      </w:r>
      <w:r>
        <w:rPr>
          <w:rFonts w:ascii="Times New Roman" w:hAnsi="Times New Roman" w:eastAsia="仿宋_GB2312"/>
          <w:szCs w:val="21"/>
        </w:rPr>
        <w:t>单位：套、间、户、人</w:t>
      </w:r>
    </w:p>
    <w:tbl>
      <w:tblPr>
        <w:tblStyle w:val="27"/>
        <w:tblW w:w="5000" w:type="pct"/>
        <w:jc w:val="center"/>
        <w:tblLayout w:type="fixed"/>
        <w:tblCellMar>
          <w:top w:w="40" w:type="dxa"/>
          <w:left w:w="57" w:type="dxa"/>
          <w:bottom w:w="40" w:type="dxa"/>
          <w:right w:w="57" w:type="dxa"/>
        </w:tblCellMar>
      </w:tblPr>
      <w:tblGrid>
        <w:gridCol w:w="4073"/>
        <w:gridCol w:w="1229"/>
        <w:gridCol w:w="2006"/>
        <w:gridCol w:w="2864"/>
        <w:gridCol w:w="1084"/>
        <w:gridCol w:w="1614"/>
      </w:tblGrid>
      <w:tr>
        <w:tblPrEx>
          <w:tblCellMar>
            <w:top w:w="40" w:type="dxa"/>
            <w:left w:w="57" w:type="dxa"/>
            <w:bottom w:w="40" w:type="dxa"/>
            <w:right w:w="57" w:type="dxa"/>
          </w:tblCellMar>
        </w:tblPrEx>
        <w:trPr>
          <w:trHeight w:val="376" w:hRule="atLeast"/>
          <w:tblHeader/>
          <w:jc w:val="center"/>
        </w:trPr>
        <w:tc>
          <w:tcPr>
            <w:tcW w:w="40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40" w:lineRule="exact"/>
              <w:jc w:val="center"/>
              <w:rPr>
                <w:rFonts w:ascii="Times New Roman" w:hAnsi="Times New Roman" w:eastAsia="黑体"/>
                <w:kern w:val="0"/>
                <w:szCs w:val="21"/>
              </w:rPr>
            </w:pPr>
            <w:r>
              <w:rPr>
                <w:rFonts w:ascii="Times New Roman" w:hAnsi="Times New Roman" w:eastAsia="黑体"/>
                <w:kern w:val="0"/>
                <w:szCs w:val="21"/>
              </w:rPr>
              <w:t>　</w:t>
            </w:r>
          </w:p>
        </w:tc>
        <w:tc>
          <w:tcPr>
            <w:tcW w:w="6099" w:type="dxa"/>
            <w:gridSpan w:val="3"/>
            <w:tcBorders>
              <w:top w:val="single" w:color="auto" w:sz="4" w:space="0"/>
              <w:left w:val="nil"/>
              <w:right w:val="single" w:color="000000" w:sz="4" w:space="0"/>
            </w:tcBorders>
            <w:shd w:val="clear" w:color="auto" w:fill="auto"/>
            <w:noWrap/>
            <w:vAlign w:val="center"/>
          </w:tcPr>
          <w:p>
            <w:pPr>
              <w:overflowPunct w:val="0"/>
              <w:spacing w:line="240" w:lineRule="exact"/>
              <w:jc w:val="center"/>
              <w:rPr>
                <w:rFonts w:ascii="Times New Roman" w:hAnsi="Times New Roman" w:eastAsia="黑体"/>
                <w:kern w:val="0"/>
                <w:szCs w:val="21"/>
              </w:rPr>
            </w:pPr>
            <w:r>
              <w:rPr>
                <w:rFonts w:hint="eastAsia" w:ascii="Times New Roman" w:hAnsi="Times New Roman" w:eastAsia="黑体"/>
                <w:kern w:val="0"/>
                <w:szCs w:val="21"/>
              </w:rPr>
              <w:t>2023年</w:t>
            </w:r>
            <w:r>
              <w:rPr>
                <w:rFonts w:ascii="Times New Roman" w:hAnsi="Times New Roman" w:eastAsia="黑体"/>
                <w:kern w:val="0"/>
                <w:szCs w:val="21"/>
              </w:rPr>
              <w:t>新开工（筹集、发放）</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240" w:lineRule="exact"/>
              <w:jc w:val="center"/>
              <w:rPr>
                <w:rFonts w:hint="eastAsia" w:ascii="Times New Roman" w:hAnsi="Times New Roman" w:eastAsia="黑体"/>
                <w:kern w:val="0"/>
                <w:szCs w:val="21"/>
              </w:rPr>
            </w:pPr>
            <w:r>
              <w:rPr>
                <w:rFonts w:hint="eastAsia" w:ascii="Times New Roman" w:hAnsi="Times New Roman" w:eastAsia="黑体"/>
                <w:kern w:val="0"/>
                <w:szCs w:val="21"/>
              </w:rPr>
              <w:t>2023年</w:t>
            </w:r>
          </w:p>
          <w:p>
            <w:pPr>
              <w:overflowPunct w:val="0"/>
              <w:spacing w:line="240" w:lineRule="exact"/>
              <w:jc w:val="center"/>
              <w:rPr>
                <w:rFonts w:ascii="Times New Roman" w:hAnsi="Times New Roman" w:eastAsia="黑体"/>
                <w:kern w:val="0"/>
                <w:szCs w:val="21"/>
              </w:rPr>
            </w:pPr>
            <w:r>
              <w:rPr>
                <w:rFonts w:ascii="Times New Roman" w:hAnsi="Times New Roman" w:eastAsia="黑体"/>
                <w:kern w:val="0"/>
                <w:szCs w:val="21"/>
              </w:rPr>
              <w:t>基本建成</w:t>
            </w:r>
          </w:p>
        </w:tc>
        <w:tc>
          <w:tcPr>
            <w:tcW w:w="1614" w:type="dxa"/>
            <w:vMerge w:val="restart"/>
            <w:tcBorders>
              <w:top w:val="single" w:color="auto" w:sz="4" w:space="0"/>
              <w:left w:val="single" w:color="auto" w:sz="4" w:space="0"/>
              <w:right w:val="single" w:color="auto" w:sz="4" w:space="0"/>
            </w:tcBorders>
            <w:vAlign w:val="center"/>
          </w:tcPr>
          <w:p>
            <w:pPr>
              <w:overflowPunct w:val="0"/>
              <w:spacing w:line="240" w:lineRule="exact"/>
              <w:jc w:val="center"/>
              <w:rPr>
                <w:rFonts w:hint="eastAsia" w:ascii="Times New Roman" w:hAnsi="Times New Roman" w:eastAsia="黑体"/>
                <w:kern w:val="0"/>
                <w:szCs w:val="21"/>
              </w:rPr>
            </w:pPr>
            <w:r>
              <w:rPr>
                <w:rFonts w:hint="eastAsia" w:ascii="Times New Roman" w:hAnsi="Times New Roman" w:eastAsia="黑体"/>
                <w:kern w:val="0"/>
                <w:szCs w:val="21"/>
              </w:rPr>
              <w:t>棚户区摸底数量</w:t>
            </w:r>
          </w:p>
        </w:tc>
      </w:tr>
      <w:tr>
        <w:tblPrEx>
          <w:tblCellMar>
            <w:top w:w="40" w:type="dxa"/>
            <w:left w:w="57" w:type="dxa"/>
            <w:bottom w:w="40" w:type="dxa"/>
            <w:right w:w="57" w:type="dxa"/>
          </w:tblCellMar>
        </w:tblPrEx>
        <w:trPr>
          <w:trHeight w:val="571" w:hRule="atLeast"/>
          <w:tblHeader/>
          <w:jc w:val="center"/>
        </w:trPr>
        <w:tc>
          <w:tcPr>
            <w:tcW w:w="4073" w:type="dxa"/>
            <w:vMerge w:val="continue"/>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left"/>
              <w:rPr>
                <w:rFonts w:ascii="Times New Roman" w:hAnsi="Times New Roman" w:eastAsia="黑体"/>
                <w:kern w:val="0"/>
                <w:szCs w:val="21"/>
              </w:rPr>
            </w:pPr>
          </w:p>
        </w:tc>
        <w:tc>
          <w:tcPr>
            <w:tcW w:w="1229" w:type="dxa"/>
            <w:tcBorders>
              <w:left w:val="nil"/>
              <w:bottom w:val="single" w:color="auto" w:sz="4" w:space="0"/>
              <w:right w:val="single" w:color="auto" w:sz="4" w:space="0"/>
            </w:tcBorders>
            <w:shd w:val="clear" w:color="auto" w:fill="auto"/>
            <w:noWrap/>
            <w:vAlign w:val="center"/>
          </w:tcPr>
          <w:p>
            <w:pPr>
              <w:overflowPunct w:val="0"/>
              <w:spacing w:line="240" w:lineRule="exact"/>
              <w:jc w:val="left"/>
              <w:rPr>
                <w:rFonts w:ascii="Times New Roman" w:hAnsi="Times New Roman" w:eastAsia="黑体"/>
                <w:kern w:val="0"/>
                <w:szCs w:val="21"/>
              </w:rPr>
            </w:pPr>
            <w:r>
              <w:rPr>
                <w:rFonts w:ascii="Times New Roman" w:hAnsi="Times New Roman" w:eastAsia="黑体"/>
                <w:kern w:val="0"/>
                <w:szCs w:val="21"/>
              </w:rPr>
              <w:t>　</w:t>
            </w:r>
          </w:p>
        </w:tc>
        <w:tc>
          <w:tcPr>
            <w:tcW w:w="2006" w:type="dxa"/>
            <w:tcBorders>
              <w:top w:val="single" w:color="auto" w:sz="4" w:space="0"/>
              <w:left w:val="nil"/>
              <w:bottom w:val="single" w:color="auto" w:sz="4" w:space="0"/>
              <w:right w:val="single" w:color="auto" w:sz="4" w:space="0"/>
            </w:tcBorders>
            <w:shd w:val="clear" w:color="auto" w:fill="auto"/>
            <w:vAlign w:val="center"/>
          </w:tcPr>
          <w:p>
            <w:pPr>
              <w:overflowPunct w:val="0"/>
              <w:spacing w:line="240" w:lineRule="exact"/>
              <w:jc w:val="left"/>
              <w:rPr>
                <w:rFonts w:ascii="Times New Roman" w:hAnsi="Times New Roman" w:eastAsia="黑体"/>
                <w:kern w:val="0"/>
                <w:szCs w:val="21"/>
              </w:rPr>
            </w:pPr>
            <w:r>
              <w:rPr>
                <w:rFonts w:ascii="Times New Roman" w:hAnsi="Times New Roman" w:eastAsia="黑体"/>
                <w:kern w:val="0"/>
                <w:szCs w:val="21"/>
              </w:rPr>
              <w:t>其中：202</w:t>
            </w:r>
            <w:r>
              <w:rPr>
                <w:rFonts w:hint="eastAsia" w:ascii="Times New Roman" w:hAnsi="Times New Roman" w:eastAsia="黑体"/>
                <w:kern w:val="0"/>
                <w:szCs w:val="21"/>
              </w:rPr>
              <w:t>2</w:t>
            </w:r>
            <w:r>
              <w:rPr>
                <w:rFonts w:ascii="Times New Roman" w:hAnsi="Times New Roman" w:eastAsia="黑体"/>
                <w:kern w:val="0"/>
                <w:szCs w:val="21"/>
              </w:rPr>
              <w:t>年提前开工或筹集</w:t>
            </w:r>
          </w:p>
        </w:tc>
        <w:tc>
          <w:tcPr>
            <w:tcW w:w="2864" w:type="dxa"/>
            <w:tcBorders>
              <w:top w:val="single" w:color="auto" w:sz="4" w:space="0"/>
              <w:left w:val="nil"/>
              <w:bottom w:val="single" w:color="auto" w:sz="4" w:space="0"/>
              <w:right w:val="single" w:color="auto" w:sz="4" w:space="0"/>
            </w:tcBorders>
            <w:shd w:val="clear" w:color="auto" w:fill="auto"/>
            <w:vAlign w:val="center"/>
          </w:tcPr>
          <w:p>
            <w:pPr>
              <w:overflowPunct w:val="0"/>
              <w:spacing w:line="240" w:lineRule="exact"/>
              <w:jc w:val="left"/>
              <w:rPr>
                <w:rFonts w:hint="eastAsia" w:ascii="Times New Roman" w:hAnsi="Times New Roman" w:eastAsia="黑体"/>
                <w:kern w:val="0"/>
                <w:szCs w:val="21"/>
                <w:lang w:eastAsia="zh-CN"/>
              </w:rPr>
            </w:pPr>
            <w:r>
              <w:rPr>
                <w:rFonts w:ascii="Times New Roman" w:hAnsi="Times New Roman" w:eastAsia="黑体"/>
                <w:kern w:val="0"/>
                <w:szCs w:val="21"/>
              </w:rPr>
              <w:t>其中：已纳入其他中央财政</w:t>
            </w:r>
          </w:p>
          <w:p>
            <w:pPr>
              <w:overflowPunct w:val="0"/>
              <w:spacing w:line="240" w:lineRule="exact"/>
              <w:jc w:val="left"/>
              <w:rPr>
                <w:rFonts w:ascii="Times New Roman" w:hAnsi="Times New Roman" w:eastAsia="黑体"/>
                <w:kern w:val="0"/>
                <w:szCs w:val="21"/>
              </w:rPr>
            </w:pPr>
            <w:r>
              <w:rPr>
                <w:rFonts w:ascii="Times New Roman" w:hAnsi="Times New Roman" w:eastAsia="黑体"/>
                <w:kern w:val="0"/>
                <w:szCs w:val="21"/>
              </w:rPr>
              <w:t>支持计划的保障性租赁住房</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left"/>
              <w:rPr>
                <w:rFonts w:ascii="Times New Roman" w:hAnsi="Times New Roman" w:eastAsia="黑体"/>
                <w:kern w:val="0"/>
                <w:szCs w:val="21"/>
              </w:rPr>
            </w:pPr>
          </w:p>
        </w:tc>
        <w:tc>
          <w:tcPr>
            <w:tcW w:w="1614" w:type="dxa"/>
            <w:vMerge w:val="continue"/>
            <w:tcBorders>
              <w:left w:val="single" w:color="auto" w:sz="4" w:space="0"/>
              <w:bottom w:val="single" w:color="auto" w:sz="4" w:space="0"/>
              <w:right w:val="single" w:color="auto" w:sz="4" w:space="0"/>
            </w:tcBorders>
          </w:tcPr>
          <w:p>
            <w:pPr>
              <w:overflowPunct w:val="0"/>
              <w:spacing w:line="240" w:lineRule="exact"/>
              <w:jc w:val="left"/>
              <w:rPr>
                <w:rFonts w:ascii="Times New Roman" w:hAnsi="Times New Roman" w:eastAsia="黑体"/>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一、保障性租赁住房小计（套、间）</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1.集体经营性建设用地建设</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2.企事业单位自有闲置土地建设</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3.产业园区配套用地建设</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4.存量闲置房屋建设</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5.新供应国有用地建设</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6.其他方式建设</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550（收购商品房）</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二、新筹集公租房小计（套）</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三、年度计划发放租赁补贴小计</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center"/>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1.公租房租赁补贴（户）</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center"/>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2.保障性租赁住房补贴（人）</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center"/>
              <w:rPr>
                <w:rFonts w:ascii="Times New Roman" w:hAnsi="Times New Roman" w:eastAsia="仿宋_GB2312"/>
                <w:kern w:val="0"/>
                <w:szCs w:val="21"/>
              </w:rPr>
            </w:pPr>
          </w:p>
        </w:tc>
      </w:tr>
      <w:tr>
        <w:tblPrEx>
          <w:tblCellMar>
            <w:top w:w="40" w:type="dxa"/>
            <w:left w:w="57" w:type="dxa"/>
            <w:bottom w:w="40" w:type="dxa"/>
            <w:right w:w="57" w:type="dxa"/>
          </w:tblCellMar>
        </w:tblPrEx>
        <w:trPr>
          <w:trHeight w:val="386"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四、共有产权住房小计（套）</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center"/>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五、棚户区改造小计（套）</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1.城镇棚户区</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其中：老城区内脏乱差的棚户区</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城市危房</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全国重点镇棚户区</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改建（扩建、翻建）工程</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r>
        <w:tblPrEx>
          <w:tblCellMar>
            <w:top w:w="40" w:type="dxa"/>
            <w:left w:w="57" w:type="dxa"/>
            <w:bottom w:w="40" w:type="dxa"/>
            <w:right w:w="57" w:type="dxa"/>
          </w:tblCellMar>
        </w:tblPrEx>
        <w:trPr>
          <w:trHeight w:val="365" w:hRule="atLeast"/>
          <w:jc w:val="center"/>
        </w:trPr>
        <w:tc>
          <w:tcPr>
            <w:tcW w:w="4073" w:type="dxa"/>
            <w:tcBorders>
              <w:top w:val="nil"/>
              <w:left w:val="single" w:color="auto" w:sz="4" w:space="0"/>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2.国有工矿棚户区</w:t>
            </w:r>
          </w:p>
        </w:tc>
        <w:tc>
          <w:tcPr>
            <w:tcW w:w="1229"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006"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286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084" w:type="dxa"/>
            <w:tcBorders>
              <w:top w:val="nil"/>
              <w:left w:val="nil"/>
              <w:bottom w:val="single" w:color="auto" w:sz="4" w:space="0"/>
              <w:right w:val="single" w:color="auto" w:sz="4" w:space="0"/>
            </w:tcBorders>
            <w:shd w:val="clear" w:color="auto" w:fill="auto"/>
            <w:noWrap/>
            <w:vAlign w:val="center"/>
          </w:tcPr>
          <w:p>
            <w:pPr>
              <w:overflowPunct w:val="0"/>
              <w:spacing w:before="56" w:beforeLines="18" w:after="56" w:afterLines="18" w:line="240" w:lineRule="exact"/>
              <w:jc w:val="left"/>
              <w:rPr>
                <w:rFonts w:ascii="Times New Roman" w:hAnsi="Times New Roman" w:eastAsia="仿宋_GB2312"/>
                <w:kern w:val="0"/>
                <w:szCs w:val="21"/>
              </w:rPr>
            </w:pPr>
            <w:r>
              <w:rPr>
                <w:rFonts w:ascii="Times New Roman" w:hAnsi="Times New Roman" w:eastAsia="仿宋_GB2312"/>
                <w:kern w:val="0"/>
                <w:szCs w:val="21"/>
              </w:rPr>
              <w:t>　</w:t>
            </w:r>
          </w:p>
        </w:tc>
        <w:tc>
          <w:tcPr>
            <w:tcW w:w="1614" w:type="dxa"/>
            <w:tcBorders>
              <w:top w:val="nil"/>
              <w:left w:val="nil"/>
              <w:bottom w:val="single" w:color="auto" w:sz="4" w:space="0"/>
              <w:right w:val="single" w:color="auto" w:sz="4" w:space="0"/>
            </w:tcBorders>
          </w:tcPr>
          <w:p>
            <w:pPr>
              <w:overflowPunct w:val="0"/>
              <w:spacing w:before="56" w:beforeLines="18" w:after="56" w:afterLines="18" w:line="240" w:lineRule="exact"/>
              <w:jc w:val="left"/>
              <w:rPr>
                <w:rFonts w:ascii="Times New Roman" w:hAnsi="Times New Roman" w:eastAsia="仿宋_GB2312"/>
                <w:kern w:val="0"/>
                <w:szCs w:val="21"/>
              </w:rPr>
            </w:pPr>
          </w:p>
        </w:tc>
      </w:tr>
    </w:tbl>
    <w:p>
      <w:pPr>
        <w:overflowPunct w:val="0"/>
        <w:spacing w:before="93" w:beforeLines="30" w:line="240" w:lineRule="exact"/>
        <w:ind w:left="945" w:hanging="945" w:hangingChars="450"/>
        <w:rPr>
          <w:rFonts w:ascii="Times New Roman" w:hAnsi="Times New Roman" w:eastAsia="仿宋_GB2312"/>
          <w:kern w:val="0"/>
          <w:szCs w:val="21"/>
        </w:rPr>
      </w:pPr>
      <w:r>
        <w:rPr>
          <w:rFonts w:ascii="Times New Roman" w:hAnsi="Times New Roman" w:eastAsia="仿宋_GB2312"/>
          <w:kern w:val="0"/>
          <w:szCs w:val="21"/>
        </w:rPr>
        <w:t>说明：1</w:t>
      </w:r>
      <w:r>
        <w:rPr>
          <w:rFonts w:hint="eastAsia" w:ascii="Times New Roman" w:hAnsi="Times New Roman" w:eastAsia="仿宋_GB2312"/>
          <w:kern w:val="0"/>
          <w:szCs w:val="21"/>
        </w:rPr>
        <w:t>．</w:t>
      </w:r>
      <w:r>
        <w:rPr>
          <w:rFonts w:ascii="Times New Roman" w:hAnsi="Times New Roman" w:eastAsia="仿宋_GB2312"/>
          <w:kern w:val="0"/>
          <w:szCs w:val="21"/>
        </w:rPr>
        <w:t>202</w:t>
      </w:r>
      <w:r>
        <w:rPr>
          <w:rFonts w:hint="eastAsia" w:ascii="Times New Roman" w:hAnsi="Times New Roman" w:eastAsia="仿宋_GB2312"/>
          <w:kern w:val="0"/>
          <w:szCs w:val="21"/>
        </w:rPr>
        <w:t>2</w:t>
      </w:r>
      <w:r>
        <w:rPr>
          <w:rFonts w:ascii="Times New Roman" w:hAnsi="Times New Roman" w:eastAsia="仿宋_GB2312"/>
          <w:kern w:val="0"/>
          <w:szCs w:val="21"/>
        </w:rPr>
        <w:t>年提前开工的棚改和新筹集公租房的量，是原考虑在202</w:t>
      </w:r>
      <w:r>
        <w:rPr>
          <w:rFonts w:hint="eastAsia" w:ascii="Times New Roman" w:hAnsi="Times New Roman" w:eastAsia="仿宋_GB2312"/>
          <w:kern w:val="0"/>
          <w:szCs w:val="21"/>
        </w:rPr>
        <w:t>3</w:t>
      </w:r>
      <w:r>
        <w:rPr>
          <w:rFonts w:ascii="Times New Roman" w:hAnsi="Times New Roman" w:eastAsia="仿宋_GB2312"/>
          <w:kern w:val="0"/>
          <w:szCs w:val="21"/>
        </w:rPr>
        <w:t>年实施，实际在202</w:t>
      </w:r>
      <w:r>
        <w:rPr>
          <w:rFonts w:hint="eastAsia" w:ascii="Times New Roman" w:hAnsi="Times New Roman" w:eastAsia="仿宋_GB2312"/>
          <w:kern w:val="0"/>
          <w:szCs w:val="21"/>
        </w:rPr>
        <w:t>2</w:t>
      </w:r>
      <w:r>
        <w:rPr>
          <w:rFonts w:ascii="Times New Roman" w:hAnsi="Times New Roman" w:eastAsia="仿宋_GB2312"/>
          <w:kern w:val="0"/>
          <w:szCs w:val="21"/>
        </w:rPr>
        <w:t>年提前开工和筹集，未列入202</w:t>
      </w:r>
      <w:r>
        <w:rPr>
          <w:rFonts w:hint="eastAsia" w:ascii="Times New Roman" w:hAnsi="Times New Roman" w:eastAsia="仿宋_GB2312"/>
          <w:kern w:val="0"/>
          <w:szCs w:val="21"/>
        </w:rPr>
        <w:t>2</w:t>
      </w:r>
      <w:r>
        <w:rPr>
          <w:rFonts w:ascii="Times New Roman" w:hAnsi="Times New Roman" w:eastAsia="仿宋_GB2312"/>
          <w:kern w:val="0"/>
          <w:szCs w:val="21"/>
        </w:rPr>
        <w:t>年计划且未作为202</w:t>
      </w:r>
      <w:r>
        <w:rPr>
          <w:rFonts w:hint="eastAsia" w:ascii="Times New Roman" w:hAnsi="Times New Roman" w:eastAsia="仿宋_GB2312"/>
          <w:kern w:val="0"/>
          <w:szCs w:val="21"/>
        </w:rPr>
        <w:t>2</w:t>
      </w:r>
      <w:r>
        <w:rPr>
          <w:rFonts w:ascii="Times New Roman" w:hAnsi="Times New Roman" w:eastAsia="仿宋_GB2312"/>
          <w:kern w:val="0"/>
          <w:szCs w:val="21"/>
        </w:rPr>
        <w:t>年完成情况统计的任务量。依据《国务院办公厅关于加快发展保障性租赁住房的意见》（国办发〔2021〕22号），各地可将政府的闲置住房用作保障性租赁住房，要对现有各类政策支持租赁住房进行梳理，符合条件的均应纳入保障性租赁住房规范管理。保障性租赁住房提前筹集的年度不限于202</w:t>
      </w:r>
      <w:r>
        <w:rPr>
          <w:rFonts w:hint="eastAsia" w:ascii="Times New Roman" w:hAnsi="Times New Roman" w:eastAsia="仿宋_GB2312"/>
          <w:kern w:val="0"/>
          <w:szCs w:val="21"/>
        </w:rPr>
        <w:t>2</w:t>
      </w:r>
      <w:r>
        <w:rPr>
          <w:rFonts w:ascii="Times New Roman" w:hAnsi="Times New Roman" w:eastAsia="仿宋_GB2312"/>
          <w:kern w:val="0"/>
          <w:szCs w:val="21"/>
        </w:rPr>
        <w:t>年。</w:t>
      </w:r>
    </w:p>
    <w:p>
      <w:pPr>
        <w:overflowPunct w:val="0"/>
        <w:spacing w:line="240" w:lineRule="exact"/>
        <w:ind w:left="945" w:hanging="945" w:hangingChars="450"/>
        <w:rPr>
          <w:rFonts w:hint="eastAsia" w:ascii="Times New Roman" w:hAnsi="Times New Roman" w:eastAsia="仿宋_GB2312"/>
          <w:kern w:val="0"/>
          <w:szCs w:val="21"/>
        </w:rPr>
      </w:pPr>
      <w:r>
        <w:rPr>
          <w:rFonts w:ascii="Times New Roman" w:hAnsi="Times New Roman" w:eastAsia="仿宋_GB2312"/>
          <w:kern w:val="0"/>
          <w:szCs w:val="21"/>
        </w:rPr>
        <w:t>　　</w:t>
      </w:r>
      <w:r>
        <w:rPr>
          <w:rFonts w:hint="eastAsia" w:ascii="Times New Roman" w:hAnsi="Times New Roman" w:eastAsia="仿宋_GB2312"/>
          <w:kern w:val="0"/>
          <w:szCs w:val="21"/>
        </w:rPr>
        <w:t>　</w:t>
      </w:r>
      <w:r>
        <w:rPr>
          <w:rFonts w:ascii="Times New Roman" w:hAnsi="Times New Roman" w:eastAsia="仿宋_GB2312"/>
          <w:kern w:val="0"/>
          <w:szCs w:val="21"/>
        </w:rPr>
        <w:t>2</w:t>
      </w:r>
      <w:r>
        <w:rPr>
          <w:rFonts w:hint="eastAsia" w:ascii="Times New Roman" w:hAnsi="Times New Roman" w:eastAsia="仿宋_GB2312"/>
          <w:kern w:val="0"/>
          <w:szCs w:val="21"/>
        </w:rPr>
        <w:t>．对于利用集体经营性建设用地、企事业自有闲置土地和存量闲置房屋建设保障性租赁住房，列入计划的项目需征得土地使用权人和房屋所有权人的同意。</w:t>
      </w:r>
    </w:p>
    <w:p>
      <w:pPr>
        <w:overflowPunct w:val="0"/>
        <w:spacing w:line="240" w:lineRule="exact"/>
        <w:ind w:left="945" w:leftChars="300" w:hanging="315" w:hangingChars="150"/>
        <w:rPr>
          <w:rFonts w:ascii="Times New Roman" w:hAnsi="Times New Roman" w:eastAsia="仿宋_GB2312"/>
          <w:kern w:val="0"/>
          <w:szCs w:val="21"/>
        </w:rPr>
      </w:pPr>
      <w:r>
        <w:rPr>
          <w:rFonts w:ascii="Times New Roman" w:hAnsi="Times New Roman" w:eastAsia="仿宋_GB2312"/>
          <w:kern w:val="0"/>
          <w:szCs w:val="21"/>
        </w:rPr>
        <w:t>3</w:t>
      </w:r>
      <w:r>
        <w:rPr>
          <w:rFonts w:hint="eastAsia" w:ascii="Times New Roman" w:hAnsi="Times New Roman" w:eastAsia="仿宋_GB2312"/>
          <w:kern w:val="0"/>
          <w:szCs w:val="21"/>
        </w:rPr>
        <w:t>．</w:t>
      </w:r>
      <w:r>
        <w:rPr>
          <w:rFonts w:ascii="Times New Roman" w:hAnsi="Times New Roman" w:eastAsia="仿宋_GB2312"/>
          <w:kern w:val="0"/>
          <w:szCs w:val="21"/>
        </w:rPr>
        <w:t>已获得中央财政支持住房租赁市场发展奖补资金的租赁住房、用作保障性租赁住房的闲置公租房和棚改安置住房等已享受其他中央财政支持计划的保障性租赁住房，应纳入年度计划，但不得重复享受中央补助支持。</w:t>
      </w:r>
    </w:p>
    <w:p>
      <w:pPr>
        <w:overflowPunct w:val="0"/>
        <w:spacing w:line="240" w:lineRule="exact"/>
        <w:ind w:left="945" w:leftChars="300" w:hanging="315" w:hangingChars="150"/>
        <w:rPr>
          <w:rFonts w:ascii="Times New Roman" w:hAnsi="Times New Roman" w:eastAsia="仿宋_GB2312"/>
          <w:kern w:val="0"/>
          <w:szCs w:val="21"/>
        </w:rPr>
      </w:pPr>
      <w:r>
        <w:rPr>
          <w:rFonts w:hint="eastAsia" w:ascii="Times New Roman" w:hAnsi="Times New Roman" w:eastAsia="仿宋_GB2312"/>
          <w:kern w:val="0"/>
          <w:szCs w:val="21"/>
        </w:rPr>
        <w:t>4．</w:t>
      </w:r>
      <w:r>
        <w:rPr>
          <w:rFonts w:ascii="Times New Roman" w:hAnsi="Times New Roman" w:eastAsia="仿宋_GB2312"/>
          <w:kern w:val="0"/>
          <w:szCs w:val="21"/>
        </w:rPr>
        <w:t>城市规划区外的国有工矿棚户区列入“国有工矿棚户区”栏，城市规划区内的国有工矿棚户区列入“城镇棚户区”栏。全国重点镇名录见住房城乡建设部等部门印发的《关于公布全国重点镇名单的通知》（建村</w:t>
      </w:r>
      <w:r>
        <w:rPr>
          <w:rFonts w:ascii="Times New Roman" w:hAnsi="Times New Roman" w:eastAsia="微软雅黑"/>
          <w:kern w:val="0"/>
          <w:szCs w:val="21"/>
        </w:rPr>
        <w:t>﹝</w:t>
      </w:r>
      <w:r>
        <w:rPr>
          <w:rFonts w:ascii="Times New Roman" w:hAnsi="Times New Roman" w:eastAsia="仿宋_GB2312"/>
          <w:kern w:val="0"/>
          <w:szCs w:val="21"/>
        </w:rPr>
        <w:t>2014</w:t>
      </w:r>
      <w:r>
        <w:rPr>
          <w:rFonts w:ascii="Times New Roman" w:hAnsi="Times New Roman" w:eastAsia="微软雅黑"/>
          <w:kern w:val="0"/>
          <w:szCs w:val="21"/>
        </w:rPr>
        <w:t>﹞</w:t>
      </w:r>
      <w:r>
        <w:rPr>
          <w:rFonts w:ascii="Times New Roman" w:hAnsi="Times New Roman" w:eastAsia="仿宋_GB2312"/>
          <w:kern w:val="0"/>
          <w:szCs w:val="21"/>
        </w:rPr>
        <w:t>107号）。改建（扩建、翻建）工程应符合住房和城乡建设部等部门印发的《关于加快推进棚户区（危旧房）改造的通知》（建保</w:t>
      </w:r>
      <w:r>
        <w:rPr>
          <w:rFonts w:ascii="Times New Roman" w:hAnsi="Times New Roman" w:eastAsia="微软雅黑"/>
          <w:kern w:val="0"/>
          <w:szCs w:val="21"/>
        </w:rPr>
        <w:t>﹝</w:t>
      </w:r>
      <w:r>
        <w:rPr>
          <w:rFonts w:ascii="Times New Roman" w:hAnsi="Times New Roman" w:eastAsia="仿宋_GB2312"/>
          <w:kern w:val="0"/>
          <w:szCs w:val="21"/>
        </w:rPr>
        <w:t>2012</w:t>
      </w:r>
      <w:r>
        <w:rPr>
          <w:rFonts w:ascii="Times New Roman" w:hAnsi="Times New Roman" w:eastAsia="微软雅黑"/>
          <w:kern w:val="0"/>
          <w:szCs w:val="21"/>
        </w:rPr>
        <w:t>﹞</w:t>
      </w:r>
      <w:r>
        <w:rPr>
          <w:rFonts w:ascii="Times New Roman" w:hAnsi="Times New Roman" w:eastAsia="仿宋_GB2312"/>
          <w:kern w:val="0"/>
          <w:szCs w:val="21"/>
        </w:rPr>
        <w:t>190号）的相关规定。</w:t>
      </w:r>
    </w:p>
    <w:p>
      <w:pPr>
        <w:overflowPunct w:val="0"/>
        <w:spacing w:line="240" w:lineRule="exact"/>
        <w:jc w:val="left"/>
        <w:rPr>
          <w:rFonts w:ascii="Times New Roman" w:hAnsi="Times New Roman" w:eastAsia="仿宋_GB2312"/>
          <w:kern w:val="0"/>
          <w:szCs w:val="21"/>
        </w:rPr>
      </w:pPr>
    </w:p>
    <w:p>
      <w:pPr>
        <w:overflowPunct w:val="0"/>
        <w:spacing w:line="240" w:lineRule="exact"/>
        <w:jc w:val="left"/>
        <w:rPr>
          <w:rFonts w:ascii="Times New Roman" w:hAnsi="Times New Roman" w:eastAsia="仿宋_GB2312"/>
          <w:kern w:val="0"/>
          <w:szCs w:val="21"/>
        </w:rPr>
      </w:pPr>
    </w:p>
    <w:p>
      <w:pPr>
        <w:overflowPunct w:val="0"/>
        <w:spacing w:line="240" w:lineRule="exact"/>
        <w:jc w:val="left"/>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 xml:space="preserve">        </w:t>
      </w:r>
      <w:r>
        <w:rPr>
          <w:rFonts w:hint="eastAsia" w:ascii="Times New Roman" w:hAnsi="Times New Roman" w:eastAsia="仿宋_GB2312"/>
          <w:kern w:val="0"/>
          <w:szCs w:val="21"/>
          <w:lang w:eastAsia="zh-CN"/>
        </w:rPr>
        <w:t>区</w:t>
      </w:r>
      <w:r>
        <w:rPr>
          <w:rFonts w:ascii="Times New Roman" w:hAnsi="Times New Roman" w:eastAsia="仿宋_GB2312"/>
          <w:kern w:val="0"/>
          <w:szCs w:val="21"/>
        </w:rPr>
        <w:t xml:space="preserve">级住房和城乡建设（住房保障）部门印章　　　　　 </w:t>
      </w:r>
      <w:r>
        <w:rPr>
          <w:rFonts w:hint="eastAsia" w:ascii="Times New Roman" w:hAnsi="Times New Roman" w:eastAsia="仿宋_GB2312"/>
          <w:kern w:val="0"/>
          <w:szCs w:val="21"/>
          <w:lang w:eastAsia="zh-CN"/>
        </w:rPr>
        <w:t>区</w:t>
      </w:r>
      <w:r>
        <w:rPr>
          <w:rFonts w:ascii="Times New Roman" w:hAnsi="Times New Roman" w:eastAsia="仿宋_GB2312"/>
          <w:kern w:val="0"/>
          <w:szCs w:val="21"/>
        </w:rPr>
        <w:t>级发展改革部门印章　　　　　　　　</w:t>
      </w:r>
      <w:r>
        <w:rPr>
          <w:rFonts w:hint="eastAsia" w:ascii="Times New Roman" w:hAnsi="Times New Roman" w:eastAsia="仿宋_GB2312"/>
          <w:kern w:val="0"/>
          <w:szCs w:val="21"/>
          <w:lang w:eastAsia="zh-CN"/>
        </w:rPr>
        <w:t>区</w:t>
      </w:r>
      <w:r>
        <w:rPr>
          <w:rFonts w:ascii="Times New Roman" w:hAnsi="Times New Roman" w:eastAsia="仿宋_GB2312"/>
          <w:kern w:val="0"/>
          <w:szCs w:val="21"/>
        </w:rPr>
        <w:t xml:space="preserve">级财政部门印章　 </w:t>
      </w:r>
    </w:p>
    <w:p>
      <w:pPr>
        <w:overflowPunct w:val="0"/>
        <w:spacing w:line="240" w:lineRule="exact"/>
        <w:jc w:val="left"/>
        <w:rPr>
          <w:rFonts w:hint="eastAsia" w:ascii="Times New Roman" w:hAnsi="Times New Roman" w:eastAsia="仿宋_GB2312"/>
          <w:kern w:val="0"/>
          <w:szCs w:val="21"/>
        </w:rPr>
      </w:pPr>
      <w:r>
        <w:rPr>
          <w:rFonts w:ascii="Times New Roman" w:hAnsi="Times New Roman" w:eastAsia="仿宋_GB2312"/>
          <w:kern w:val="0"/>
          <w:szCs w:val="21"/>
        </w:rPr>
        <w:t>　　</w:t>
      </w:r>
    </w:p>
    <w:p>
      <w:pPr>
        <w:overflowPunct w:val="0"/>
        <w:spacing w:line="579" w:lineRule="exact"/>
        <w:rPr>
          <w:rFonts w:hint="eastAsia" w:ascii="Times New Roman" w:hAnsi="Times New Roman" w:eastAsia="黑体"/>
          <w:sz w:val="32"/>
          <w:szCs w:val="32"/>
        </w:rPr>
      </w:pPr>
    </w:p>
    <w:p>
      <w:pPr>
        <w:overflowPunct w:val="0"/>
        <w:spacing w:line="579" w:lineRule="exact"/>
        <w:rPr>
          <w:rFonts w:ascii="Times New Roman" w:hAnsi="Times New Roman" w:eastAsia="黑体"/>
          <w:sz w:val="32"/>
          <w:szCs w:val="32"/>
        </w:rPr>
      </w:pPr>
      <w:r>
        <w:rPr>
          <w:rFonts w:hint="eastAsia" w:ascii="Times New Roman" w:hAnsi="Times New Roman" w:eastAsia="黑体"/>
          <w:sz w:val="32"/>
          <w:szCs w:val="32"/>
        </w:rPr>
        <w:t>附件2</w:t>
      </w:r>
    </w:p>
    <w:p>
      <w:pPr>
        <w:overflowPunct w:val="0"/>
        <w:spacing w:before="124" w:beforeLines="40" w:after="436" w:afterLines="140" w:line="579"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各市（州）2023年分城市保障性租赁住房计划表</w:t>
      </w:r>
    </w:p>
    <w:p>
      <w:pPr>
        <w:overflowPunct w:val="0"/>
        <w:spacing w:after="93" w:afterLines="30" w:line="300" w:lineRule="exact"/>
        <w:ind w:firstLine="420" w:firstLineChars="200"/>
        <w:jc w:val="left"/>
        <w:rPr>
          <w:rFonts w:ascii="Times New Roman" w:hAnsi="Times New Roman" w:eastAsia="仿宋_GB2312"/>
          <w:kern w:val="0"/>
          <w:szCs w:val="21"/>
        </w:rPr>
      </w:pPr>
      <w:r>
        <w:rPr>
          <w:rFonts w:hint="eastAsia" w:ascii="Times New Roman" w:hAnsi="Times New Roman" w:eastAsia="仿宋_GB2312"/>
          <w:szCs w:val="21"/>
          <w:lang w:eastAsia="zh-CN"/>
        </w:rPr>
        <w:t>县</w:t>
      </w:r>
      <w:r>
        <w:rPr>
          <w:rFonts w:ascii="Times New Roman" w:hAnsi="Times New Roman" w:eastAsia="仿宋_GB2312"/>
          <w:szCs w:val="21"/>
        </w:rPr>
        <w:t>（</w:t>
      </w:r>
      <w:r>
        <w:rPr>
          <w:rFonts w:hint="eastAsia" w:ascii="Times New Roman" w:hAnsi="Times New Roman" w:eastAsia="仿宋_GB2312"/>
          <w:szCs w:val="21"/>
          <w:lang w:eastAsia="zh-CN"/>
        </w:rPr>
        <w:t>市、区</w:t>
      </w:r>
      <w:r>
        <w:rPr>
          <w:rFonts w:ascii="Times New Roman" w:hAnsi="Times New Roman" w:eastAsia="仿宋_GB2312"/>
          <w:szCs w:val="21"/>
        </w:rPr>
        <w:t>）：</w:t>
      </w:r>
      <w:r>
        <w:rPr>
          <w:rFonts w:hint="eastAsia" w:ascii="Times New Roman" w:hAnsi="Times New Roman" w:eastAsia="仿宋_GB2312"/>
          <w:szCs w:val="21"/>
          <w:lang w:val="en-US" w:eastAsia="zh-CN"/>
        </w:rPr>
        <w:t>葛店经开</w:t>
      </w:r>
      <w:r>
        <w:rPr>
          <w:rFonts w:hint="eastAsia" w:ascii="Times New Roman" w:hAnsi="Times New Roman" w:eastAsia="仿宋_GB2312"/>
          <w:szCs w:val="21"/>
          <w:lang w:eastAsia="zh-CN"/>
        </w:rPr>
        <w:t>区</w:t>
      </w:r>
      <w:r>
        <w:rPr>
          <w:rFonts w:hint="eastAsia" w:ascii="Times New Roman" w:hAnsi="Times New Roman" w:eastAsia="仿宋_GB2312"/>
          <w:kern w:val="0"/>
          <w:szCs w:val="21"/>
        </w:rPr>
        <w:t>　</w:t>
      </w:r>
      <w:r>
        <w:rPr>
          <w:rFonts w:ascii="Times New Roman" w:hAnsi="Times New Roman" w:eastAsia="仿宋_GB2312"/>
          <w:kern w:val="0"/>
          <w:szCs w:val="21"/>
        </w:rPr>
        <w:t>　　</w:t>
      </w:r>
      <w:r>
        <w:rPr>
          <w:rFonts w:hint="eastAsia" w:ascii="Times New Roman" w:hAnsi="Times New Roman" w:eastAsia="仿宋_GB2312"/>
          <w:kern w:val="0"/>
          <w:szCs w:val="21"/>
        </w:rPr>
        <w:t>　</w:t>
      </w:r>
      <w:r>
        <w:rPr>
          <w:rFonts w:ascii="Times New Roman" w:hAnsi="Times New Roman" w:eastAsia="仿宋_GB2312"/>
          <w:kern w:val="0"/>
          <w:szCs w:val="21"/>
        </w:rPr>
        <w:t>　</w:t>
      </w:r>
      <w:r>
        <w:rPr>
          <w:rFonts w:hint="eastAsia" w:ascii="Times New Roman" w:hAnsi="Times New Roman" w:eastAsia="仿宋_GB2312"/>
          <w:kern w:val="0"/>
          <w:szCs w:val="21"/>
        </w:rPr>
        <w:t xml:space="preserve">              </w:t>
      </w:r>
      <w:r>
        <w:rPr>
          <w:rFonts w:ascii="Times New Roman" w:hAnsi="Times New Roman" w:eastAsia="仿宋_GB2312"/>
          <w:kern w:val="0"/>
          <w:szCs w:val="21"/>
        </w:rPr>
        <w:t>　　　　　　　</w:t>
      </w:r>
      <w:r>
        <w:rPr>
          <w:rFonts w:hint="eastAsia" w:ascii="Times New Roman" w:hAnsi="Times New Roman" w:eastAsia="仿宋_GB2312"/>
          <w:kern w:val="0"/>
          <w:szCs w:val="21"/>
          <w:lang w:val="en-US" w:eastAsia="zh-CN"/>
        </w:rPr>
        <w:t xml:space="preserve">                                 </w:t>
      </w:r>
      <w:r>
        <w:rPr>
          <w:rFonts w:ascii="Times New Roman" w:hAnsi="Times New Roman" w:eastAsia="仿宋_GB2312"/>
          <w:kern w:val="0"/>
          <w:szCs w:val="21"/>
        </w:rPr>
        <w:t>　　　　　</w:t>
      </w:r>
      <w:r>
        <w:rPr>
          <w:rFonts w:hint="eastAsia" w:ascii="Times New Roman" w:hAnsi="Times New Roman" w:eastAsia="仿宋_GB2312"/>
          <w:kern w:val="0"/>
          <w:szCs w:val="21"/>
        </w:rPr>
        <w:t>单位：套、间</w:t>
      </w:r>
    </w:p>
    <w:tbl>
      <w:tblPr>
        <w:tblStyle w:val="27"/>
        <w:tblW w:w="4949" w:type="pct"/>
        <w:jc w:val="center"/>
        <w:tblLayout w:type="autofit"/>
        <w:tblCellMar>
          <w:top w:w="57" w:type="dxa"/>
          <w:left w:w="57" w:type="dxa"/>
          <w:bottom w:w="57" w:type="dxa"/>
          <w:right w:w="57" w:type="dxa"/>
        </w:tblCellMar>
      </w:tblPr>
      <w:tblGrid>
        <w:gridCol w:w="1169"/>
        <w:gridCol w:w="938"/>
        <w:gridCol w:w="1669"/>
        <w:gridCol w:w="1597"/>
        <w:gridCol w:w="1383"/>
        <w:gridCol w:w="963"/>
        <w:gridCol w:w="953"/>
        <w:gridCol w:w="2130"/>
        <w:gridCol w:w="1394"/>
        <w:gridCol w:w="543"/>
      </w:tblGrid>
      <w:tr>
        <w:tblPrEx>
          <w:tblCellMar>
            <w:top w:w="57" w:type="dxa"/>
            <w:left w:w="57" w:type="dxa"/>
            <w:bottom w:w="57" w:type="dxa"/>
            <w:right w:w="57" w:type="dxa"/>
          </w:tblCellMar>
        </w:tblPrEx>
        <w:trPr>
          <w:trHeight w:val="415" w:hRule="atLeast"/>
          <w:jc w:val="center"/>
        </w:trPr>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地区</w:t>
            </w:r>
          </w:p>
        </w:tc>
        <w:tc>
          <w:tcPr>
            <w:tcW w:w="368" w:type="pct"/>
            <w:vMerge w:val="restart"/>
            <w:tcBorders>
              <w:top w:val="single" w:color="auto" w:sz="4" w:space="0"/>
              <w:left w:val="single" w:color="auto" w:sz="4" w:space="0"/>
              <w:bottom w:val="single" w:color="auto" w:sz="4" w:space="0"/>
            </w:tcBorders>
            <w:shd w:val="clear" w:color="auto" w:fill="auto"/>
            <w:vAlign w:val="center"/>
          </w:tcPr>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新筹集合计</w:t>
            </w:r>
          </w:p>
        </w:tc>
        <w:tc>
          <w:tcPr>
            <w:tcW w:w="3413" w:type="pct"/>
            <w:gridSpan w:val="6"/>
            <w:tcBorders>
              <w:top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黑体"/>
                <w:kern w:val="0"/>
                <w:szCs w:val="21"/>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新筹集计划量</w:t>
            </w:r>
          </w:p>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中已纳入其他</w:t>
            </w:r>
          </w:p>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中央财政支持</w:t>
            </w:r>
          </w:p>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计划的保障性</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租赁住房数量</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基本</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建成</w:t>
            </w:r>
          </w:p>
        </w:tc>
      </w:tr>
      <w:tr>
        <w:tblPrEx>
          <w:tblCellMar>
            <w:top w:w="57" w:type="dxa"/>
            <w:left w:w="57" w:type="dxa"/>
            <w:bottom w:w="57" w:type="dxa"/>
            <w:right w:w="57" w:type="dxa"/>
          </w:tblCellMar>
        </w:tblPrEx>
        <w:trPr>
          <w:trHeight w:val="1280" w:hRule="atLeast"/>
          <w:jc w:val="center"/>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黑体"/>
                <w:kern w:val="0"/>
                <w:szCs w:val="21"/>
              </w:rPr>
            </w:pPr>
          </w:p>
        </w:tc>
        <w:tc>
          <w:tcPr>
            <w:tcW w:w="368" w:type="pct"/>
            <w:vMerge w:val="continue"/>
            <w:tcBorders>
              <w:top w:val="single" w:color="auto" w:sz="4" w:space="0"/>
              <w:left w:val="single" w:color="auto" w:sz="4" w:space="0"/>
              <w:bottom w:val="single" w:color="auto" w:sz="4" w:space="0"/>
              <w:right w:val="single" w:color="000000" w:sz="4" w:space="0"/>
            </w:tcBorders>
            <w:vAlign w:val="center"/>
          </w:tcPr>
          <w:p>
            <w:pPr>
              <w:overflowPunct w:val="0"/>
              <w:spacing w:line="300" w:lineRule="exact"/>
              <w:jc w:val="center"/>
              <w:rPr>
                <w:rFonts w:ascii="Times New Roman" w:hAnsi="Times New Roman" w:eastAsia="黑体"/>
                <w:kern w:val="0"/>
                <w:szCs w:val="21"/>
              </w:rPr>
            </w:pPr>
          </w:p>
        </w:tc>
        <w:tc>
          <w:tcPr>
            <w:tcW w:w="655"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集体经营性</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建设用地建设</w:t>
            </w: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企事业单位自有</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闲置土地建设</w:t>
            </w: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产业园区配套</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用地建设</w:t>
            </w: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存量闲置</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房屋建设</w:t>
            </w:r>
          </w:p>
        </w:tc>
        <w:tc>
          <w:tcPr>
            <w:tcW w:w="374"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新供应国有</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用地建设</w:t>
            </w:r>
          </w:p>
        </w:tc>
        <w:tc>
          <w:tcPr>
            <w:tcW w:w="836"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Cs w:val="21"/>
                <w:lang w:eastAsia="zh-CN"/>
              </w:rPr>
            </w:pPr>
            <w:r>
              <w:rPr>
                <w:rFonts w:ascii="Times New Roman" w:hAnsi="Times New Roman" w:eastAsia="黑体"/>
                <w:kern w:val="0"/>
                <w:szCs w:val="21"/>
              </w:rPr>
              <w:t>其他方</w:t>
            </w:r>
          </w:p>
          <w:p>
            <w:pPr>
              <w:overflowPunct w:val="0"/>
              <w:spacing w:line="300" w:lineRule="exact"/>
              <w:jc w:val="center"/>
              <w:rPr>
                <w:rFonts w:ascii="Times New Roman" w:hAnsi="Times New Roman" w:eastAsia="黑体"/>
                <w:kern w:val="0"/>
                <w:szCs w:val="21"/>
              </w:rPr>
            </w:pPr>
            <w:r>
              <w:rPr>
                <w:rFonts w:ascii="Times New Roman" w:hAnsi="Times New Roman" w:eastAsia="黑体"/>
                <w:kern w:val="0"/>
                <w:szCs w:val="21"/>
              </w:rPr>
              <w:t>式建设</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黑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黑体"/>
                <w:kern w:val="0"/>
                <w:szCs w:val="21"/>
              </w:rPr>
            </w:pPr>
          </w:p>
        </w:tc>
      </w:tr>
      <w:tr>
        <w:tblPrEx>
          <w:tblCellMar>
            <w:top w:w="57" w:type="dxa"/>
            <w:left w:w="57" w:type="dxa"/>
            <w:bottom w:w="57" w:type="dxa"/>
            <w:right w:w="57" w:type="dxa"/>
          </w:tblCellMar>
        </w:tblPrEx>
        <w:trPr>
          <w:trHeight w:val="624" w:hRule="atLeast"/>
          <w:jc w:val="center"/>
        </w:trPr>
        <w:tc>
          <w:tcPr>
            <w:tcW w:w="459" w:type="pct"/>
            <w:tcBorders>
              <w:top w:val="nil"/>
              <w:left w:val="single" w:color="auto" w:sz="4" w:space="0"/>
              <w:bottom w:val="single" w:color="auto" w:sz="4" w:space="0"/>
              <w:right w:val="nil"/>
            </w:tcBorders>
            <w:shd w:val="clear" w:color="auto" w:fill="auto"/>
            <w:vAlign w:val="center"/>
          </w:tcPr>
          <w:p>
            <w:pPr>
              <w:overflowPunct w:val="0"/>
              <w:spacing w:line="300" w:lineRule="exact"/>
              <w:jc w:val="center"/>
              <w:rPr>
                <w:rFonts w:ascii="Times New Roman" w:hAnsi="Times New Roman" w:eastAsia="仿宋_GB2312"/>
                <w:kern w:val="0"/>
                <w:szCs w:val="21"/>
              </w:rPr>
            </w:pPr>
            <w:r>
              <w:rPr>
                <w:rFonts w:hint="eastAsia" w:ascii="Times New Roman" w:hAnsi="Times New Roman" w:eastAsia="仿宋_GB2312"/>
                <w:b/>
                <w:bCs/>
                <w:kern w:val="0"/>
                <w:szCs w:val="21"/>
                <w:lang w:val="en-US" w:eastAsia="zh-CN"/>
              </w:rPr>
              <w:t>葛店经开</w:t>
            </w:r>
            <w:r>
              <w:rPr>
                <w:rFonts w:hint="eastAsia" w:ascii="Times New Roman" w:hAnsi="Times New Roman" w:eastAsia="仿宋_GB2312"/>
                <w:b/>
                <w:bCs/>
                <w:kern w:val="0"/>
                <w:szCs w:val="21"/>
                <w:lang w:eastAsia="zh-CN"/>
              </w:rPr>
              <w:t>区</w:t>
            </w:r>
          </w:p>
        </w:tc>
        <w:tc>
          <w:tcPr>
            <w:tcW w:w="368" w:type="pct"/>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c>
          <w:tcPr>
            <w:tcW w:w="655"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default" w:ascii="Times New Roman" w:hAnsi="Times New Roman" w:eastAsia="仿宋_GB2312"/>
                <w:kern w:val="0"/>
                <w:szCs w:val="21"/>
                <w:lang w:val="en-US" w:eastAsia="zh-CN"/>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374"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836"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550（收购商品房）</w:t>
            </w: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550</w:t>
            </w:r>
          </w:p>
        </w:tc>
      </w:tr>
      <w:tr>
        <w:tblPrEx>
          <w:tblCellMar>
            <w:top w:w="57" w:type="dxa"/>
            <w:left w:w="57" w:type="dxa"/>
            <w:bottom w:w="57" w:type="dxa"/>
            <w:right w:w="57" w:type="dxa"/>
          </w:tblCellMar>
        </w:tblPrEx>
        <w:trPr>
          <w:trHeight w:val="612" w:hRule="atLeast"/>
          <w:jc w:val="center"/>
        </w:trPr>
        <w:tc>
          <w:tcPr>
            <w:tcW w:w="459" w:type="pct"/>
            <w:tcBorders>
              <w:top w:val="nil"/>
              <w:left w:val="single" w:color="auto" w:sz="4" w:space="0"/>
              <w:bottom w:val="single" w:color="auto" w:sz="4" w:space="0"/>
              <w:right w:val="nil"/>
            </w:tcBorders>
            <w:shd w:val="clear" w:color="auto" w:fill="auto"/>
            <w:noWrap/>
            <w:vAlign w:val="center"/>
          </w:tcPr>
          <w:p>
            <w:pPr>
              <w:overflowPunct w:val="0"/>
              <w:spacing w:line="300" w:lineRule="exact"/>
              <w:jc w:val="center"/>
              <w:rPr>
                <w:rFonts w:hint="eastAsia" w:ascii="Times New Roman" w:hAnsi="Times New Roman" w:eastAsia="仿宋_GB2312"/>
                <w:kern w:val="0"/>
                <w:szCs w:val="21"/>
                <w:lang w:eastAsia="zh-CN"/>
              </w:rPr>
            </w:pPr>
          </w:p>
        </w:tc>
        <w:tc>
          <w:tcPr>
            <w:tcW w:w="368" w:type="pct"/>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c>
          <w:tcPr>
            <w:tcW w:w="655"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374"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836"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r>
      <w:tr>
        <w:tblPrEx>
          <w:tblCellMar>
            <w:top w:w="57" w:type="dxa"/>
            <w:left w:w="57" w:type="dxa"/>
            <w:bottom w:w="57" w:type="dxa"/>
            <w:right w:w="57" w:type="dxa"/>
          </w:tblCellMar>
        </w:tblPrEx>
        <w:trPr>
          <w:trHeight w:val="600" w:hRule="atLeast"/>
          <w:jc w:val="center"/>
        </w:trPr>
        <w:tc>
          <w:tcPr>
            <w:tcW w:w="459" w:type="pct"/>
            <w:tcBorders>
              <w:top w:val="nil"/>
              <w:left w:val="single" w:color="auto" w:sz="4" w:space="0"/>
              <w:bottom w:val="single" w:color="auto" w:sz="4" w:space="0"/>
              <w:right w:val="nil"/>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c>
          <w:tcPr>
            <w:tcW w:w="368" w:type="pct"/>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c>
          <w:tcPr>
            <w:tcW w:w="655"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374"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836"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r>
      <w:tr>
        <w:tblPrEx>
          <w:tblCellMar>
            <w:top w:w="57" w:type="dxa"/>
            <w:left w:w="57" w:type="dxa"/>
            <w:bottom w:w="57" w:type="dxa"/>
            <w:right w:w="57" w:type="dxa"/>
          </w:tblCellMar>
        </w:tblPrEx>
        <w:trPr>
          <w:trHeight w:val="679" w:hRule="atLeast"/>
          <w:jc w:val="center"/>
        </w:trPr>
        <w:tc>
          <w:tcPr>
            <w:tcW w:w="459" w:type="pct"/>
            <w:tcBorders>
              <w:top w:val="nil"/>
              <w:left w:val="single" w:color="auto" w:sz="4" w:space="0"/>
              <w:bottom w:val="single" w:color="auto" w:sz="4" w:space="0"/>
              <w:right w:val="nil"/>
            </w:tcBorders>
            <w:shd w:val="clear" w:color="auto" w:fill="auto"/>
            <w:noWrap/>
            <w:vAlign w:val="center"/>
          </w:tcPr>
          <w:p>
            <w:pPr>
              <w:overflowPunct w:val="0"/>
              <w:spacing w:line="300" w:lineRule="exact"/>
              <w:jc w:val="center"/>
              <w:rPr>
                <w:rFonts w:ascii="Times New Roman" w:hAnsi="Times New Roman" w:eastAsia="仿宋_GB2312"/>
                <w:kern w:val="0"/>
                <w:szCs w:val="21"/>
              </w:rPr>
            </w:pPr>
            <w:r>
              <w:rPr>
                <w:rFonts w:hint="eastAsia" w:ascii="Times New Roman" w:hAnsi="Times New Roman" w:eastAsia="仿宋_GB2312"/>
                <w:kern w:val="0"/>
                <w:szCs w:val="21"/>
              </w:rPr>
              <w:t>……</w:t>
            </w:r>
          </w:p>
        </w:tc>
        <w:tc>
          <w:tcPr>
            <w:tcW w:w="368" w:type="pct"/>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c>
          <w:tcPr>
            <w:tcW w:w="655"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374"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836" w:type="pct"/>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vAlign w:val="center"/>
          </w:tcPr>
          <w:p>
            <w:pPr>
              <w:overflowPunct w:val="0"/>
              <w:spacing w:line="300" w:lineRule="exact"/>
              <w:jc w:val="center"/>
              <w:rPr>
                <w:rFonts w:ascii="Times New Roman" w:hAnsi="Times New Roman" w:eastAsia="仿宋_GB2312"/>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Cs w:val="21"/>
              </w:rPr>
            </w:pPr>
          </w:p>
        </w:tc>
      </w:tr>
    </w:tbl>
    <w:p>
      <w:pPr>
        <w:overflowPunct w:val="0"/>
        <w:spacing w:before="93" w:beforeLines="30" w:line="300" w:lineRule="exact"/>
        <w:ind w:left="651" w:hanging="651" w:hangingChars="310"/>
        <w:jc w:val="left"/>
        <w:rPr>
          <w:rFonts w:ascii="Times New Roman" w:hAnsi="Times New Roman" w:eastAsia="仿宋_GB2312"/>
          <w:kern w:val="0"/>
          <w:szCs w:val="21"/>
        </w:rPr>
      </w:pPr>
      <w:r>
        <w:rPr>
          <w:rFonts w:hint="eastAsia" w:ascii="Times New Roman" w:hAnsi="Times New Roman" w:eastAsia="仿宋_GB2312"/>
          <w:kern w:val="0"/>
          <w:szCs w:val="21"/>
        </w:rPr>
        <w:t>说明：本表中全市（州）新筹集、基本建成保障性租赁住房计划合计数等数据，应与附件1“2023年保障性租赁住房、公租房保障、城镇棚户区改造等计划汇总表”中相关数据保持一致。</w:t>
      </w:r>
    </w:p>
    <w:p>
      <w:pPr>
        <w:overflowPunct w:val="0"/>
        <w:spacing w:line="579" w:lineRule="exact"/>
        <w:rPr>
          <w:rFonts w:ascii="Times New Roman" w:hAnsi="Times New Roman" w:eastAsia="黑体"/>
          <w:sz w:val="32"/>
          <w:szCs w:val="32"/>
        </w:rPr>
      </w:pPr>
      <w:r>
        <w:rPr>
          <w:rFonts w:hint="eastAsia" w:ascii="Times New Roman" w:hAnsi="Times New Roman" w:eastAsia="黑体"/>
          <w:sz w:val="32"/>
          <w:szCs w:val="32"/>
        </w:rPr>
        <w:t>附件3</w:t>
      </w:r>
      <w:bookmarkStart w:id="0" w:name="_GoBack"/>
      <w:bookmarkEnd w:id="0"/>
    </w:p>
    <w:p>
      <w:pPr>
        <w:overflowPunct w:val="0"/>
        <w:spacing w:before="124" w:beforeLines="40" w:after="436" w:afterLines="140" w:line="579"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2023年棚户区改造项目清单</w:t>
      </w:r>
    </w:p>
    <w:tbl>
      <w:tblPr>
        <w:tblStyle w:val="27"/>
        <w:tblW w:w="4949" w:type="pct"/>
        <w:jc w:val="center"/>
        <w:tblLayout w:type="autofit"/>
        <w:tblCellMar>
          <w:top w:w="57" w:type="dxa"/>
          <w:left w:w="57" w:type="dxa"/>
          <w:bottom w:w="57" w:type="dxa"/>
          <w:right w:w="57" w:type="dxa"/>
        </w:tblCellMar>
      </w:tblPr>
      <w:tblGrid>
        <w:gridCol w:w="372"/>
        <w:gridCol w:w="878"/>
        <w:gridCol w:w="878"/>
        <w:gridCol w:w="1131"/>
        <w:gridCol w:w="626"/>
        <w:gridCol w:w="878"/>
        <w:gridCol w:w="1384"/>
        <w:gridCol w:w="1131"/>
        <w:gridCol w:w="626"/>
        <w:gridCol w:w="626"/>
        <w:gridCol w:w="1384"/>
        <w:gridCol w:w="626"/>
        <w:gridCol w:w="1826"/>
        <w:gridCol w:w="373"/>
      </w:tblGrid>
      <w:tr>
        <w:tblPrEx>
          <w:tblCellMar>
            <w:top w:w="57" w:type="dxa"/>
            <w:left w:w="57" w:type="dxa"/>
            <w:bottom w:w="57" w:type="dxa"/>
            <w:right w:w="57" w:type="dxa"/>
          </w:tblCellMar>
        </w:tblPrEx>
        <w:trPr>
          <w:trHeight w:val="30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序</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市州县</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片区名</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四至关系</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（地址）</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计划</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开工</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数</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城市</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棚户区</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国有工矿</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棚户区序号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计划</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投资额</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（万元）</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安置</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方式</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实物</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安置</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比例</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实物安置</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建设项目</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名称及代码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实物</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安置</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套数</w:t>
            </w:r>
          </w:p>
        </w:tc>
        <w:tc>
          <w:tcPr>
            <w:tcW w:w="0" w:type="auto"/>
            <w:vMerge w:val="restart"/>
            <w:tcBorders>
              <w:top w:val="single" w:color="auto" w:sz="4" w:space="0"/>
              <w:left w:val="single" w:color="auto" w:sz="4" w:space="0"/>
              <w:bottom w:val="single" w:color="auto" w:sz="4" w:space="0"/>
              <w:right w:val="nil"/>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项目拟</w:t>
            </w:r>
          </w:p>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开工时间</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（xx年xx月）</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00" w:lineRule="exact"/>
              <w:jc w:val="center"/>
              <w:rPr>
                <w:rFonts w:hint="eastAsia" w:ascii="Times New Roman" w:hAnsi="Times New Roman" w:eastAsia="黑体"/>
                <w:kern w:val="0"/>
                <w:sz w:val="24"/>
                <w:szCs w:val="24"/>
                <w:lang w:eastAsia="zh-CN"/>
              </w:rPr>
            </w:pPr>
            <w:r>
              <w:rPr>
                <w:rFonts w:ascii="Times New Roman" w:hAnsi="Times New Roman" w:eastAsia="黑体"/>
                <w:kern w:val="0"/>
                <w:sz w:val="24"/>
                <w:szCs w:val="24"/>
              </w:rPr>
              <w:t>备</w:t>
            </w:r>
          </w:p>
          <w:p>
            <w:pPr>
              <w:overflowPunct w:val="0"/>
              <w:spacing w:line="300" w:lineRule="exact"/>
              <w:jc w:val="center"/>
              <w:rPr>
                <w:rFonts w:ascii="Times New Roman" w:hAnsi="Times New Roman" w:eastAsia="黑体"/>
                <w:kern w:val="0"/>
                <w:sz w:val="24"/>
                <w:szCs w:val="24"/>
              </w:rPr>
            </w:pPr>
            <w:r>
              <w:rPr>
                <w:rFonts w:ascii="Times New Roman" w:hAnsi="Times New Roman" w:eastAsia="黑体"/>
                <w:kern w:val="0"/>
                <w:sz w:val="24"/>
                <w:szCs w:val="24"/>
              </w:rPr>
              <w:t>注</w:t>
            </w:r>
          </w:p>
        </w:tc>
      </w:tr>
      <w:tr>
        <w:tblPrEx>
          <w:tblCellMar>
            <w:top w:w="57" w:type="dxa"/>
            <w:left w:w="57" w:type="dxa"/>
            <w:bottom w:w="57" w:type="dxa"/>
            <w:right w:w="57"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pPr>
              <w:overflowPunct w:val="0"/>
              <w:spacing w:line="300" w:lineRule="exact"/>
              <w:jc w:val="center"/>
              <w:rPr>
                <w:rFonts w:ascii="Times New Roman" w:hAnsi="Times New Roman" w:eastAsia="仿宋_GB2312"/>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spacing w:line="300" w:lineRule="exact"/>
              <w:jc w:val="center"/>
              <w:rPr>
                <w:rFonts w:ascii="Times New Roman" w:hAnsi="Times New Roman" w:eastAsia="仿宋_GB2312"/>
                <w:kern w:val="0"/>
                <w:sz w:val="24"/>
                <w:szCs w:val="24"/>
              </w:rPr>
            </w:pP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r>
        <w:tblPrEx>
          <w:tblCellMar>
            <w:top w:w="57" w:type="dxa"/>
            <w:left w:w="57" w:type="dxa"/>
            <w:bottom w:w="57" w:type="dxa"/>
            <w:right w:w="57" w:type="dxa"/>
          </w:tblCellMar>
        </w:tblPrEx>
        <w:trPr>
          <w:trHeight w:val="36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overflowPunct w:val="0"/>
              <w:spacing w:line="30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　</w:t>
            </w:r>
          </w:p>
        </w:tc>
      </w:tr>
    </w:tbl>
    <w:p>
      <w:pPr>
        <w:overflowPunct w:val="0"/>
        <w:jc w:val="both"/>
        <w:rPr>
          <w:rFonts w:ascii="Times New Roman" w:hAnsi="Times New Roman" w:eastAsia="仿宋_GB2312"/>
          <w:sz w:val="32"/>
          <w:szCs w:val="32"/>
        </w:rPr>
      </w:pPr>
    </w:p>
    <w:sectPr>
      <w:footerReference r:id="rId3" w:type="default"/>
      <w:pgSz w:w="16838" w:h="11906" w:orient="landscape"/>
      <w:pgMar w:top="1531" w:right="1871" w:bottom="1531" w:left="2211" w:header="851" w:footer="1191"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细等线简Times New Roman">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jc w:val="center"/>
      <w:rPr>
        <w:rStyle w:val="30"/>
        <w:rFonts w:ascii="Times New Roman" w:hAnsi="Times New Roman"/>
        <w:sz w:val="26"/>
        <w:szCs w:val="26"/>
      </w:rPr>
    </w:pPr>
    <w:r>
      <w:rPr>
        <w:rStyle w:val="30"/>
        <w:rFonts w:hint="eastAsia" w:ascii="Times New Roman" w:hAnsi="Times New Roman"/>
        <w:sz w:val="26"/>
        <w:szCs w:val="26"/>
      </w:rPr>
      <w:t>—</w:t>
    </w:r>
    <w:r>
      <w:rPr>
        <w:rStyle w:val="30"/>
        <w:rFonts w:ascii="Times New Roman" w:hAnsi="Times New Roman"/>
        <w:sz w:val="26"/>
        <w:szCs w:val="26"/>
      </w:rPr>
      <w:t xml:space="preserve"> </w:t>
    </w:r>
    <w:r>
      <w:rPr>
        <w:rStyle w:val="30"/>
        <w:rFonts w:ascii="Times New Roman" w:hAnsi="Times New Roman"/>
        <w:sz w:val="26"/>
        <w:szCs w:val="26"/>
      </w:rPr>
      <w:fldChar w:fldCharType="begin"/>
    </w:r>
    <w:r>
      <w:rPr>
        <w:rStyle w:val="30"/>
        <w:rFonts w:ascii="Times New Roman" w:hAnsi="Times New Roman"/>
        <w:sz w:val="26"/>
        <w:szCs w:val="26"/>
      </w:rPr>
      <w:instrText xml:space="preserve">PAGE  </w:instrText>
    </w:r>
    <w:r>
      <w:rPr>
        <w:rStyle w:val="30"/>
        <w:rFonts w:ascii="Times New Roman" w:hAnsi="Times New Roman"/>
        <w:sz w:val="26"/>
        <w:szCs w:val="26"/>
      </w:rPr>
      <w:fldChar w:fldCharType="separate"/>
    </w:r>
    <w:r>
      <w:rPr>
        <w:rStyle w:val="30"/>
        <w:rFonts w:ascii="Times New Roman" w:hAnsi="Times New Roman"/>
        <w:sz w:val="26"/>
        <w:szCs w:val="26"/>
      </w:rPr>
      <w:t>19</w:t>
    </w:r>
    <w:r>
      <w:rPr>
        <w:rStyle w:val="30"/>
        <w:rFonts w:ascii="Times New Roman" w:hAnsi="Times New Roman"/>
        <w:sz w:val="26"/>
        <w:szCs w:val="26"/>
      </w:rPr>
      <w:fldChar w:fldCharType="end"/>
    </w:r>
    <w:r>
      <w:rPr>
        <w:rStyle w:val="30"/>
        <w:rFonts w:ascii="Times New Roman" w:hAnsi="Times New Roman"/>
        <w:sz w:val="26"/>
        <w:szCs w:val="26"/>
      </w:rPr>
      <w:t xml:space="preserve"> </w:t>
    </w:r>
    <w:r>
      <w:rPr>
        <w:rStyle w:val="30"/>
        <w:rFonts w:ascii="宋体" w:hAnsi="宋体"/>
        <w:sz w:val="26"/>
        <w:szCs w:val="26"/>
      </w:rPr>
      <w:t>—</w:t>
    </w:r>
  </w:p>
  <w:p>
    <w:pPr>
      <w:pStyle w:val="1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TI3MTMyMDY4NDUxYmE1OTg2MWZkMDdhMDFmNjEifQ=="/>
  </w:docVars>
  <w:rsids>
    <w:rsidRoot w:val="00562718"/>
    <w:rsid w:val="00001A48"/>
    <w:rsid w:val="00012A70"/>
    <w:rsid w:val="00015B30"/>
    <w:rsid w:val="00020D3E"/>
    <w:rsid w:val="00021736"/>
    <w:rsid w:val="00024342"/>
    <w:rsid w:val="00026FE6"/>
    <w:rsid w:val="00031A93"/>
    <w:rsid w:val="00047A30"/>
    <w:rsid w:val="00061C45"/>
    <w:rsid w:val="0007735C"/>
    <w:rsid w:val="00081AF3"/>
    <w:rsid w:val="000A1921"/>
    <w:rsid w:val="000A4649"/>
    <w:rsid w:val="000D5007"/>
    <w:rsid w:val="000E4256"/>
    <w:rsid w:val="00100BC6"/>
    <w:rsid w:val="00110B99"/>
    <w:rsid w:val="0015134E"/>
    <w:rsid w:val="00151CDA"/>
    <w:rsid w:val="001955B4"/>
    <w:rsid w:val="001B143F"/>
    <w:rsid w:val="001C2147"/>
    <w:rsid w:val="001C4334"/>
    <w:rsid w:val="001D3E16"/>
    <w:rsid w:val="001D50D9"/>
    <w:rsid w:val="001E640A"/>
    <w:rsid w:val="001E733E"/>
    <w:rsid w:val="001F3161"/>
    <w:rsid w:val="001F4CCB"/>
    <w:rsid w:val="001F75C0"/>
    <w:rsid w:val="00201279"/>
    <w:rsid w:val="00205592"/>
    <w:rsid w:val="00206E55"/>
    <w:rsid w:val="00221DFF"/>
    <w:rsid w:val="00221E03"/>
    <w:rsid w:val="00232663"/>
    <w:rsid w:val="0025030E"/>
    <w:rsid w:val="00250813"/>
    <w:rsid w:val="00255CAC"/>
    <w:rsid w:val="0027300F"/>
    <w:rsid w:val="002A10FA"/>
    <w:rsid w:val="002F17E6"/>
    <w:rsid w:val="002F4F6B"/>
    <w:rsid w:val="002F7843"/>
    <w:rsid w:val="00312968"/>
    <w:rsid w:val="00327598"/>
    <w:rsid w:val="00330768"/>
    <w:rsid w:val="00344E74"/>
    <w:rsid w:val="00351167"/>
    <w:rsid w:val="003554B3"/>
    <w:rsid w:val="00364F17"/>
    <w:rsid w:val="00366148"/>
    <w:rsid w:val="003830FD"/>
    <w:rsid w:val="00386024"/>
    <w:rsid w:val="003912B3"/>
    <w:rsid w:val="00396B4D"/>
    <w:rsid w:val="003A7266"/>
    <w:rsid w:val="003B2F89"/>
    <w:rsid w:val="003B7A36"/>
    <w:rsid w:val="003D1FD2"/>
    <w:rsid w:val="003E42AF"/>
    <w:rsid w:val="003E7C1D"/>
    <w:rsid w:val="003F5181"/>
    <w:rsid w:val="00412C78"/>
    <w:rsid w:val="004155F5"/>
    <w:rsid w:val="00415F75"/>
    <w:rsid w:val="0042796B"/>
    <w:rsid w:val="00447040"/>
    <w:rsid w:val="00450616"/>
    <w:rsid w:val="00453D0A"/>
    <w:rsid w:val="00454543"/>
    <w:rsid w:val="00467577"/>
    <w:rsid w:val="004763A4"/>
    <w:rsid w:val="00477B80"/>
    <w:rsid w:val="004A064E"/>
    <w:rsid w:val="004E5570"/>
    <w:rsid w:val="00541091"/>
    <w:rsid w:val="0055333D"/>
    <w:rsid w:val="00562718"/>
    <w:rsid w:val="00570AFE"/>
    <w:rsid w:val="005729D9"/>
    <w:rsid w:val="00580F21"/>
    <w:rsid w:val="00585FBC"/>
    <w:rsid w:val="00595D0B"/>
    <w:rsid w:val="005A6BB1"/>
    <w:rsid w:val="005B4573"/>
    <w:rsid w:val="005C2C8F"/>
    <w:rsid w:val="005D58C7"/>
    <w:rsid w:val="005D5A7A"/>
    <w:rsid w:val="005E4592"/>
    <w:rsid w:val="00603CBF"/>
    <w:rsid w:val="0061191D"/>
    <w:rsid w:val="00613A38"/>
    <w:rsid w:val="0061407D"/>
    <w:rsid w:val="00614C3A"/>
    <w:rsid w:val="00621DF2"/>
    <w:rsid w:val="00622C57"/>
    <w:rsid w:val="006273FF"/>
    <w:rsid w:val="00631B21"/>
    <w:rsid w:val="00634D3A"/>
    <w:rsid w:val="00636CA3"/>
    <w:rsid w:val="0065631F"/>
    <w:rsid w:val="0065653A"/>
    <w:rsid w:val="00656D01"/>
    <w:rsid w:val="00664AE7"/>
    <w:rsid w:val="00672EE1"/>
    <w:rsid w:val="00692E57"/>
    <w:rsid w:val="006B68C7"/>
    <w:rsid w:val="006C6AFB"/>
    <w:rsid w:val="006D6943"/>
    <w:rsid w:val="006F10D3"/>
    <w:rsid w:val="007003BE"/>
    <w:rsid w:val="0074072D"/>
    <w:rsid w:val="00741228"/>
    <w:rsid w:val="00742CA8"/>
    <w:rsid w:val="0074528C"/>
    <w:rsid w:val="0076123A"/>
    <w:rsid w:val="007756D0"/>
    <w:rsid w:val="00793CEC"/>
    <w:rsid w:val="007A4241"/>
    <w:rsid w:val="007C30D4"/>
    <w:rsid w:val="007E033F"/>
    <w:rsid w:val="007E650A"/>
    <w:rsid w:val="00817B32"/>
    <w:rsid w:val="00827726"/>
    <w:rsid w:val="00833CB1"/>
    <w:rsid w:val="00835B47"/>
    <w:rsid w:val="008365E2"/>
    <w:rsid w:val="00840B8A"/>
    <w:rsid w:val="0084540B"/>
    <w:rsid w:val="00850CDF"/>
    <w:rsid w:val="00851D93"/>
    <w:rsid w:val="0085370F"/>
    <w:rsid w:val="00862382"/>
    <w:rsid w:val="00862C8A"/>
    <w:rsid w:val="008650CC"/>
    <w:rsid w:val="008857DE"/>
    <w:rsid w:val="008B2233"/>
    <w:rsid w:val="008B79EB"/>
    <w:rsid w:val="008C0FE1"/>
    <w:rsid w:val="008E1299"/>
    <w:rsid w:val="008E134F"/>
    <w:rsid w:val="00901678"/>
    <w:rsid w:val="00916FC4"/>
    <w:rsid w:val="00917962"/>
    <w:rsid w:val="00925E66"/>
    <w:rsid w:val="00947617"/>
    <w:rsid w:val="00970101"/>
    <w:rsid w:val="009717D9"/>
    <w:rsid w:val="009918C1"/>
    <w:rsid w:val="0099416E"/>
    <w:rsid w:val="009C033F"/>
    <w:rsid w:val="009E3A71"/>
    <w:rsid w:val="00A01EFD"/>
    <w:rsid w:val="00A150A2"/>
    <w:rsid w:val="00A17645"/>
    <w:rsid w:val="00A34453"/>
    <w:rsid w:val="00A36E69"/>
    <w:rsid w:val="00A67830"/>
    <w:rsid w:val="00A712E3"/>
    <w:rsid w:val="00A775B4"/>
    <w:rsid w:val="00A83577"/>
    <w:rsid w:val="00A9500C"/>
    <w:rsid w:val="00AB1840"/>
    <w:rsid w:val="00AB4BB7"/>
    <w:rsid w:val="00AC41C7"/>
    <w:rsid w:val="00AD0730"/>
    <w:rsid w:val="00AE6DD5"/>
    <w:rsid w:val="00B01915"/>
    <w:rsid w:val="00B075B0"/>
    <w:rsid w:val="00B13A92"/>
    <w:rsid w:val="00B15C23"/>
    <w:rsid w:val="00B175D2"/>
    <w:rsid w:val="00B3684E"/>
    <w:rsid w:val="00B50250"/>
    <w:rsid w:val="00B50C7A"/>
    <w:rsid w:val="00B53308"/>
    <w:rsid w:val="00B57E2B"/>
    <w:rsid w:val="00B75E87"/>
    <w:rsid w:val="00B8790C"/>
    <w:rsid w:val="00B87A31"/>
    <w:rsid w:val="00B90496"/>
    <w:rsid w:val="00BA110A"/>
    <w:rsid w:val="00BB26EC"/>
    <w:rsid w:val="00BB7621"/>
    <w:rsid w:val="00BD0D6B"/>
    <w:rsid w:val="00BF47CC"/>
    <w:rsid w:val="00BF50FF"/>
    <w:rsid w:val="00C0040F"/>
    <w:rsid w:val="00C01DD6"/>
    <w:rsid w:val="00C07670"/>
    <w:rsid w:val="00C2008C"/>
    <w:rsid w:val="00C22237"/>
    <w:rsid w:val="00C2782A"/>
    <w:rsid w:val="00C302B7"/>
    <w:rsid w:val="00C370F9"/>
    <w:rsid w:val="00C41106"/>
    <w:rsid w:val="00C64212"/>
    <w:rsid w:val="00C678E4"/>
    <w:rsid w:val="00C73117"/>
    <w:rsid w:val="00C77074"/>
    <w:rsid w:val="00C815E9"/>
    <w:rsid w:val="00C852CA"/>
    <w:rsid w:val="00C875E7"/>
    <w:rsid w:val="00C95F22"/>
    <w:rsid w:val="00CA3AD6"/>
    <w:rsid w:val="00CB6468"/>
    <w:rsid w:val="00CC6AE7"/>
    <w:rsid w:val="00CD165C"/>
    <w:rsid w:val="00CE2BF8"/>
    <w:rsid w:val="00CE549F"/>
    <w:rsid w:val="00D13A12"/>
    <w:rsid w:val="00D21B4C"/>
    <w:rsid w:val="00D40732"/>
    <w:rsid w:val="00D44987"/>
    <w:rsid w:val="00D504F6"/>
    <w:rsid w:val="00D53AFF"/>
    <w:rsid w:val="00D557E5"/>
    <w:rsid w:val="00D61FD5"/>
    <w:rsid w:val="00D675EA"/>
    <w:rsid w:val="00D740AE"/>
    <w:rsid w:val="00D77AB3"/>
    <w:rsid w:val="00D85DF4"/>
    <w:rsid w:val="00D96304"/>
    <w:rsid w:val="00D96516"/>
    <w:rsid w:val="00DA333D"/>
    <w:rsid w:val="00DB6C99"/>
    <w:rsid w:val="00DD2E71"/>
    <w:rsid w:val="00DE10F4"/>
    <w:rsid w:val="00DE73C1"/>
    <w:rsid w:val="00E01EBE"/>
    <w:rsid w:val="00E071F9"/>
    <w:rsid w:val="00E13887"/>
    <w:rsid w:val="00E14FF7"/>
    <w:rsid w:val="00E2671D"/>
    <w:rsid w:val="00E30DA2"/>
    <w:rsid w:val="00E566C0"/>
    <w:rsid w:val="00E65F40"/>
    <w:rsid w:val="00E74FCA"/>
    <w:rsid w:val="00E83E0E"/>
    <w:rsid w:val="00E84C93"/>
    <w:rsid w:val="00E93154"/>
    <w:rsid w:val="00EA274A"/>
    <w:rsid w:val="00EA7468"/>
    <w:rsid w:val="00EB477E"/>
    <w:rsid w:val="00EB5851"/>
    <w:rsid w:val="00EC18FA"/>
    <w:rsid w:val="00EC343D"/>
    <w:rsid w:val="00EC591C"/>
    <w:rsid w:val="00EC5BAC"/>
    <w:rsid w:val="00ED752F"/>
    <w:rsid w:val="00EE1DF2"/>
    <w:rsid w:val="00EE4A6E"/>
    <w:rsid w:val="00EE774B"/>
    <w:rsid w:val="00EF000A"/>
    <w:rsid w:val="00EF089B"/>
    <w:rsid w:val="00F059DD"/>
    <w:rsid w:val="00F20665"/>
    <w:rsid w:val="00F3188A"/>
    <w:rsid w:val="00F51039"/>
    <w:rsid w:val="00F51B77"/>
    <w:rsid w:val="00F52298"/>
    <w:rsid w:val="00F560DB"/>
    <w:rsid w:val="00F87977"/>
    <w:rsid w:val="00F952C1"/>
    <w:rsid w:val="00FA2433"/>
    <w:rsid w:val="00FA4830"/>
    <w:rsid w:val="00FA56D8"/>
    <w:rsid w:val="00FC16D5"/>
    <w:rsid w:val="00FD1621"/>
    <w:rsid w:val="00FD7818"/>
    <w:rsid w:val="00FE01E9"/>
    <w:rsid w:val="00FE6BFF"/>
    <w:rsid w:val="0A595CE9"/>
    <w:rsid w:val="204A18DC"/>
    <w:rsid w:val="2DCE009B"/>
    <w:rsid w:val="38DF2852"/>
    <w:rsid w:val="44302EB9"/>
    <w:rsid w:val="54650BB2"/>
    <w:rsid w:val="76DE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locked/>
    <w:uiPriority w:val="0"/>
    <w:pPr>
      <w:keepNext/>
      <w:keepLines/>
      <w:spacing w:before="340" w:after="330" w:line="576" w:lineRule="auto"/>
      <w:outlineLvl w:val="0"/>
    </w:pPr>
    <w:rPr>
      <w:rFonts w:eastAsia="仿宋_GB2312"/>
      <w:b/>
      <w:bCs/>
      <w:kern w:val="44"/>
      <w:sz w:val="44"/>
      <w:szCs w:val="44"/>
    </w:rPr>
  </w:style>
  <w:style w:type="paragraph" w:styleId="3">
    <w:name w:val="heading 2"/>
    <w:basedOn w:val="1"/>
    <w:next w:val="1"/>
    <w:link w:val="34"/>
    <w:qFormat/>
    <w:locked/>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5"/>
    <w:qFormat/>
    <w:locked/>
    <w:uiPriority w:val="0"/>
    <w:pPr>
      <w:keepNext/>
      <w:keepLines/>
      <w:spacing w:before="260" w:after="260" w:line="413" w:lineRule="auto"/>
      <w:outlineLvl w:val="2"/>
    </w:pPr>
    <w:rPr>
      <w:b/>
      <w:bCs/>
      <w:sz w:val="32"/>
      <w:szCs w:val="32"/>
    </w:rPr>
  </w:style>
  <w:style w:type="paragraph" w:styleId="5">
    <w:name w:val="heading 4"/>
    <w:basedOn w:val="1"/>
    <w:next w:val="1"/>
    <w:link w:val="36"/>
    <w:qFormat/>
    <w:locked/>
    <w:uiPriority w:val="0"/>
    <w:pPr>
      <w:keepNext/>
      <w:keepLines/>
      <w:spacing w:before="120" w:after="120"/>
      <w:ind w:firstLine="200" w:firstLineChars="200"/>
      <w:outlineLvl w:val="3"/>
    </w:pPr>
    <w:rPr>
      <w:rFonts w:ascii="Arial" w:hAnsi="Arial" w:eastAsia="黑体"/>
      <w:b/>
      <w:bCs/>
      <w:color w:val="000000"/>
      <w:sz w:val="24"/>
      <w:szCs w:val="28"/>
    </w:rPr>
  </w:style>
  <w:style w:type="paragraph" w:styleId="6">
    <w:name w:val="heading 5"/>
    <w:basedOn w:val="1"/>
    <w:next w:val="1"/>
    <w:link w:val="37"/>
    <w:qFormat/>
    <w:locked/>
    <w:uiPriority w:val="0"/>
    <w:pPr>
      <w:keepNext/>
      <w:keepLines/>
      <w:spacing w:before="280" w:after="290" w:line="372" w:lineRule="auto"/>
      <w:outlineLvl w:val="4"/>
    </w:pPr>
    <w:rPr>
      <w:b/>
      <w:bCs/>
      <w:sz w:val="28"/>
      <w:szCs w:val="28"/>
    </w:rPr>
  </w:style>
  <w:style w:type="paragraph" w:styleId="7">
    <w:name w:val="heading 6"/>
    <w:basedOn w:val="1"/>
    <w:next w:val="1"/>
    <w:link w:val="38"/>
    <w:qFormat/>
    <w:locked/>
    <w:uiPriority w:val="0"/>
    <w:pPr>
      <w:keepNext/>
      <w:keepLines/>
      <w:spacing w:before="120" w:after="120" w:line="360" w:lineRule="auto"/>
      <w:ind w:firstLine="200" w:firstLineChars="200"/>
      <w:outlineLvl w:val="5"/>
    </w:pPr>
    <w:rPr>
      <w:rFonts w:ascii="Arial" w:hAnsi="Arial" w:eastAsia="黑体"/>
      <w:b/>
      <w:bCs/>
      <w:sz w:val="24"/>
      <w:szCs w:val="24"/>
    </w:rPr>
  </w:style>
  <w:style w:type="paragraph" w:styleId="8">
    <w:name w:val="heading 7"/>
    <w:basedOn w:val="1"/>
    <w:next w:val="1"/>
    <w:link w:val="39"/>
    <w:qFormat/>
    <w:locked/>
    <w:uiPriority w:val="0"/>
    <w:pPr>
      <w:keepNext/>
      <w:tabs>
        <w:tab w:val="left" w:pos="2520"/>
      </w:tabs>
      <w:spacing w:line="360" w:lineRule="auto"/>
      <w:ind w:left="1296" w:hanging="1296" w:firstLineChars="200"/>
      <w:jc w:val="left"/>
      <w:outlineLvl w:val="6"/>
    </w:pPr>
    <w:rPr>
      <w:rFonts w:ascii="宋体" w:eastAsia="黑体"/>
      <w:b/>
      <w:sz w:val="24"/>
    </w:rPr>
  </w:style>
  <w:style w:type="paragraph" w:styleId="9">
    <w:name w:val="heading 8"/>
    <w:basedOn w:val="1"/>
    <w:next w:val="1"/>
    <w:link w:val="40"/>
    <w:qFormat/>
    <w:locked/>
    <w:uiPriority w:val="0"/>
    <w:pPr>
      <w:keepNext/>
      <w:keepLines/>
      <w:tabs>
        <w:tab w:val="left" w:pos="2880"/>
      </w:tabs>
      <w:spacing w:before="240" w:after="64" w:line="317" w:lineRule="auto"/>
      <w:ind w:left="1440" w:hanging="1440" w:firstLineChars="200"/>
      <w:outlineLvl w:val="7"/>
    </w:pPr>
    <w:rPr>
      <w:rFonts w:ascii="宋体" w:eastAsia="黑体"/>
      <w:sz w:val="24"/>
      <w:szCs w:val="24"/>
    </w:rPr>
  </w:style>
  <w:style w:type="paragraph" w:styleId="10">
    <w:name w:val="heading 9"/>
    <w:basedOn w:val="1"/>
    <w:next w:val="1"/>
    <w:link w:val="41"/>
    <w:qFormat/>
    <w:locked/>
    <w:uiPriority w:val="0"/>
    <w:pPr>
      <w:keepNext/>
      <w:keepLines/>
      <w:tabs>
        <w:tab w:val="left" w:pos="2880"/>
      </w:tabs>
      <w:spacing w:before="240" w:after="64" w:line="317" w:lineRule="auto"/>
      <w:ind w:left="1584" w:hanging="1584" w:firstLineChars="200"/>
      <w:outlineLvl w:val="8"/>
    </w:pPr>
    <w:rPr>
      <w:rFonts w:ascii="宋体" w:eastAsia="黑体"/>
      <w:sz w:val="24"/>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locked/>
    <w:uiPriority w:val="0"/>
    <w:rPr>
      <w:rFonts w:ascii="Arial" w:hAnsi="Arial" w:eastAsia="黑体" w:cs="Arial"/>
      <w:sz w:val="20"/>
      <w:szCs w:val="20"/>
    </w:rPr>
  </w:style>
  <w:style w:type="paragraph" w:styleId="12">
    <w:name w:val="annotation text"/>
    <w:basedOn w:val="1"/>
    <w:qFormat/>
    <w:uiPriority w:val="0"/>
    <w:pPr>
      <w:jc w:val="left"/>
    </w:pPr>
    <w:rPr>
      <w:rFonts w:ascii="Times New Roman" w:hAnsi="Times New Roman"/>
      <w:szCs w:val="24"/>
    </w:rPr>
  </w:style>
  <w:style w:type="paragraph" w:styleId="13">
    <w:name w:val="Body Text"/>
    <w:basedOn w:val="1"/>
    <w:link w:val="47"/>
    <w:qFormat/>
    <w:uiPriority w:val="0"/>
    <w:pPr>
      <w:jc w:val="center"/>
    </w:pPr>
    <w:rPr>
      <w:rFonts w:ascii="宋体"/>
      <w:sz w:val="44"/>
      <w:szCs w:val="24"/>
    </w:rPr>
  </w:style>
  <w:style w:type="paragraph" w:styleId="14">
    <w:name w:val="Body Text Indent"/>
    <w:basedOn w:val="1"/>
    <w:link w:val="46"/>
    <w:qFormat/>
    <w:uiPriority w:val="0"/>
    <w:pPr>
      <w:spacing w:after="120"/>
      <w:ind w:left="420" w:leftChars="200"/>
    </w:pPr>
    <w:rPr>
      <w:szCs w:val="24"/>
    </w:rPr>
  </w:style>
  <w:style w:type="paragraph" w:styleId="15">
    <w:name w:val="Plain Text"/>
    <w:basedOn w:val="1"/>
    <w:qFormat/>
    <w:uiPriority w:val="0"/>
    <w:rPr>
      <w:rFonts w:ascii="宋体" w:hAnsi="Courier New" w:cs="Courier New"/>
      <w:szCs w:val="21"/>
    </w:rPr>
  </w:style>
  <w:style w:type="paragraph" w:styleId="16">
    <w:name w:val="Date"/>
    <w:basedOn w:val="1"/>
    <w:next w:val="1"/>
    <w:link w:val="75"/>
    <w:qFormat/>
    <w:uiPriority w:val="0"/>
    <w:pPr>
      <w:ind w:left="100" w:leftChars="2500"/>
    </w:pPr>
    <w:rPr>
      <w:szCs w:val="24"/>
    </w:rPr>
  </w:style>
  <w:style w:type="paragraph" w:styleId="17">
    <w:name w:val="Body Text Indent 2"/>
    <w:basedOn w:val="1"/>
    <w:qFormat/>
    <w:uiPriority w:val="0"/>
    <w:pPr>
      <w:spacing w:after="120" w:line="480" w:lineRule="auto"/>
      <w:ind w:left="420" w:leftChars="200"/>
    </w:pPr>
    <w:rPr>
      <w:rFonts w:ascii="Times New Roman" w:hAnsi="Times New Roman"/>
      <w:szCs w:val="24"/>
    </w:rPr>
  </w:style>
  <w:style w:type="paragraph" w:styleId="18">
    <w:name w:val="Balloon Text"/>
    <w:basedOn w:val="1"/>
    <w:link w:val="77"/>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link w:val="45"/>
    <w:qFormat/>
    <w:uiPriority w:val="0"/>
    <w:pPr>
      <w:spacing w:after="120"/>
      <w:ind w:left="420" w:leftChars="200"/>
    </w:pPr>
    <w:rPr>
      <w:sz w:val="16"/>
      <w:szCs w:val="16"/>
    </w:rPr>
  </w:style>
  <w:style w:type="paragraph" w:styleId="22">
    <w:name w:val="Body Text 2"/>
    <w:basedOn w:val="1"/>
    <w:qFormat/>
    <w:uiPriority w:val="0"/>
    <w:pPr>
      <w:spacing w:after="120" w:line="480" w:lineRule="auto"/>
    </w:pPr>
    <w:rPr>
      <w:rFonts w:ascii="Times New Roman" w:hAnsi="Times New Roman"/>
      <w:szCs w:val="24"/>
    </w:rPr>
  </w:style>
  <w:style w:type="paragraph" w:styleId="23">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qFormat/>
    <w:locked/>
    <w:uiPriority w:val="0"/>
    <w:pPr>
      <w:spacing w:before="240" w:after="60" w:line="360" w:lineRule="auto"/>
      <w:ind w:firstLine="200" w:firstLineChars="200"/>
      <w:jc w:val="center"/>
      <w:outlineLvl w:val="0"/>
    </w:pPr>
    <w:rPr>
      <w:rFonts w:ascii="Arial" w:hAnsi="Arial"/>
      <w:b/>
      <w:bCs/>
      <w:sz w:val="36"/>
      <w:szCs w:val="32"/>
    </w:rPr>
  </w:style>
  <w:style w:type="paragraph" w:styleId="26">
    <w:name w:val="Body Text First Indent"/>
    <w:basedOn w:val="13"/>
    <w:qFormat/>
    <w:uiPriority w:val="0"/>
    <w:pPr>
      <w:spacing w:after="120"/>
      <w:ind w:firstLine="420" w:firstLineChars="100"/>
      <w:jc w:val="both"/>
    </w:pPr>
    <w:rPr>
      <w:rFonts w:ascii="Times New Roman"/>
      <w:sz w:val="21"/>
    </w:rPr>
  </w:style>
  <w:style w:type="character" w:styleId="29">
    <w:name w:val="Strong"/>
    <w:qFormat/>
    <w:locked/>
    <w:uiPriority w:val="0"/>
    <w:rPr>
      <w:b/>
      <w:bCs/>
    </w:rPr>
  </w:style>
  <w:style w:type="character" w:styleId="30">
    <w:name w:val="page number"/>
    <w:basedOn w:val="28"/>
    <w:qFormat/>
    <w:uiPriority w:val="0"/>
  </w:style>
  <w:style w:type="character" w:styleId="31">
    <w:name w:val="Emphasis"/>
    <w:qFormat/>
    <w:locked/>
    <w:uiPriority w:val="0"/>
    <w:rPr>
      <w:color w:val="CC0033"/>
    </w:rPr>
  </w:style>
  <w:style w:type="character" w:styleId="32">
    <w:name w:val="Hyperlink"/>
    <w:qFormat/>
    <w:uiPriority w:val="0"/>
    <w:rPr>
      <w:color w:val="0000FF"/>
      <w:u w:val="single"/>
    </w:rPr>
  </w:style>
  <w:style w:type="character" w:customStyle="1" w:styleId="33">
    <w:name w:val="标题 1 Char"/>
    <w:link w:val="2"/>
    <w:qFormat/>
    <w:uiPriority w:val="0"/>
    <w:rPr>
      <w:rFonts w:eastAsia="仿宋_GB2312"/>
      <w:b/>
      <w:bCs/>
      <w:kern w:val="44"/>
      <w:sz w:val="44"/>
      <w:szCs w:val="44"/>
      <w:lang w:val="en-US" w:eastAsia="zh-CN" w:bidi="ar-SA"/>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rFonts w:eastAsia="宋体"/>
      <w:b/>
      <w:bCs/>
      <w:kern w:val="2"/>
      <w:sz w:val="32"/>
      <w:szCs w:val="32"/>
      <w:lang w:val="en-US" w:eastAsia="zh-CN" w:bidi="ar-SA"/>
    </w:rPr>
  </w:style>
  <w:style w:type="character" w:customStyle="1" w:styleId="36">
    <w:name w:val="标题 4 Char"/>
    <w:link w:val="5"/>
    <w:qFormat/>
    <w:uiPriority w:val="0"/>
    <w:rPr>
      <w:rFonts w:ascii="Arial" w:hAnsi="Arial" w:eastAsia="黑体"/>
      <w:b/>
      <w:bCs/>
      <w:color w:val="000000"/>
      <w:kern w:val="2"/>
      <w:sz w:val="24"/>
      <w:szCs w:val="28"/>
      <w:lang w:val="en-US" w:eastAsia="zh-CN" w:bidi="ar-SA"/>
    </w:rPr>
  </w:style>
  <w:style w:type="character" w:customStyle="1" w:styleId="37">
    <w:name w:val="标题 5 Char"/>
    <w:link w:val="6"/>
    <w:qFormat/>
    <w:uiPriority w:val="0"/>
    <w:rPr>
      <w:rFonts w:eastAsia="宋体"/>
      <w:b/>
      <w:bCs/>
      <w:kern w:val="2"/>
      <w:sz w:val="28"/>
      <w:szCs w:val="28"/>
      <w:lang w:val="en-US" w:eastAsia="zh-CN" w:bidi="ar-SA"/>
    </w:rPr>
  </w:style>
  <w:style w:type="character" w:customStyle="1" w:styleId="38">
    <w:name w:val="标题 6 Char"/>
    <w:link w:val="7"/>
    <w:qFormat/>
    <w:uiPriority w:val="0"/>
    <w:rPr>
      <w:rFonts w:ascii="Arial" w:hAnsi="Arial" w:eastAsia="黑体"/>
      <w:b/>
      <w:bCs/>
      <w:kern w:val="2"/>
      <w:sz w:val="24"/>
      <w:szCs w:val="24"/>
      <w:lang w:val="en-US" w:eastAsia="zh-CN" w:bidi="ar-SA"/>
    </w:rPr>
  </w:style>
  <w:style w:type="character" w:customStyle="1" w:styleId="39">
    <w:name w:val="标题 7 Char"/>
    <w:link w:val="8"/>
    <w:qFormat/>
    <w:uiPriority w:val="0"/>
    <w:rPr>
      <w:rFonts w:ascii="宋体" w:hAnsi="Calibri" w:eastAsia="黑体"/>
      <w:b/>
      <w:kern w:val="2"/>
      <w:sz w:val="24"/>
      <w:szCs w:val="22"/>
      <w:lang w:val="en-US" w:eastAsia="zh-CN" w:bidi="ar-SA"/>
    </w:rPr>
  </w:style>
  <w:style w:type="character" w:customStyle="1" w:styleId="40">
    <w:name w:val="标题 8 Char"/>
    <w:link w:val="9"/>
    <w:qFormat/>
    <w:uiPriority w:val="0"/>
    <w:rPr>
      <w:rFonts w:ascii="宋体" w:hAnsi="Calibri" w:eastAsia="黑体"/>
      <w:kern w:val="2"/>
      <w:sz w:val="24"/>
      <w:szCs w:val="24"/>
      <w:lang w:val="en-US" w:eastAsia="zh-CN" w:bidi="ar-SA"/>
    </w:rPr>
  </w:style>
  <w:style w:type="character" w:customStyle="1" w:styleId="41">
    <w:name w:val="标题 9 Char"/>
    <w:link w:val="10"/>
    <w:qFormat/>
    <w:uiPriority w:val="0"/>
    <w:rPr>
      <w:rFonts w:ascii="宋体" w:hAnsi="Calibri" w:eastAsia="黑体"/>
      <w:kern w:val="2"/>
      <w:sz w:val="24"/>
      <w:szCs w:val="21"/>
      <w:lang w:val="en-US" w:eastAsia="zh-CN" w:bidi="ar-SA"/>
    </w:rPr>
  </w:style>
  <w:style w:type="character" w:customStyle="1" w:styleId="42">
    <w:name w:val="页眉 Char"/>
    <w:basedOn w:val="28"/>
    <w:link w:val="20"/>
    <w:qFormat/>
    <w:locked/>
    <w:uiPriority w:val="0"/>
    <w:rPr>
      <w:rFonts w:cs="Times New Roman"/>
      <w:sz w:val="18"/>
      <w:szCs w:val="18"/>
    </w:rPr>
  </w:style>
  <w:style w:type="character" w:customStyle="1" w:styleId="43">
    <w:name w:val="页脚 Char"/>
    <w:basedOn w:val="28"/>
    <w:link w:val="19"/>
    <w:qFormat/>
    <w:locked/>
    <w:uiPriority w:val="99"/>
    <w:rPr>
      <w:rFonts w:cs="Times New Roman"/>
      <w:sz w:val="18"/>
      <w:szCs w:val="18"/>
    </w:rPr>
  </w:style>
  <w:style w:type="character" w:customStyle="1" w:styleId="44">
    <w:name w:val="style621"/>
    <w:qFormat/>
    <w:uiPriority w:val="0"/>
    <w:rPr>
      <w:b/>
      <w:color w:val="333333"/>
      <w:sz w:val="32"/>
    </w:rPr>
  </w:style>
  <w:style w:type="character" w:customStyle="1" w:styleId="45">
    <w:name w:val="正文文本缩进 3 Char"/>
    <w:link w:val="21"/>
    <w:qFormat/>
    <w:uiPriority w:val="0"/>
    <w:rPr>
      <w:rFonts w:eastAsia="宋体"/>
      <w:kern w:val="2"/>
      <w:sz w:val="16"/>
      <w:szCs w:val="16"/>
      <w:lang w:val="en-US" w:eastAsia="zh-CN" w:bidi="ar-SA"/>
    </w:rPr>
  </w:style>
  <w:style w:type="character" w:customStyle="1" w:styleId="46">
    <w:name w:val="正文文本缩进 Char"/>
    <w:link w:val="14"/>
    <w:qFormat/>
    <w:uiPriority w:val="0"/>
    <w:rPr>
      <w:rFonts w:eastAsia="宋体"/>
      <w:kern w:val="2"/>
      <w:sz w:val="21"/>
      <w:szCs w:val="24"/>
      <w:lang w:val="en-US" w:eastAsia="zh-CN" w:bidi="ar-SA"/>
    </w:rPr>
  </w:style>
  <w:style w:type="character" w:customStyle="1" w:styleId="47">
    <w:name w:val="正文文本 Char"/>
    <w:link w:val="13"/>
    <w:qFormat/>
    <w:uiPriority w:val="0"/>
    <w:rPr>
      <w:rFonts w:ascii="宋体" w:eastAsia="宋体"/>
      <w:kern w:val="2"/>
      <w:sz w:val="44"/>
      <w:szCs w:val="24"/>
      <w:lang w:val="en-US" w:eastAsia="zh-CN" w:bidi="ar-SA"/>
    </w:rPr>
  </w:style>
  <w:style w:type="character" w:customStyle="1" w:styleId="48">
    <w:name w:val="ask-title"/>
    <w:basedOn w:val="28"/>
    <w:qFormat/>
    <w:uiPriority w:val="0"/>
  </w:style>
  <w:style w:type="character" w:customStyle="1" w:styleId="49">
    <w:name w:val="Char Char4"/>
    <w:qFormat/>
    <w:uiPriority w:val="0"/>
    <w:rPr>
      <w:rFonts w:eastAsia="宋体"/>
      <w:kern w:val="2"/>
      <w:sz w:val="21"/>
      <w:szCs w:val="24"/>
      <w:lang w:val="en-US" w:eastAsia="zh-CN" w:bidi="ar-SA"/>
    </w:rPr>
  </w:style>
  <w:style w:type="character" w:customStyle="1" w:styleId="50">
    <w:name w:val="正文OK Char"/>
    <w:link w:val="51"/>
    <w:qFormat/>
    <w:uiPriority w:val="0"/>
    <w:rPr>
      <w:rFonts w:eastAsia="方正仿宋简体"/>
      <w:kern w:val="2"/>
      <w:sz w:val="32"/>
      <w:szCs w:val="32"/>
      <w:lang w:val="en-US" w:eastAsia="zh-CN" w:bidi="ar-SA"/>
    </w:rPr>
  </w:style>
  <w:style w:type="paragraph" w:customStyle="1" w:styleId="51">
    <w:name w:val="正文OK"/>
    <w:basedOn w:val="1"/>
    <w:link w:val="50"/>
    <w:qFormat/>
    <w:uiPriority w:val="0"/>
    <w:pPr>
      <w:ind w:firstLine="200" w:firstLineChars="200"/>
    </w:pPr>
    <w:rPr>
      <w:rFonts w:eastAsia="方正仿宋简体"/>
      <w:sz w:val="32"/>
      <w:szCs w:val="32"/>
    </w:rPr>
  </w:style>
  <w:style w:type="character" w:customStyle="1" w:styleId="52">
    <w:name w:val="apple-converted-space"/>
    <w:basedOn w:val="28"/>
    <w:qFormat/>
    <w:uiPriority w:val="0"/>
  </w:style>
  <w:style w:type="character" w:customStyle="1" w:styleId="53">
    <w:name w:val="Char Char9"/>
    <w:qFormat/>
    <w:uiPriority w:val="0"/>
    <w:rPr>
      <w:rFonts w:eastAsia="宋体"/>
      <w:kern w:val="2"/>
      <w:sz w:val="18"/>
      <w:szCs w:val="18"/>
      <w:lang w:val="en-US" w:eastAsia="zh-CN" w:bidi="ar-SA"/>
    </w:rPr>
  </w:style>
  <w:style w:type="character" w:customStyle="1" w:styleId="54">
    <w:name w:val="图表正文 Char Char"/>
    <w:link w:val="55"/>
    <w:qFormat/>
    <w:uiPriority w:val="0"/>
    <w:rPr>
      <w:rFonts w:ascii="宋体" w:hAnsi="宋体"/>
      <w:color w:val="000000"/>
      <w:kern w:val="2"/>
      <w:sz w:val="24"/>
      <w:szCs w:val="21"/>
      <w:lang w:bidi="ar-SA"/>
    </w:rPr>
  </w:style>
  <w:style w:type="paragraph" w:customStyle="1" w:styleId="55">
    <w:name w:val="图表正文"/>
    <w:basedOn w:val="1"/>
    <w:link w:val="54"/>
    <w:qFormat/>
    <w:uiPriority w:val="0"/>
    <w:pPr>
      <w:tabs>
        <w:tab w:val="left" w:pos="2117"/>
      </w:tabs>
      <w:spacing w:beforeLines="50" w:afterLines="50" w:line="276" w:lineRule="auto"/>
      <w:ind w:firstLine="200" w:firstLineChars="200"/>
      <w:jc w:val="center"/>
    </w:pPr>
    <w:rPr>
      <w:rFonts w:ascii="宋体" w:hAnsi="宋体"/>
      <w:color w:val="000000"/>
      <w:sz w:val="24"/>
      <w:szCs w:val="21"/>
    </w:rPr>
  </w:style>
  <w:style w:type="character" w:customStyle="1" w:styleId="56">
    <w:name w:val="st1 Char Char"/>
    <w:link w:val="57"/>
    <w:qFormat/>
    <w:uiPriority w:val="0"/>
    <w:rPr>
      <w:kern w:val="2"/>
      <w:sz w:val="21"/>
      <w:lang w:bidi="ar-SA"/>
    </w:rPr>
  </w:style>
  <w:style w:type="paragraph" w:customStyle="1" w:styleId="57">
    <w:name w:val="st1"/>
    <w:basedOn w:val="1"/>
    <w:link w:val="56"/>
    <w:qFormat/>
    <w:uiPriority w:val="0"/>
    <w:pPr>
      <w:tabs>
        <w:tab w:val="left" w:pos="624"/>
      </w:tabs>
      <w:spacing w:line="300" w:lineRule="auto"/>
      <w:ind w:firstLine="200" w:firstLineChars="200"/>
      <w:outlineLvl w:val="2"/>
    </w:pPr>
    <w:rPr>
      <w:szCs w:val="20"/>
    </w:rPr>
  </w:style>
  <w:style w:type="character" w:customStyle="1" w:styleId="58">
    <w:name w:val="图表题注样式 Char Char"/>
    <w:link w:val="59"/>
    <w:qFormat/>
    <w:uiPriority w:val="0"/>
    <w:rPr>
      <w:rFonts w:ascii="Arial" w:hAnsi="Arial" w:eastAsia="黑体"/>
      <w:b/>
      <w:kern w:val="2"/>
      <w:sz w:val="21"/>
      <w:szCs w:val="21"/>
      <w:lang w:bidi="ar-SA"/>
    </w:rPr>
  </w:style>
  <w:style w:type="paragraph" w:customStyle="1" w:styleId="59">
    <w:name w:val="图表题注样式"/>
    <w:basedOn w:val="11"/>
    <w:link w:val="58"/>
    <w:qFormat/>
    <w:uiPriority w:val="0"/>
    <w:pPr>
      <w:spacing w:line="360" w:lineRule="auto"/>
      <w:jc w:val="center"/>
    </w:pPr>
    <w:rPr>
      <w:rFonts w:cs="Times New Roman"/>
      <w:b/>
      <w:sz w:val="21"/>
      <w:szCs w:val="21"/>
    </w:rPr>
  </w:style>
  <w:style w:type="character" w:customStyle="1" w:styleId="60">
    <w:name w:val="图片说明文字样式 Char Char"/>
    <w:link w:val="61"/>
    <w:qFormat/>
    <w:uiPriority w:val="0"/>
    <w:rPr>
      <w:rFonts w:ascii="黑体" w:hAnsi="黑体" w:eastAsia="黑体"/>
      <w:b/>
      <w:bCs/>
      <w:kern w:val="2"/>
      <w:sz w:val="24"/>
      <w:lang w:bidi="ar-SA"/>
    </w:rPr>
  </w:style>
  <w:style w:type="paragraph" w:customStyle="1" w:styleId="61">
    <w:name w:val="图片说明文字样式"/>
    <w:basedOn w:val="1"/>
    <w:link w:val="60"/>
    <w:qFormat/>
    <w:uiPriority w:val="0"/>
    <w:pPr>
      <w:spacing w:line="360" w:lineRule="auto"/>
      <w:ind w:firstLine="200" w:firstLineChars="200"/>
      <w:jc w:val="center"/>
    </w:pPr>
    <w:rPr>
      <w:rFonts w:ascii="黑体" w:hAnsi="黑体" w:eastAsia="黑体"/>
      <w:b/>
      <w:bCs/>
      <w:sz w:val="24"/>
      <w:szCs w:val="20"/>
    </w:rPr>
  </w:style>
  <w:style w:type="character" w:customStyle="1" w:styleId="62">
    <w:name w:val="Char Char1"/>
    <w:qFormat/>
    <w:uiPriority w:val="0"/>
    <w:rPr>
      <w:sz w:val="18"/>
      <w:szCs w:val="18"/>
    </w:rPr>
  </w:style>
  <w:style w:type="character" w:customStyle="1" w:styleId="63">
    <w:name w:val="表格正文 Char Char"/>
    <w:link w:val="64"/>
    <w:qFormat/>
    <w:uiPriority w:val="0"/>
    <w:rPr>
      <w:rFonts w:eastAsia="黑体"/>
      <w:kern w:val="2"/>
      <w:sz w:val="24"/>
      <w:lang w:bidi="ar-SA"/>
    </w:rPr>
  </w:style>
  <w:style w:type="paragraph" w:customStyle="1" w:styleId="64">
    <w:name w:val="表格正文"/>
    <w:basedOn w:val="1"/>
    <w:link w:val="63"/>
    <w:qFormat/>
    <w:uiPriority w:val="0"/>
    <w:pPr>
      <w:spacing w:line="360" w:lineRule="auto"/>
      <w:ind w:firstLine="200" w:firstLineChars="200"/>
    </w:pPr>
    <w:rPr>
      <w:rFonts w:eastAsia="黑体"/>
      <w:sz w:val="24"/>
      <w:szCs w:val="20"/>
    </w:rPr>
  </w:style>
  <w:style w:type="character" w:customStyle="1" w:styleId="65">
    <w:name w:val="标题3 Char Char"/>
    <w:link w:val="66"/>
    <w:uiPriority w:val="0"/>
    <w:rPr>
      <w:rFonts w:eastAsia="仿宋_GB2312"/>
      <w:bCs/>
      <w:kern w:val="44"/>
      <w:sz w:val="30"/>
      <w:szCs w:val="44"/>
      <w:lang w:bidi="ar-SA"/>
    </w:rPr>
  </w:style>
  <w:style w:type="paragraph" w:customStyle="1" w:styleId="66">
    <w:name w:val="标题3"/>
    <w:basedOn w:val="2"/>
    <w:next w:val="1"/>
    <w:link w:val="65"/>
    <w:qFormat/>
    <w:uiPriority w:val="0"/>
    <w:pPr>
      <w:ind w:firstLine="200" w:firstLineChars="200"/>
    </w:pPr>
    <w:rPr>
      <w:b w:val="0"/>
      <w:sz w:val="30"/>
    </w:rPr>
  </w:style>
  <w:style w:type="character" w:customStyle="1" w:styleId="67">
    <w:name w:val="style391"/>
    <w:basedOn w:val="28"/>
    <w:qFormat/>
    <w:uiPriority w:val="0"/>
  </w:style>
  <w:style w:type="character" w:customStyle="1" w:styleId="68">
    <w:name w:val="apple-style-span"/>
    <w:basedOn w:val="28"/>
    <w:qFormat/>
    <w:uiPriority w:val="0"/>
  </w:style>
  <w:style w:type="character" w:customStyle="1" w:styleId="69">
    <w:name w:val="Char Char"/>
    <w:qFormat/>
    <w:uiPriority w:val="0"/>
    <w:rPr>
      <w:sz w:val="18"/>
      <w:szCs w:val="18"/>
    </w:rPr>
  </w:style>
  <w:style w:type="character" w:customStyle="1" w:styleId="70">
    <w:name w:val="ca-01"/>
    <w:qFormat/>
    <w:uiPriority w:val="0"/>
    <w:rPr>
      <w:rFonts w:hint="eastAsia" w:ascii="仿宋_GB2312" w:eastAsia="仿宋_GB2312"/>
      <w:sz w:val="32"/>
      <w:szCs w:val="32"/>
    </w:rPr>
  </w:style>
  <w:style w:type="character" w:customStyle="1" w:styleId="71">
    <w:name w:val="表格题注样式 Char Char"/>
    <w:link w:val="72"/>
    <w:qFormat/>
    <w:uiPriority w:val="0"/>
    <w:rPr>
      <w:rFonts w:ascii="Arial" w:hAnsi="Arial" w:eastAsia="黑体"/>
      <w:b/>
      <w:bCs/>
      <w:kern w:val="2"/>
      <w:sz w:val="21"/>
      <w:szCs w:val="21"/>
      <w:lang w:bidi="ar-SA"/>
    </w:rPr>
  </w:style>
  <w:style w:type="paragraph" w:customStyle="1" w:styleId="72">
    <w:name w:val="表格题注样式"/>
    <w:basedOn w:val="59"/>
    <w:link w:val="71"/>
    <w:qFormat/>
    <w:uiPriority w:val="0"/>
    <w:pPr>
      <w:snapToGrid w:val="0"/>
      <w:spacing w:before="120"/>
      <w:jc w:val="left"/>
    </w:pPr>
    <w:rPr>
      <w:bCs/>
    </w:rPr>
  </w:style>
  <w:style w:type="character" w:customStyle="1" w:styleId="73">
    <w:name w:val="样式8 Char Char"/>
    <w:link w:val="74"/>
    <w:qFormat/>
    <w:uiPriority w:val="0"/>
    <w:rPr>
      <w:rFonts w:ascii="黑体" w:hAnsi="Calibri" w:eastAsia="黑体"/>
      <w:b/>
      <w:bCs/>
      <w:kern w:val="44"/>
      <w:sz w:val="32"/>
      <w:szCs w:val="32"/>
      <w:lang w:bidi="ar-SA"/>
    </w:rPr>
  </w:style>
  <w:style w:type="paragraph" w:customStyle="1" w:styleId="74">
    <w:name w:val="样式8"/>
    <w:basedOn w:val="2"/>
    <w:link w:val="73"/>
    <w:qFormat/>
    <w:uiPriority w:val="0"/>
    <w:pPr>
      <w:spacing w:before="120" w:after="120" w:line="240" w:lineRule="auto"/>
      <w:ind w:firstLine="200" w:firstLineChars="200"/>
      <w:jc w:val="left"/>
    </w:pPr>
    <w:rPr>
      <w:rFonts w:ascii="黑体" w:eastAsia="黑体"/>
      <w:sz w:val="32"/>
      <w:szCs w:val="32"/>
    </w:rPr>
  </w:style>
  <w:style w:type="character" w:customStyle="1" w:styleId="75">
    <w:name w:val="日期 Char"/>
    <w:link w:val="16"/>
    <w:qFormat/>
    <w:uiPriority w:val="0"/>
    <w:rPr>
      <w:rFonts w:eastAsia="宋体"/>
      <w:kern w:val="2"/>
      <w:sz w:val="21"/>
      <w:szCs w:val="24"/>
      <w:lang w:val="en-US" w:eastAsia="zh-CN" w:bidi="ar-SA"/>
    </w:rPr>
  </w:style>
  <w:style w:type="character" w:customStyle="1" w:styleId="76">
    <w:name w:val="ca-11"/>
    <w:qFormat/>
    <w:uiPriority w:val="0"/>
    <w:rPr>
      <w:rFonts w:hint="eastAsia" w:ascii="宋体" w:hAnsi="宋体" w:eastAsia="宋体"/>
      <w:b/>
      <w:bCs/>
      <w:spacing w:val="-20"/>
      <w:sz w:val="36"/>
      <w:szCs w:val="36"/>
    </w:rPr>
  </w:style>
  <w:style w:type="character" w:customStyle="1" w:styleId="77">
    <w:name w:val="批注框文本 Char"/>
    <w:link w:val="18"/>
    <w:qFormat/>
    <w:uiPriority w:val="0"/>
    <w:rPr>
      <w:kern w:val="2"/>
      <w:sz w:val="18"/>
      <w:szCs w:val="18"/>
      <w:lang w:bidi="ar-SA"/>
    </w:rPr>
  </w:style>
  <w:style w:type="character" w:customStyle="1" w:styleId="78">
    <w:name w:val="样式7 Char Char"/>
    <w:link w:val="79"/>
    <w:qFormat/>
    <w:uiPriority w:val="0"/>
    <w:rPr>
      <w:rFonts w:ascii="Arial" w:hAnsi="Arial"/>
      <w:b/>
      <w:bCs/>
      <w:kern w:val="2"/>
      <w:sz w:val="36"/>
      <w:szCs w:val="32"/>
      <w:lang w:bidi="ar-SA"/>
    </w:rPr>
  </w:style>
  <w:style w:type="paragraph" w:customStyle="1" w:styleId="79">
    <w:name w:val="样式7"/>
    <w:basedOn w:val="25"/>
    <w:link w:val="78"/>
    <w:qFormat/>
    <w:uiPriority w:val="0"/>
    <w:pPr>
      <w:ind w:firstLine="560"/>
    </w:pPr>
  </w:style>
  <w:style w:type="character" w:customStyle="1" w:styleId="80">
    <w:name w:val="HTML 预设格式 Char"/>
    <w:link w:val="23"/>
    <w:qFormat/>
    <w:uiPriority w:val="0"/>
    <w:rPr>
      <w:rFonts w:ascii="Arial" w:hAnsi="Arial"/>
      <w:sz w:val="24"/>
      <w:szCs w:val="24"/>
      <w:lang w:bidi="ar-SA"/>
    </w:rPr>
  </w:style>
  <w:style w:type="character" w:customStyle="1" w:styleId="81">
    <w:name w:val="Char Char3"/>
    <w:qFormat/>
    <w:uiPriority w:val="0"/>
    <w:rPr>
      <w:rFonts w:eastAsia="宋体"/>
      <w:kern w:val="2"/>
      <w:sz w:val="16"/>
      <w:szCs w:val="16"/>
      <w:lang w:val="en-US" w:eastAsia="zh-CN" w:bidi="ar-SA"/>
    </w:rPr>
  </w:style>
  <w:style w:type="character" w:customStyle="1" w:styleId="82">
    <w:name w:val="h2 Char"/>
    <w:qFormat/>
    <w:uiPriority w:val="0"/>
    <w:rPr>
      <w:rFonts w:ascii="Arial" w:hAnsi="Arial" w:eastAsia="黑体"/>
      <w:b/>
      <w:bCs/>
      <w:kern w:val="2"/>
      <w:sz w:val="32"/>
      <w:szCs w:val="32"/>
      <w:lang w:val="en-US" w:eastAsia="zh-CN" w:bidi="ar-SA"/>
    </w:rPr>
  </w:style>
  <w:style w:type="character" w:customStyle="1" w:styleId="83">
    <w:name w:val="正文标题 Char Char"/>
    <w:link w:val="84"/>
    <w:qFormat/>
    <w:uiPriority w:val="0"/>
    <w:rPr>
      <w:b/>
      <w:bCs/>
      <w:kern w:val="2"/>
      <w:sz w:val="24"/>
      <w:lang w:bidi="ar-SA"/>
    </w:rPr>
  </w:style>
  <w:style w:type="paragraph" w:customStyle="1" w:styleId="84">
    <w:name w:val="正文标题"/>
    <w:basedOn w:val="1"/>
    <w:link w:val="83"/>
    <w:qFormat/>
    <w:uiPriority w:val="0"/>
    <w:pPr>
      <w:spacing w:before="120" w:line="360" w:lineRule="auto"/>
      <w:ind w:firstLine="482" w:firstLineChars="200"/>
    </w:pPr>
    <w:rPr>
      <w:b/>
      <w:bCs/>
      <w:sz w:val="24"/>
      <w:szCs w:val="20"/>
    </w:rPr>
  </w:style>
  <w:style w:type="character" w:customStyle="1" w:styleId="85">
    <w:name w:val="０３ Char"/>
    <w:link w:val="86"/>
    <w:qFormat/>
    <w:uiPriority w:val="0"/>
    <w:rPr>
      <w:rFonts w:eastAsia="方正楷体简体"/>
      <w:b/>
      <w:kern w:val="2"/>
      <w:sz w:val="32"/>
      <w:szCs w:val="32"/>
      <w:lang w:val="en-US" w:eastAsia="zh-CN" w:bidi="ar-SA"/>
    </w:rPr>
  </w:style>
  <w:style w:type="paragraph" w:customStyle="1" w:styleId="86">
    <w:name w:val="０３"/>
    <w:basedOn w:val="51"/>
    <w:link w:val="85"/>
    <w:qFormat/>
    <w:uiPriority w:val="0"/>
    <w:pPr>
      <w:ind w:firstLine="643"/>
    </w:pPr>
    <w:rPr>
      <w:rFonts w:eastAsia="方正楷体简体"/>
      <w:b/>
    </w:rPr>
  </w:style>
  <w:style w:type="character" w:customStyle="1" w:styleId="87">
    <w:name w:val="样式1 Char"/>
    <w:link w:val="88"/>
    <w:qFormat/>
    <w:uiPriority w:val="0"/>
    <w:rPr>
      <w:rFonts w:eastAsia="方正黑体简体"/>
      <w:kern w:val="2"/>
      <w:sz w:val="32"/>
      <w:szCs w:val="32"/>
      <w:lang w:val="en-US" w:eastAsia="zh-CN" w:bidi="ar-SA"/>
    </w:rPr>
  </w:style>
  <w:style w:type="paragraph" w:customStyle="1" w:styleId="88">
    <w:name w:val="样式1"/>
    <w:basedOn w:val="1"/>
    <w:link w:val="87"/>
    <w:qFormat/>
    <w:uiPriority w:val="0"/>
    <w:pPr>
      <w:ind w:firstLine="200" w:firstLineChars="200"/>
    </w:pPr>
    <w:rPr>
      <w:rFonts w:eastAsia="方正黑体简体"/>
      <w:sz w:val="32"/>
      <w:szCs w:val="32"/>
    </w:rPr>
  </w:style>
  <w:style w:type="paragraph" w:styleId="89">
    <w:name w:val="List Paragraph"/>
    <w:basedOn w:val="1"/>
    <w:qFormat/>
    <w:uiPriority w:val="0"/>
    <w:pPr>
      <w:ind w:firstLine="420" w:firstLineChars="200"/>
    </w:pPr>
  </w:style>
  <w:style w:type="paragraph" w:customStyle="1" w:styleId="90">
    <w:name w:val="003"/>
    <w:basedOn w:val="1"/>
    <w:qFormat/>
    <w:uiPriority w:val="0"/>
    <w:pPr>
      <w:widowControl/>
      <w:spacing w:line="560" w:lineRule="exact"/>
      <w:ind w:firstLine="562" w:firstLineChars="200"/>
      <w:jc w:val="left"/>
    </w:pPr>
    <w:rPr>
      <w:rFonts w:ascii="宋体" w:hAnsi="宋体" w:cs="宋体"/>
      <w:b/>
      <w:bCs/>
      <w:kern w:val="0"/>
      <w:sz w:val="28"/>
      <w:szCs w:val="20"/>
    </w:rPr>
  </w:style>
  <w:style w:type="paragraph" w:customStyle="1" w:styleId="91">
    <w:name w:val="标题51 Char Char Char"/>
    <w:basedOn w:val="6"/>
    <w:next w:val="6"/>
    <w:qFormat/>
    <w:uiPriority w:val="0"/>
    <w:pPr>
      <w:tabs>
        <w:tab w:val="left" w:pos="992"/>
      </w:tabs>
      <w:spacing w:beforeLines="50" w:after="120" w:line="360" w:lineRule="auto"/>
      <w:ind w:left="992" w:hanging="992"/>
    </w:pPr>
    <w:rPr>
      <w:rFonts w:eastAsia="黑体"/>
      <w:b w:val="0"/>
      <w:bCs w:val="0"/>
      <w:kern w:val="0"/>
      <w:sz w:val="21"/>
      <w:szCs w:val="20"/>
    </w:rPr>
  </w:style>
  <w:style w:type="paragraph" w:customStyle="1" w:styleId="92">
    <w:name w:val="列出段落1"/>
    <w:basedOn w:val="1"/>
    <w:qFormat/>
    <w:uiPriority w:val="0"/>
    <w:pPr>
      <w:ind w:firstLine="420" w:firstLineChars="200"/>
    </w:pPr>
  </w:style>
  <w:style w:type="paragraph" w:customStyle="1" w:styleId="93">
    <w:name w:val="Char Char Char Char"/>
    <w:basedOn w:val="1"/>
    <w:qFormat/>
    <w:uiPriority w:val="0"/>
    <w:rPr>
      <w:rFonts w:ascii="Times New Roman" w:hAnsi="Times New Roman"/>
      <w:szCs w:val="24"/>
    </w:rPr>
  </w:style>
  <w:style w:type="paragraph" w:customStyle="1" w:styleId="94">
    <w:name w:val="008"/>
    <w:basedOn w:val="1"/>
    <w:qFormat/>
    <w:uiPriority w:val="0"/>
    <w:pPr>
      <w:widowControl/>
      <w:spacing w:line="560" w:lineRule="exact"/>
      <w:ind w:firstLine="560" w:firstLineChars="200"/>
      <w:jc w:val="left"/>
    </w:pPr>
    <w:rPr>
      <w:rFonts w:ascii="宋体" w:hAnsi="宋体" w:cs="宋体"/>
      <w:kern w:val="0"/>
      <w:sz w:val="28"/>
      <w:szCs w:val="20"/>
    </w:rPr>
  </w:style>
  <w:style w:type="paragraph" w:customStyle="1" w:styleId="95">
    <w:name w:val="pa-2"/>
    <w:basedOn w:val="1"/>
    <w:qFormat/>
    <w:uiPriority w:val="0"/>
    <w:pPr>
      <w:widowControl/>
      <w:spacing w:line="400" w:lineRule="atLeast"/>
      <w:jc w:val="center"/>
    </w:pPr>
    <w:rPr>
      <w:rFonts w:ascii="宋体" w:hAnsi="宋体" w:cs="宋体"/>
      <w:kern w:val="0"/>
      <w:sz w:val="24"/>
      <w:szCs w:val="24"/>
    </w:rPr>
  </w:style>
  <w:style w:type="paragraph" w:customStyle="1" w:styleId="9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Char"/>
    <w:basedOn w:val="1"/>
    <w:qFormat/>
    <w:uiPriority w:val="0"/>
    <w:pPr>
      <w:tabs>
        <w:tab w:val="left" w:pos="425"/>
      </w:tabs>
      <w:autoSpaceDE w:val="0"/>
      <w:autoSpaceDN w:val="0"/>
      <w:adjustRightInd w:val="0"/>
      <w:spacing w:line="360" w:lineRule="auto"/>
      <w:ind w:left="425" w:hanging="425"/>
    </w:pPr>
    <w:rPr>
      <w:rFonts w:ascii="Times New Roman" w:hAnsi="Times New Roman"/>
      <w:kern w:val="0"/>
      <w:sz w:val="24"/>
      <w:szCs w:val="24"/>
    </w:rPr>
  </w:style>
  <w:style w:type="paragraph" w:customStyle="1" w:styleId="98">
    <w:name w:val="pa-0"/>
    <w:basedOn w:val="1"/>
    <w:qFormat/>
    <w:uiPriority w:val="0"/>
    <w:pPr>
      <w:widowControl/>
      <w:spacing w:line="360" w:lineRule="atLeast"/>
    </w:pPr>
    <w:rPr>
      <w:rFonts w:ascii="宋体" w:hAnsi="宋体" w:cs="宋体"/>
      <w:kern w:val="0"/>
      <w:sz w:val="24"/>
      <w:szCs w:val="24"/>
    </w:rPr>
  </w:style>
  <w:style w:type="paragraph" w:customStyle="1" w:styleId="99">
    <w:name w:val="大标题１"/>
    <w:basedOn w:val="1"/>
    <w:qFormat/>
    <w:uiPriority w:val="0"/>
    <w:pPr>
      <w:spacing w:line="600" w:lineRule="exact"/>
      <w:jc w:val="center"/>
    </w:pPr>
    <w:rPr>
      <w:rFonts w:ascii="方正小标宋简体" w:eastAsia="方正小标宋简体"/>
      <w:sz w:val="40"/>
      <w:szCs w:val="40"/>
    </w:rPr>
  </w:style>
  <w:style w:type="paragraph" w:customStyle="1" w:styleId="100">
    <w:name w:val="Char Char11"/>
    <w:basedOn w:val="1"/>
    <w:qFormat/>
    <w:uiPriority w:val="0"/>
    <w:pPr>
      <w:widowControl/>
      <w:spacing w:after="160" w:line="240" w:lineRule="exact"/>
      <w:jc w:val="left"/>
    </w:pPr>
    <w:rPr>
      <w:rFonts w:ascii="宋体" w:hAnsi="宋体"/>
      <w:b/>
      <w:kern w:val="0"/>
      <w:sz w:val="28"/>
      <w:szCs w:val="28"/>
      <w:lang w:eastAsia="en-US"/>
    </w:rPr>
  </w:style>
  <w:style w:type="paragraph" w:customStyle="1" w:styleId="10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表格正文alt+b"/>
    <w:qFormat/>
    <w:uiPriority w:val="0"/>
    <w:pPr>
      <w:jc w:val="center"/>
    </w:pPr>
    <w:rPr>
      <w:rFonts w:ascii="宋体" w:hAnsi="宋体" w:eastAsia="宋体" w:cs="宋体"/>
      <w:color w:val="000000"/>
      <w:kern w:val="2"/>
      <w:sz w:val="21"/>
      <w:lang w:val="en-US" w:eastAsia="zh-CN" w:bidi="ar-SA"/>
    </w:rPr>
  </w:style>
  <w:style w:type="paragraph" w:customStyle="1" w:styleId="103">
    <w:name w:val="列出段落11"/>
    <w:basedOn w:val="1"/>
    <w:qFormat/>
    <w:uiPriority w:val="0"/>
    <w:pPr>
      <w:ind w:firstLine="420" w:firstLineChars="200"/>
    </w:pPr>
    <w:rPr>
      <w:rFonts w:cs="Calibri"/>
      <w:szCs w:val="21"/>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方正细等和Times new roman"/>
    <w:qFormat/>
    <w:uiPriority w:val="0"/>
    <w:pPr>
      <w:widowControl w:val="0"/>
      <w:autoSpaceDE w:val="0"/>
      <w:autoSpaceDN w:val="0"/>
      <w:adjustRightInd w:val="0"/>
      <w:ind w:firstLine="369"/>
      <w:jc w:val="both"/>
    </w:pPr>
    <w:rPr>
      <w:rFonts w:ascii="方正细等线简Times New Roman" w:hAnsi="Times New Roman" w:eastAsia="方正细等线简Times New Roman" w:cs="方正细等线简Times New Roman"/>
      <w:sz w:val="18"/>
      <w:szCs w:val="18"/>
      <w:lang w:val="en-US" w:eastAsia="zh-CN" w:bidi="ar-SA"/>
    </w:rPr>
  </w:style>
  <w:style w:type="paragraph" w:customStyle="1" w:styleId="107">
    <w:name w:val="Char2"/>
    <w:basedOn w:val="1"/>
    <w:qFormat/>
    <w:uiPriority w:val="0"/>
    <w:rPr>
      <w:rFonts w:ascii="Times New Roman" w:hAnsi="Times New Roman"/>
      <w:szCs w:val="21"/>
    </w:rPr>
  </w:style>
  <w:style w:type="paragraph" w:customStyle="1" w:styleId="108">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1250</Words>
  <Characters>1352</Characters>
  <Lines>27</Lines>
  <Paragraphs>7</Paragraphs>
  <TotalTime>13</TotalTime>
  <ScaleCrop>false</ScaleCrop>
  <LinksUpToDate>false</LinksUpToDate>
  <CharactersWithSpaces>1711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2022-09-27T06:29:00Z</dcterms:created>
  <dc:creator>陈辉</dc:creator>
  <cp:lastModifiedBy>DELL</cp:lastModifiedBy>
  <cp:lastPrinted>2022-09-27T08:42:00Z</cp:lastPrinted>
  <dcterms:modified xsi:type="dcterms:W3CDTF">2022-10-18T09:17:19Z</dcterms:modified>
  <dc:title>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6411F02478AC4045B29E9A8EB98F6765</vt:lpwstr>
  </property>
</Properties>
</file>