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附件 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kern w:val="2"/>
          <w:sz w:val="44"/>
          <w:szCs w:val="44"/>
          <w:lang w:val="en-US" w:eastAsia="zh-CN" w:bidi="ar-SA"/>
        </w:rPr>
      </w:pPr>
      <w:r>
        <w:rPr>
          <w:rFonts w:hint="eastAsia" w:ascii="Times New Roman" w:hAnsi="Times New Roman" w:eastAsia="方正小标宋简体" w:cs="方正小标宋简体"/>
          <w:b w:val="0"/>
          <w:bCs w:val="0"/>
          <w:kern w:val="2"/>
          <w:sz w:val="44"/>
          <w:szCs w:val="44"/>
          <w:lang w:val="en-US" w:eastAsia="zh-CN" w:bidi="ar-SA"/>
        </w:rPr>
        <w:t>葛店经开区公平竞争审查主体责任履责评价标准</w:t>
      </w:r>
      <w:bookmarkStart w:id="0" w:name="_GoBack"/>
      <w:bookmarkEnd w:id="0"/>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720"/>
        <w:gridCol w:w="8182"/>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61"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kern w:val="2"/>
                <w:sz w:val="22"/>
                <w:szCs w:val="22"/>
                <w:vertAlign w:val="baseline"/>
                <w:lang w:val="en-US" w:eastAsia="zh-CN" w:bidi="ar-SA"/>
              </w:rPr>
            </w:pPr>
            <w:r>
              <w:rPr>
                <w:rFonts w:hint="eastAsia" w:asciiTheme="minorEastAsia" w:hAnsiTheme="minorEastAsia" w:eastAsiaTheme="minorEastAsia" w:cstheme="minorEastAsia"/>
                <w:b/>
                <w:bCs/>
                <w:kern w:val="2"/>
                <w:sz w:val="22"/>
                <w:szCs w:val="22"/>
                <w:vertAlign w:val="baseline"/>
                <w:lang w:val="en-US" w:eastAsia="zh-CN" w:bidi="ar-SA"/>
              </w:rPr>
              <w:t>序号</w:t>
            </w:r>
          </w:p>
        </w:tc>
        <w:tc>
          <w:tcPr>
            <w:tcW w:w="959"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kern w:val="2"/>
                <w:sz w:val="22"/>
                <w:szCs w:val="22"/>
                <w:vertAlign w:val="baseline"/>
                <w:lang w:val="en-US" w:eastAsia="zh-CN" w:bidi="ar-SA"/>
              </w:rPr>
            </w:pPr>
            <w:r>
              <w:rPr>
                <w:rFonts w:hint="eastAsia" w:asciiTheme="minorEastAsia" w:hAnsiTheme="minorEastAsia" w:cstheme="minorEastAsia"/>
                <w:b/>
                <w:bCs/>
                <w:kern w:val="2"/>
                <w:sz w:val="22"/>
                <w:szCs w:val="22"/>
                <w:vertAlign w:val="baseline"/>
                <w:lang w:val="en-US" w:eastAsia="zh-CN" w:bidi="ar-SA"/>
              </w:rPr>
              <w:t>考核评价指标及分值</w:t>
            </w:r>
          </w:p>
        </w:tc>
        <w:tc>
          <w:tcPr>
            <w:tcW w:w="288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kern w:val="2"/>
                <w:sz w:val="22"/>
                <w:szCs w:val="22"/>
                <w:vertAlign w:val="baseline"/>
                <w:lang w:val="en-US" w:eastAsia="zh-CN" w:bidi="ar-SA"/>
              </w:rPr>
            </w:pPr>
            <w:r>
              <w:rPr>
                <w:rFonts w:hint="eastAsia" w:asciiTheme="minorEastAsia" w:hAnsiTheme="minorEastAsia" w:cstheme="minorEastAsia"/>
                <w:b/>
                <w:bCs/>
                <w:kern w:val="2"/>
                <w:sz w:val="22"/>
                <w:szCs w:val="22"/>
                <w:vertAlign w:val="baseline"/>
                <w:lang w:val="en-US" w:eastAsia="zh-CN" w:bidi="ar-SA"/>
              </w:rPr>
              <w:t>考核评价标准</w:t>
            </w:r>
          </w:p>
        </w:tc>
        <w:tc>
          <w:tcPr>
            <w:tcW w:w="89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kern w:val="2"/>
                <w:sz w:val="22"/>
                <w:szCs w:val="22"/>
                <w:vertAlign w:val="baseline"/>
                <w:lang w:val="en-US" w:eastAsia="zh-CN" w:bidi="ar-SA"/>
              </w:rPr>
            </w:pPr>
            <w:r>
              <w:rPr>
                <w:rFonts w:hint="eastAsia" w:asciiTheme="minorEastAsia" w:hAnsiTheme="minorEastAsia" w:cstheme="minorEastAsia"/>
                <w:b/>
                <w:bCs/>
                <w:kern w:val="2"/>
                <w:sz w:val="22"/>
                <w:szCs w:val="22"/>
                <w:vertAlign w:val="baseline"/>
                <w:lang w:val="en-US" w:eastAsia="zh-CN" w:bidi="ar-SA"/>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261"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1</w:t>
            </w:r>
          </w:p>
        </w:tc>
        <w:tc>
          <w:tcPr>
            <w:tcW w:w="95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建立健全内部审查机制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（20分）</w:t>
            </w:r>
          </w:p>
        </w:tc>
        <w:tc>
          <w:tcPr>
            <w:tcW w:w="288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16" w:lineRule="auto"/>
              <w:ind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1.没有建立内部自我审查机制，扣2分；审查方式、责任机构和人员不明确，扣1分；审查程序不符合要求，每发现一例，扣0.5分，纯做事后审查应付的，扣5分。</w:t>
            </w:r>
          </w:p>
          <w:p>
            <w:pPr>
              <w:keepNext w:val="0"/>
              <w:keepLines w:val="0"/>
              <w:pageBreakBefore w:val="0"/>
              <w:widowControl w:val="0"/>
              <w:numPr>
                <w:ilvl w:val="0"/>
                <w:numId w:val="0"/>
              </w:numPr>
              <w:kinsoku/>
              <w:wordWrap/>
              <w:overflowPunct/>
              <w:topLinePunct w:val="0"/>
              <w:autoSpaceDE/>
              <w:autoSpaceDN/>
              <w:bidi w:val="0"/>
              <w:adjustRightInd/>
              <w:snapToGrid/>
              <w:spacing w:line="216" w:lineRule="auto"/>
              <w:ind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2.未形成审查结论，每例扣1分；审查结论不符合要求、内容不全面，每发现一例，扣0.5分；审查结论未经审查机构主要负责人签字，每例扣0.5分</w:t>
            </w:r>
            <w:r>
              <w:rPr>
                <w:rFonts w:hint="eastAsia" w:asciiTheme="minorEastAsia" w:hAnsiTheme="minorEastAsia" w:cstheme="minorEastAsia"/>
                <w:b w:val="0"/>
                <w:bCs w:val="0"/>
                <w:kern w:val="2"/>
                <w:sz w:val="18"/>
                <w:szCs w:val="18"/>
                <w:vertAlign w:val="baseline"/>
                <w:lang w:val="en-US" w:eastAsia="zh-CN" w:bidi="ar-SA"/>
              </w:rPr>
              <w:t>；</w:t>
            </w:r>
            <w:r>
              <w:rPr>
                <w:rFonts w:hint="eastAsia" w:asciiTheme="minorEastAsia" w:hAnsiTheme="minorEastAsia" w:eastAsiaTheme="minorEastAsia" w:cstheme="minorEastAsia"/>
                <w:b w:val="0"/>
                <w:bCs w:val="0"/>
                <w:kern w:val="2"/>
                <w:sz w:val="18"/>
                <w:szCs w:val="18"/>
                <w:vertAlign w:val="baseline"/>
                <w:lang w:val="en-US" w:eastAsia="zh-CN" w:bidi="ar-SA"/>
              </w:rPr>
              <w:t>审查结论未存档，每例扣0.5分。</w:t>
            </w:r>
          </w:p>
          <w:p>
            <w:pPr>
              <w:keepNext w:val="0"/>
              <w:keepLines w:val="0"/>
              <w:pageBreakBefore w:val="0"/>
              <w:widowControl w:val="0"/>
              <w:numPr>
                <w:ilvl w:val="0"/>
                <w:numId w:val="0"/>
              </w:numPr>
              <w:kinsoku/>
              <w:wordWrap/>
              <w:overflowPunct/>
              <w:topLinePunct w:val="0"/>
              <w:autoSpaceDE/>
              <w:autoSpaceDN/>
              <w:bidi w:val="0"/>
              <w:adjustRightInd/>
              <w:snapToGrid/>
              <w:spacing w:line="216" w:lineRule="auto"/>
              <w:ind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3.审查期间应当而未征求利害关系人意见或者向社会公开征求意见的，每例扣1分，未在书面审查结论中说明征求意见情况的，每例扣0.5分。</w:t>
            </w:r>
          </w:p>
          <w:p>
            <w:pPr>
              <w:keepNext w:val="0"/>
              <w:keepLines w:val="0"/>
              <w:pageBreakBefore w:val="0"/>
              <w:widowControl w:val="0"/>
              <w:numPr>
                <w:ilvl w:val="0"/>
                <w:numId w:val="0"/>
              </w:numPr>
              <w:kinsoku/>
              <w:wordWrap/>
              <w:overflowPunct/>
              <w:topLinePunct w:val="0"/>
              <w:autoSpaceDE/>
              <w:autoSpaceDN/>
              <w:bidi w:val="0"/>
              <w:adjustRightInd/>
              <w:snapToGrid/>
              <w:spacing w:line="216" w:lineRule="auto"/>
              <w:ind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4.未按时间向同级公平竞争审查联席会议办公室报送工作总结，扣1分。</w:t>
            </w:r>
          </w:p>
        </w:tc>
        <w:tc>
          <w:tcPr>
            <w:tcW w:w="89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26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2</w:t>
            </w:r>
          </w:p>
        </w:tc>
        <w:tc>
          <w:tcPr>
            <w:tcW w:w="95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新增政策措施审查责任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（20分）</w:t>
            </w:r>
          </w:p>
        </w:tc>
        <w:tc>
          <w:tcPr>
            <w:tcW w:w="288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left"/>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5.落实审查责任，应当进行审查而未审查的政策措施，每例扣0.5分；经审查，不符合审查标准出台的政策措施，每例扣1分；未经公平竞争审查，出台政策措施的，每例扣1分；未形成书面结论出台政策措施的，视为未进行公平竞争审查，每份扣0.5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left"/>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6.适用例外规定的，没有说明相关政策措施对实现政策目的不可或缺及不会严重限制市场竞争情况的，每例扣1分；没有对符合适用例外规定的情形和条件进行详细说明以及明确实施期限的，每例扣1分；实施期限到期或者未达到预期效果的政策措施，没有及时停止执行或者进行调整的，发现一份扣1分。</w:t>
            </w:r>
          </w:p>
        </w:tc>
        <w:tc>
          <w:tcPr>
            <w:tcW w:w="89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3</w:t>
            </w:r>
          </w:p>
        </w:tc>
        <w:tc>
          <w:tcPr>
            <w:tcW w:w="95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现行政策措施清理责任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（15分）</w:t>
            </w:r>
          </w:p>
        </w:tc>
        <w:tc>
          <w:tcPr>
            <w:tcW w:w="288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7.没有制定存量政策措施清理计划，有序开展清理工作的，扣1分；清理台账不清晰、清理数据不清楚，扣2分。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8.没有做到应清尽清、应改尽改、应废尽废，仍在实施有排除、限制竞争的政策措施，每发现一例扣2分。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9.清理发现存在妨碍统一市场和公平竞争的政策措施，不及时修改或废止的，每例扣1分。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10.对市场主体反应比较强烈、问题暴露比较集中、影响比较突出的规定和做法，没有废止的，每例扣2分。</w:t>
            </w:r>
          </w:p>
        </w:tc>
        <w:tc>
          <w:tcPr>
            <w:tcW w:w="89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4</w:t>
            </w:r>
          </w:p>
        </w:tc>
        <w:tc>
          <w:tcPr>
            <w:tcW w:w="95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评估责任（15分）</w:t>
            </w:r>
          </w:p>
        </w:tc>
        <w:tc>
          <w:tcPr>
            <w:tcW w:w="288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11.没有建立定期评估机制，扣1分。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12.对建立公平竞争审查制度（2016年）后出台的政策措施，没有对政策措施影响统一市场和公平竞争审查的情况进行评估的，扣1分。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13.经公平竞争审查的政策措施，没有开展定期评估的，扣1分。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14.没有逐年评估适用例外规定的政策措施的实施效果，并形成书面评估报告的，发现一例扣1分。</w:t>
            </w:r>
          </w:p>
        </w:tc>
        <w:tc>
          <w:tcPr>
            <w:tcW w:w="89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5</w:t>
            </w:r>
          </w:p>
        </w:tc>
        <w:tc>
          <w:tcPr>
            <w:tcW w:w="95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信息公开责任（5分）</w:t>
            </w:r>
          </w:p>
        </w:tc>
        <w:tc>
          <w:tcPr>
            <w:tcW w:w="288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15.经公平竞争审查，应当停止执行或者调整的相关政策措施，没有按照《中华人民共和国政府信息公开条例》要求向社会公开的，每发现一例，扣1分。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16.定期进行政策措施评估的，评估结果没有向社会公开的，扣1分。</w:t>
            </w:r>
          </w:p>
        </w:tc>
        <w:tc>
          <w:tcPr>
            <w:tcW w:w="89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6</w:t>
            </w:r>
          </w:p>
        </w:tc>
        <w:tc>
          <w:tcPr>
            <w:tcW w:w="95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纠正整改责任（10分）</w:t>
            </w:r>
          </w:p>
        </w:tc>
        <w:tc>
          <w:tcPr>
            <w:tcW w:w="288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17.经公平竞争审查、清理、抽查或评估，发现存在违反审查标准问题，没有及时进行废止或者修改完善的，每发现一例，扣1分。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18.按照上级机关要求和反垄断执法机构处理建议，没有及时纠正整改公平竞争审查问题的，每次扣1分。</w:t>
            </w:r>
          </w:p>
        </w:tc>
        <w:tc>
          <w:tcPr>
            <w:tcW w:w="89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7</w:t>
            </w:r>
          </w:p>
        </w:tc>
        <w:tc>
          <w:tcPr>
            <w:tcW w:w="95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宣传责任（5分）</w:t>
            </w:r>
          </w:p>
        </w:tc>
        <w:tc>
          <w:tcPr>
            <w:tcW w:w="288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19.没有采取有效方式，在本机关、本系统开展公平竞争审查制度、竞争政策、竞争文化宣传的，本项不得分。</w:t>
            </w:r>
          </w:p>
        </w:tc>
        <w:tc>
          <w:tcPr>
            <w:tcW w:w="89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8</w:t>
            </w:r>
          </w:p>
        </w:tc>
        <w:tc>
          <w:tcPr>
            <w:tcW w:w="95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日常工作责任（10分）</w:t>
            </w:r>
          </w:p>
        </w:tc>
        <w:tc>
          <w:tcPr>
            <w:tcW w:w="288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20.未按照要求完成、报送日常工作落实情况，无故不参加培训的、联席会议等，每次扣1分。</w:t>
            </w:r>
          </w:p>
        </w:tc>
        <w:tc>
          <w:tcPr>
            <w:tcW w:w="89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9</w:t>
            </w:r>
          </w:p>
        </w:tc>
        <w:tc>
          <w:tcPr>
            <w:tcW w:w="95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加分项目（10分）</w:t>
            </w:r>
          </w:p>
        </w:tc>
        <w:tc>
          <w:tcPr>
            <w:tcW w:w="288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21.领导重视。将公平竞争审查工作与本单位业务工作同部署、同检查、同考核，加1.5分；将公平竞争审查环节纳入办文流程，严格把关，加1.5分；引入第三方评估机构，对本单位有关政策措施及公平竞争审查相关工作进行评估，形成评估报告，加2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22.创新审查方式，特色明显，成效显著，加5分。</w:t>
            </w:r>
          </w:p>
        </w:tc>
        <w:tc>
          <w:tcPr>
            <w:tcW w:w="89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p>
        </w:tc>
      </w:tr>
    </w:tbl>
    <w:p>
      <w:pPr>
        <w:rPr>
          <w:rFonts w:hint="eastAsia"/>
          <w:lang w:val="en-US" w:eastAsia="zh-CN"/>
        </w:rPr>
      </w:pPr>
    </w:p>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ZjM3MDYyZjgzNDNhY2M1MTlkMzU5MTY0MGU5MjkifQ=="/>
  </w:docVars>
  <w:rsids>
    <w:rsidRoot w:val="7CB951EC"/>
    <w:rsid w:val="7CB95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2023-11-06T06:35:00Z</dcterms:created>
  <dc:creator>Administrator</dc:creator>
  <cp:lastModifiedBy>Administrator</cp:lastModifiedBy>
  <dcterms:modified xsi:type="dcterms:W3CDTF">2023-11-06T06:36:43Z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FD588587A2864AB0AA3971A916740B5F_11</vt:lpwstr>
  </property>
</Properties>
</file>