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1600" w:lineRule="exact"/>
        <w:ind w:left="0" w:leftChars="0" w:right="-155" w:rightChars="-74" w:firstLine="0" w:firstLineChars="0"/>
        <w:jc w:val="center"/>
        <w:rPr>
          <w:rFonts w:hint="eastAsia" w:ascii="方正小标宋简体" w:eastAsia="方正小标宋简体"/>
          <w:color w:val="FF0000"/>
          <w:w w:val="35"/>
          <w:sz w:val="144"/>
          <w:lang w:eastAsia="zh-CN"/>
        </w:rPr>
      </w:pPr>
      <w:r>
        <w:rPr>
          <w:rFonts w:hint="eastAsia" w:ascii="方正小标宋简体" w:eastAsia="方正小标宋简体"/>
          <w:color w:val="FF0000"/>
          <w:spacing w:val="3"/>
          <w:w w:val="35"/>
          <w:sz w:val="144"/>
        </w:rPr>
        <w:t>鄂州</w:t>
      </w:r>
      <w:r>
        <w:rPr>
          <w:rFonts w:hint="eastAsia" w:ascii="方正小标宋简体" w:eastAsia="方正小标宋简体"/>
          <w:color w:val="FF0000"/>
          <w:spacing w:val="3"/>
          <w:w w:val="35"/>
          <w:sz w:val="144"/>
          <w:lang w:eastAsia="zh-CN"/>
        </w:rPr>
        <w:t>市市场监督管理局</w:t>
      </w:r>
      <w:r>
        <w:rPr>
          <w:rFonts w:hint="eastAsia" w:ascii="方正小标宋简体" w:eastAsia="方正小标宋简体"/>
          <w:color w:val="FF0000"/>
          <w:spacing w:val="3"/>
          <w:w w:val="35"/>
          <w:sz w:val="144"/>
        </w:rPr>
        <w:t>葛店</w:t>
      </w:r>
      <w:r>
        <w:rPr>
          <w:rFonts w:hint="eastAsia" w:ascii="方正小标宋简体" w:eastAsia="方正小标宋简体"/>
          <w:color w:val="FF0000"/>
          <w:spacing w:val="3"/>
          <w:w w:val="35"/>
          <w:sz w:val="144"/>
          <w:lang w:eastAsia="zh-CN"/>
        </w:rPr>
        <w:t>分局文件</w:t>
      </w:r>
    </w:p>
    <w:p>
      <w:pPr>
        <w:spacing w:line="400" w:lineRule="exact"/>
        <w:jc w:val="center"/>
        <w:rPr>
          <w:sz w:val="18"/>
          <w:szCs w:val="18"/>
        </w:rPr>
      </w:pPr>
    </w:p>
    <w:p>
      <w:pPr>
        <w:spacing w:line="584" w:lineRule="exact"/>
        <w:ind w:left="0" w:leftChars="0" w:firstLine="0" w:firstLineChars="0"/>
        <w:jc w:val="center"/>
        <w:rPr>
          <w:rFonts w:hint="default" w:ascii="仿宋_GB2312" w:hAnsi="仿宋_GB2312" w:eastAsia="仿宋_GB2312" w:cs="仿宋_GB2312"/>
          <w:sz w:val="32"/>
          <w:szCs w:val="32"/>
          <w:lang w:val="en-US"/>
        </w:rPr>
      </w:pPr>
      <w:r>
        <w:rPr>
          <w:rFonts w:hint="eastAsia" w:ascii="仿宋_GB2312" w:hAnsi="仿宋_GB2312" w:eastAsia="仿宋_GB2312" w:cs="仿宋_GB2312"/>
          <w:sz w:val="32"/>
          <w:szCs w:val="32"/>
          <w:lang w:val="en-US" w:eastAsia="zh-CN"/>
        </w:rPr>
        <w:t>鄂州市监葛店〔2021〕16号</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0" w:firstLineChars="0"/>
        <w:textAlignment w:val="auto"/>
        <w:rPr>
          <w:rFonts w:hint="eastAsia" w:ascii="仿宋" w:hAnsi="仿宋" w:eastAsia="仿宋" w:cs="宋体"/>
          <w:color w:val="auto"/>
          <w:kern w:val="0"/>
          <w:sz w:val="32"/>
          <w:szCs w:val="32"/>
        </w:rPr>
      </w:pPr>
      <w:r>
        <w:rPr>
          <w:lang w:val="zh-CN"/>
        </w:rPr>
        <w:pict>
          <v:line id="直接连接符 3" o:spid="_x0000_s1026" o:spt="20" style="position:absolute;left:0pt;flip:y;margin-left:-1.5pt;margin-top:6.15pt;height:0.8pt;width:417.05pt;z-index:251659264;mso-width-relative:page;mso-height-relative:page;" filled="f" stroked="t" coordsize="21600,21600" o:gfxdata="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DTDdcAAAAIAQAADwAAAAAAAAABACAAAAAiAAAAZHJz&#10;L2Rvd25yZXYueG1sUEsBAhQAFAAAAAgAh07iQIyv4DEFAgAA8wMAAA4AAAAAAAAAAQAgAAAAJgEA&#10;AGRycy9lMm9Eb2MueG1sUEsFBgAAAAAGAAYAWQEAAJ0FAAAAAA==&#10;">
            <v:path arrowok="t"/>
            <v:fill on="f" focussize="0,0"/>
            <v:stroke weight="3pt" color="#FF0000" joinstyle="round"/>
            <v:imagedata o:title=""/>
            <o:lock v:ext="edit" aspectratio="f"/>
          </v:line>
        </w:pict>
      </w:r>
      <w:r>
        <w:rPr>
          <w:rFonts w:hint="eastAsia" w:ascii="仿宋_GB2312" w:hAnsi="仿宋_GB2312" w:eastAsia="仿宋_GB2312" w:cs="仿宋_GB2312"/>
          <w:sz w:val="32"/>
          <w:szCs w:val="32"/>
          <w:lang w:val="en-US" w:eastAsia="zh-CN"/>
        </w:rPr>
        <w:br w:type="textWrapping"/>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color w:val="auto"/>
          <w:kern w:val="0"/>
          <w:sz w:val="44"/>
          <w:szCs w:val="44"/>
        </w:rPr>
        <w:t>关于</w:t>
      </w:r>
      <w:r>
        <w:rPr>
          <w:rFonts w:hint="eastAsia" w:ascii="方正小标宋简体" w:hAnsi="方正小标宋简体" w:eastAsia="方正小标宋简体" w:cs="方正小标宋简体"/>
          <w:color w:val="auto"/>
          <w:kern w:val="0"/>
          <w:sz w:val="44"/>
          <w:szCs w:val="44"/>
          <w:lang w:eastAsia="zh-CN"/>
        </w:rPr>
        <w:t>印发《</w:t>
      </w:r>
      <w:r>
        <w:rPr>
          <w:rFonts w:hint="eastAsia" w:ascii="方正小标宋简体" w:hAnsi="方正小标宋简体" w:eastAsia="方正小标宋简体" w:cs="方正小标宋简体"/>
          <w:color w:val="auto"/>
          <w:kern w:val="0"/>
          <w:sz w:val="44"/>
          <w:szCs w:val="44"/>
          <w:lang w:val="en-US" w:eastAsia="zh-CN"/>
        </w:rPr>
        <w:t>鄂州市市场监管局葛店分局</w:t>
      </w:r>
      <w:r>
        <w:rPr>
          <w:rFonts w:hint="eastAsia" w:ascii="方正小标宋简体" w:hAnsi="方正小标宋简体" w:eastAsia="方正小标宋简体" w:cs="方正小标宋简体"/>
          <w:color w:val="auto"/>
          <w:kern w:val="0"/>
          <w:sz w:val="44"/>
          <w:szCs w:val="44"/>
        </w:rPr>
        <w:t>2021年度双随机抽查工作计划</w:t>
      </w:r>
      <w:r>
        <w:rPr>
          <w:rFonts w:hint="eastAsia" w:ascii="方正小标宋简体" w:hAnsi="方正小标宋简体" w:eastAsia="方正小标宋简体" w:cs="方正小标宋简体"/>
          <w:color w:val="auto"/>
          <w:kern w:val="0"/>
          <w:sz w:val="44"/>
          <w:szCs w:val="44"/>
          <w:lang w:eastAsia="zh-CN"/>
        </w:rPr>
        <w:t>》</w:t>
      </w:r>
      <w:r>
        <w:rPr>
          <w:rFonts w:hint="eastAsia" w:ascii="方正小标宋简体" w:hAnsi="方正小标宋简体" w:eastAsia="方正小标宋简体" w:cs="方正小标宋简体"/>
          <w:color w:val="auto"/>
          <w:kern w:val="0"/>
          <w:sz w:val="44"/>
          <w:szCs w:val="44"/>
        </w:rPr>
        <w:t>的通知</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0" w:firstLineChars="0"/>
        <w:textAlignment w:val="auto"/>
        <w:rPr>
          <w:rFonts w:hint="eastAsia" w:ascii="仿宋" w:hAnsi="仿宋" w:eastAsia="仿宋" w:cs="宋体"/>
          <w:color w:val="auto"/>
          <w:kern w:val="0"/>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分局各股（室）、所:</w:t>
      </w:r>
      <w:r>
        <w:rPr>
          <w:rFonts w:hint="eastAsia" w:ascii="仿宋_GB2312" w:hAnsi="仿宋_GB2312" w:eastAsia="仿宋_GB2312" w:cs="仿宋_GB2312"/>
          <w:sz w:val="32"/>
          <w:szCs w:val="32"/>
          <w:lang w:val="en-US" w:eastAsia="zh-CN"/>
        </w:rPr>
        <w:br w:type="textWrapping"/>
      </w:r>
      <w:r>
        <w:rPr>
          <w:rFonts w:hint="eastAsia" w:ascii="仿宋_GB2312" w:hAnsi="仿宋_GB2312" w:eastAsia="仿宋_GB2312" w:cs="仿宋_GB2312"/>
          <w:sz w:val="32"/>
          <w:szCs w:val="32"/>
          <w:lang w:val="en-US" w:eastAsia="zh-CN"/>
        </w:rPr>
        <w:t xml:space="preserve">    《鄂州市市场监管局葛店分局2021年度双随机抽查工作计划》已经分局局长办公会讨论通过，现予以印发，请结合实际抓好贯彻落实。</w:t>
      </w:r>
      <w:r>
        <w:rPr>
          <w:rFonts w:hint="eastAsia" w:ascii="仿宋_GB2312" w:hAnsi="仿宋_GB2312" w:eastAsia="仿宋_GB2312" w:cs="仿宋_GB2312"/>
          <w:sz w:val="32"/>
          <w:szCs w:val="32"/>
          <w:lang w:val="en-US" w:eastAsia="zh-CN"/>
        </w:rPr>
        <w:br w:type="textWrapping"/>
      </w:r>
    </w:p>
    <w:p>
      <w:pPr>
        <w:keepNext w:val="0"/>
        <w:keepLines w:val="0"/>
        <w:pageBreakBefore w:val="0"/>
        <w:widowControl w:val="0"/>
        <w:kinsoku/>
        <w:wordWrap/>
        <w:overflowPunct/>
        <w:topLinePunct w:val="0"/>
        <w:autoSpaceDE/>
        <w:autoSpaceDN/>
        <w:bidi w:val="0"/>
        <w:adjustRightInd/>
        <w:snapToGrid/>
        <w:spacing w:line="560" w:lineRule="exact"/>
        <w:jc w:val="righ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鄂州市市场监督管理局葛店分局</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2021年3月1日</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jc w:val="left"/>
        <w:textAlignment w:val="auto"/>
      </w:pPr>
      <w:r>
        <w:rPr>
          <w:sz w:val="21"/>
        </w:rPr>
        <w:pict>
          <v:line id="直接连接符 7" o:spid="_x0000_s1027" o:spt="20" style="position:absolute;left:0pt;margin-left:-0.45pt;margin-top:0.2pt;height:0pt;width:429.75pt;z-index:251672576;mso-width-relative:page;mso-height-relative:page;" filled="f" stroked="t" coordsize="21600,21600" o:gfxdata="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x4VFstIAAAADAQAADwAAAAAAAAABACAAAAAiAAAAZHJzL2Rvd25yZXYueG1s&#10;UEsBAhQAFAAAAAgAh07iQCVNs63+AQAA3wMAAA4AAAAAAAAAAQAgAAAAIQEAAGRycy9lMm9Eb2Mu&#10;eG1sUEsFBgAAAAAGAAYAWQEAAJEFAAAAAA==&#10;">
            <v:path arrowok="t"/>
            <v:fill on="f" focussize="0,0"/>
            <v:stroke color="#000000" joinstyle="round"/>
            <v:imagedata o:title=""/>
            <o:lock v:ext="edit" aspectratio="f"/>
          </v:line>
        </w:pict>
      </w:r>
      <w:r>
        <w:rPr>
          <w:sz w:val="32"/>
        </w:rPr>
        <w:pict>
          <v:line id="直接连接符 6" o:spid="_x0000_s1028" o:spt="20" style="position:absolute;left:0pt;margin-left:1.8pt;margin-top:29.3pt;height:0pt;width:425.25pt;z-index:251671552;mso-width-relative:page;mso-height-relative:page;" filled="f" stroked="t" coordsize="21600,21600" o:gfxdata="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1J1G1QAAAAcBAAAPAAAAAAAAAAEAIAAAACIAAABkcnMvZG93bnJldi54&#10;bWxQSwECFAAUAAAACACHTuJAxwTWZv0BAADfAwAADgAAAAAAAAABACAAAAAkAQAAZHJzL2Uyb0Rv&#10;Yy54bWxQSwUGAAAAAAYABgBZAQAAkwUAAAAA&#10;">
            <v:path arrowok="t"/>
            <v:fill on="f" focussize="0,0"/>
            <v:stroke color="#000000" joinstyle="round"/>
            <v:imagedata o:title=""/>
            <o:lock v:ext="edit" aspectratio="f"/>
          </v:line>
        </w:pict>
      </w:r>
      <w:r>
        <w:rPr>
          <w:rFonts w:hint="eastAsia" w:ascii="仿宋_GB2312" w:hAnsi="仿宋_GB2312" w:eastAsia="仿宋_GB2312" w:cs="仿宋_GB2312"/>
          <w:sz w:val="32"/>
          <w:szCs w:val="32"/>
          <w:lang w:val="en-US" w:eastAsia="zh-CN"/>
        </w:rPr>
        <w:t>鄂州市市场监督管理局葛店分局      2021年3月1日印发</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方正小标宋简体" w:hAnsi="方正小标宋简体" w:eastAsia="方正小标宋简体" w:cs="方正小标宋简体"/>
          <w:color w:val="auto"/>
          <w:kern w:val="0"/>
          <w:sz w:val="44"/>
          <w:szCs w:val="44"/>
          <w:lang w:val="en-US" w:eastAsia="zh-CN"/>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numberInDash"/>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color w:val="auto"/>
          <w:kern w:val="0"/>
          <w:sz w:val="44"/>
          <w:szCs w:val="44"/>
          <w:lang w:val="en-US" w:eastAsia="zh-CN"/>
        </w:rPr>
        <w:t>鄂州市市场监管局葛店分局</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0" w:firstLineChars="0"/>
        <w:jc w:val="center"/>
        <w:textAlignment w:val="auto"/>
        <w:rPr>
          <w:rFonts w:hint="eastAsia" w:ascii="方正小标宋简体" w:hAnsi="方正小标宋简体" w:eastAsia="方正小标宋简体" w:cs="方正小标宋简体"/>
          <w:color w:val="auto"/>
          <w:kern w:val="0"/>
          <w:sz w:val="44"/>
          <w:szCs w:val="44"/>
        </w:rPr>
      </w:pPr>
      <w:r>
        <w:rPr>
          <w:rFonts w:hint="eastAsia" w:ascii="方正小标宋简体" w:hAnsi="方正小标宋简体" w:eastAsia="方正小标宋简体" w:cs="方正小标宋简体"/>
          <w:color w:val="auto"/>
          <w:kern w:val="0"/>
          <w:sz w:val="44"/>
          <w:szCs w:val="44"/>
        </w:rPr>
        <w:t>2021年度双随机抽查工作计划</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0" w:firstLineChars="0"/>
        <w:textAlignment w:val="auto"/>
        <w:rPr>
          <w:rFonts w:hint="eastAsia" w:ascii="仿宋" w:hAnsi="仿宋" w:eastAsia="仿宋" w:cs="宋体"/>
          <w:color w:val="auto"/>
          <w:kern w:val="0"/>
          <w:sz w:val="32"/>
          <w:szCs w:val="32"/>
        </w:rPr>
      </w:pP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ascii="仿宋" w:hAnsi="仿宋" w:eastAsia="仿宋" w:cs="宋体"/>
          <w:color w:val="auto"/>
          <w:kern w:val="0"/>
          <w:sz w:val="32"/>
          <w:szCs w:val="32"/>
        </w:rPr>
      </w:pPr>
      <w:r>
        <w:rPr>
          <w:rFonts w:hint="eastAsia" w:ascii="仿宋" w:hAnsi="仿宋" w:eastAsia="仿宋" w:cs="宋体"/>
          <w:color w:val="auto"/>
          <w:kern w:val="0"/>
          <w:sz w:val="32"/>
          <w:szCs w:val="32"/>
        </w:rPr>
        <w:t>为进一步做好葛店开发区市场监管系统“双随机、一公开”监管工作，根据《湖北省市场监管局关于下达2021年度双随机抽查工作计划的通知》(鄂市监信监函〔2020〕283号)、《湖北省市场监管领域部门联合“双随机、一公开”监管工作实施办法》(鄂政办发〔2020〕55号)、《鄂州市市场监管局关于下达2021年度双随机抽查工作计划的通知》（鄂州市监信监函〔2020〕2号），结合开发区实际，葛店分局现下达2021年度双随机抽查计划。</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方正黑体_GBK" w:hAnsi="方正黑体_GBK" w:eastAsia="方正黑体_GBK" w:cs="方正黑体_GBK"/>
          <w:color w:val="auto"/>
          <w:kern w:val="0"/>
          <w:sz w:val="32"/>
          <w:szCs w:val="32"/>
        </w:rPr>
      </w:pPr>
      <w:r>
        <w:rPr>
          <w:rFonts w:hint="eastAsia" w:ascii="方正黑体_GBK" w:hAnsi="方正黑体_GBK" w:eastAsia="方正黑体_GBK" w:cs="方正黑体_GBK"/>
          <w:color w:val="auto"/>
          <w:kern w:val="0"/>
          <w:sz w:val="32"/>
          <w:szCs w:val="32"/>
        </w:rPr>
        <w:t>一、抽查时限及对象</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ascii="仿宋" w:hAnsi="仿宋" w:eastAsia="仿宋" w:cs="宋体"/>
          <w:color w:val="auto"/>
          <w:kern w:val="0"/>
          <w:sz w:val="32"/>
          <w:szCs w:val="32"/>
        </w:rPr>
      </w:pPr>
      <w:r>
        <w:rPr>
          <w:rFonts w:hint="eastAsia" w:ascii="仿宋" w:hAnsi="仿宋" w:eastAsia="仿宋" w:cs="宋体"/>
          <w:color w:val="auto"/>
          <w:kern w:val="0"/>
          <w:sz w:val="32"/>
          <w:szCs w:val="32"/>
        </w:rPr>
        <w:t>本年度双随机抽查计划须于12月中旬前完成。抽查对象为截至2020年12月31日取得登记注册且存续的市场主体，以及其他主体和客体对象。</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方正黑体_GBK" w:hAnsi="方正黑体_GBK" w:eastAsia="方正黑体_GBK" w:cs="方正黑体_GBK"/>
          <w:color w:val="auto"/>
          <w:kern w:val="0"/>
          <w:sz w:val="32"/>
          <w:szCs w:val="32"/>
        </w:rPr>
      </w:pPr>
      <w:r>
        <w:rPr>
          <w:rFonts w:hint="eastAsia" w:ascii="方正黑体_GBK" w:hAnsi="方正黑体_GBK" w:eastAsia="方正黑体_GBK" w:cs="方正黑体_GBK"/>
          <w:color w:val="auto"/>
          <w:kern w:val="0"/>
          <w:sz w:val="32"/>
          <w:szCs w:val="32"/>
        </w:rPr>
        <w:t>二、抽查层级及方式</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textAlignment w:val="auto"/>
        <w:rPr>
          <w:rFonts w:ascii="仿宋" w:hAnsi="仿宋" w:eastAsia="仿宋" w:cs="宋体"/>
          <w:color w:val="auto"/>
          <w:kern w:val="0"/>
          <w:sz w:val="32"/>
          <w:szCs w:val="32"/>
        </w:rPr>
      </w:pPr>
      <w:r>
        <w:rPr>
          <w:rFonts w:hint="eastAsia" w:ascii="仿宋" w:hAnsi="仿宋" w:eastAsia="仿宋" w:cs="宋体"/>
          <w:color w:val="auto"/>
          <w:kern w:val="0"/>
          <w:sz w:val="32"/>
          <w:szCs w:val="32"/>
        </w:rPr>
        <w:t>（一）《鄂州市市场监管局关于下达2021年度双随机抽查工作计划的通知》(鄂州市监信监函〔2020〕2号)要求，全年抽查覆盖企业比例不低于3%、个体工商户比例不低于0.3%、农民专业合作社比例不低于0.3%。</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textAlignment w:val="auto"/>
        <w:rPr>
          <w:rFonts w:ascii="仿宋" w:hAnsi="仿宋" w:eastAsia="仿宋" w:cs="宋体"/>
          <w:color w:val="auto"/>
          <w:kern w:val="0"/>
          <w:sz w:val="32"/>
          <w:szCs w:val="32"/>
        </w:rPr>
      </w:pPr>
      <w:r>
        <w:rPr>
          <w:rFonts w:hint="eastAsia" w:ascii="仿宋" w:hAnsi="仿宋" w:eastAsia="仿宋" w:cs="宋体"/>
          <w:color w:val="auto"/>
          <w:kern w:val="0"/>
          <w:sz w:val="32"/>
          <w:szCs w:val="32"/>
        </w:rPr>
        <w:t>(二)对照《湖北省市场监管局随机抽查事项清单（第一版）》、《湖北省市场监管领域部门联合随机抽查事项清单（第一版）》，结合开发区监管工作实际，分局在市局抽查比例的基础上，按照检查对象和检查方式相近的尽量予以整合的原则，将多个监管事项合并开展，在此基础上形成了分局2021年度“双随机、一公开”抽查工作计划(附件1)。</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方正黑体_GBK" w:hAnsi="方正黑体_GBK" w:eastAsia="方正黑体_GBK" w:cs="方正黑体_GBK"/>
          <w:color w:val="auto"/>
          <w:kern w:val="0"/>
          <w:sz w:val="32"/>
          <w:szCs w:val="32"/>
        </w:rPr>
      </w:pPr>
      <w:r>
        <w:rPr>
          <w:rFonts w:hint="eastAsia" w:ascii="方正黑体_GBK" w:hAnsi="方正黑体_GBK" w:eastAsia="方正黑体_GBK" w:cs="方正黑体_GBK"/>
          <w:color w:val="auto"/>
          <w:kern w:val="0"/>
          <w:sz w:val="32"/>
          <w:szCs w:val="32"/>
        </w:rPr>
        <w:t>三、工作要求</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ascii="仿宋" w:hAnsi="仿宋" w:eastAsia="仿宋" w:cs="宋体"/>
          <w:color w:val="auto"/>
          <w:kern w:val="0"/>
          <w:sz w:val="32"/>
          <w:szCs w:val="32"/>
        </w:rPr>
      </w:pPr>
      <w:r>
        <w:rPr>
          <w:rFonts w:hint="eastAsia" w:ascii="仿宋" w:hAnsi="仿宋" w:eastAsia="仿宋" w:cs="宋体"/>
          <w:color w:val="auto"/>
          <w:kern w:val="0"/>
          <w:sz w:val="32"/>
          <w:szCs w:val="32"/>
        </w:rPr>
        <w:t>(一)加强指导协调。分局各有关</w:t>
      </w:r>
      <w:r>
        <w:rPr>
          <w:rFonts w:hint="eastAsia" w:ascii="仿宋" w:hAnsi="仿宋" w:eastAsia="仿宋" w:cs="宋体"/>
          <w:color w:val="auto"/>
          <w:kern w:val="0"/>
          <w:sz w:val="32"/>
          <w:szCs w:val="32"/>
          <w:lang w:eastAsia="zh-CN"/>
        </w:rPr>
        <w:t>股室</w:t>
      </w:r>
      <w:r>
        <w:rPr>
          <w:rFonts w:hint="eastAsia" w:ascii="仿宋" w:hAnsi="仿宋" w:eastAsia="仿宋" w:cs="宋体"/>
          <w:color w:val="auto"/>
          <w:kern w:val="0"/>
          <w:sz w:val="32"/>
          <w:szCs w:val="32"/>
        </w:rPr>
        <w:t>、基层所发起抽查任务，要及时将实施方案或通知送同级</w:t>
      </w:r>
      <w:r>
        <w:rPr>
          <w:rFonts w:hint="eastAsia" w:ascii="仿宋" w:hAnsi="仿宋" w:eastAsia="仿宋" w:cs="宋体"/>
          <w:color w:val="auto"/>
          <w:kern w:val="0"/>
          <w:sz w:val="32"/>
          <w:szCs w:val="32"/>
          <w:lang w:eastAsia="zh-CN"/>
        </w:rPr>
        <w:t>行政许可审批股</w:t>
      </w:r>
      <w:r>
        <w:rPr>
          <w:rFonts w:hint="eastAsia" w:ascii="仿宋" w:hAnsi="仿宋" w:eastAsia="仿宋" w:cs="宋体"/>
          <w:color w:val="auto"/>
          <w:kern w:val="0"/>
          <w:sz w:val="32"/>
          <w:szCs w:val="32"/>
        </w:rPr>
        <w:t>备案，并以此作为在省级“双随机、一公开”监管工作平台中发起检查任务和任务完成情况考核的依据。检查内容涉及多个业务条线的，牵头</w:t>
      </w:r>
      <w:r>
        <w:rPr>
          <w:rFonts w:hint="eastAsia" w:ascii="仿宋" w:hAnsi="仿宋" w:eastAsia="仿宋" w:cs="宋体"/>
          <w:color w:val="auto"/>
          <w:kern w:val="0"/>
          <w:sz w:val="32"/>
          <w:szCs w:val="32"/>
          <w:lang w:eastAsia="zh-CN"/>
        </w:rPr>
        <w:t>股室</w:t>
      </w:r>
      <w:r>
        <w:rPr>
          <w:rFonts w:hint="eastAsia" w:ascii="仿宋" w:hAnsi="仿宋" w:eastAsia="仿宋" w:cs="宋体"/>
          <w:color w:val="auto"/>
          <w:kern w:val="0"/>
          <w:sz w:val="32"/>
          <w:szCs w:val="32"/>
        </w:rPr>
        <w:t>负责发起组织安排，参与</w:t>
      </w:r>
      <w:r>
        <w:rPr>
          <w:rFonts w:hint="eastAsia" w:ascii="仿宋" w:hAnsi="仿宋" w:eastAsia="仿宋" w:cs="宋体"/>
          <w:color w:val="auto"/>
          <w:kern w:val="0"/>
          <w:sz w:val="32"/>
          <w:szCs w:val="32"/>
          <w:lang w:eastAsia="zh-CN"/>
        </w:rPr>
        <w:t>股室</w:t>
      </w:r>
      <w:r>
        <w:rPr>
          <w:rFonts w:hint="eastAsia" w:ascii="仿宋" w:hAnsi="仿宋" w:eastAsia="仿宋" w:cs="宋体"/>
          <w:color w:val="auto"/>
          <w:kern w:val="0"/>
          <w:sz w:val="32"/>
          <w:szCs w:val="32"/>
        </w:rPr>
        <w:t>协同实施。</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ascii="仿宋" w:hAnsi="仿宋" w:eastAsia="仿宋" w:cs="宋体"/>
          <w:color w:val="auto"/>
          <w:kern w:val="0"/>
          <w:sz w:val="32"/>
          <w:szCs w:val="32"/>
        </w:rPr>
      </w:pPr>
      <w:r>
        <w:rPr>
          <w:rFonts w:hint="eastAsia" w:ascii="仿宋" w:hAnsi="仿宋" w:eastAsia="仿宋" w:cs="宋体"/>
          <w:color w:val="auto"/>
          <w:kern w:val="0"/>
          <w:sz w:val="32"/>
          <w:szCs w:val="32"/>
        </w:rPr>
        <w:t>(二)确保监管履职到位。全年组织实施的双随机抽查任务做到市场监管部门随机抽查事项的全覆盖，检查不走过场、监管不留死角。要尽量保持抽查任务分布的均衡性，防止为完成年度任务出现年底前的“批发式”突击检查。</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ascii="仿宋" w:hAnsi="仿宋" w:eastAsia="仿宋" w:cs="宋体"/>
          <w:color w:val="auto"/>
          <w:kern w:val="0"/>
          <w:sz w:val="32"/>
          <w:szCs w:val="32"/>
        </w:rPr>
      </w:pPr>
      <w:r>
        <w:rPr>
          <w:rFonts w:hint="eastAsia" w:ascii="仿宋" w:hAnsi="仿宋" w:eastAsia="仿宋" w:cs="宋体"/>
          <w:color w:val="auto"/>
          <w:kern w:val="0"/>
          <w:sz w:val="32"/>
          <w:szCs w:val="32"/>
        </w:rPr>
        <w:t>(三)实行动态调整。对未列入抽查工作计划但实际工作中需要增加的抽查任务，经分管领导批准后进行动态调整。</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方正黑体_GBK" w:hAnsi="方正黑体_GBK" w:eastAsia="方正黑体_GBK" w:cs="方正黑体_GBK"/>
          <w:color w:val="auto"/>
          <w:kern w:val="0"/>
          <w:sz w:val="32"/>
          <w:szCs w:val="32"/>
        </w:rPr>
      </w:pPr>
      <w:r>
        <w:rPr>
          <w:rFonts w:hint="eastAsia" w:ascii="方正黑体_GBK" w:hAnsi="方正黑体_GBK" w:eastAsia="方正黑体_GBK" w:cs="方正黑体_GBK"/>
          <w:color w:val="auto"/>
          <w:kern w:val="0"/>
          <w:sz w:val="32"/>
          <w:szCs w:val="32"/>
        </w:rPr>
        <w:t>四、攻坚落实</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480" w:firstLineChars="0"/>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“双随机、一公开”监管工作被纳入市政府绩效考核体系。我们要切实提高站位，加强本辖区抽查工作(含上级部门发起抽查计划)的组织协调和督促落实。</w:t>
      </w:r>
    </w:p>
    <w:p>
      <w:pPr>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560" w:lineRule="exact"/>
        <w:ind w:left="0" w:leftChars="0" w:firstLine="480" w:firstLineChars="0"/>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要坚持“尽职照单免责、失职照单问责”的原则，采取有力有效措施，严格按照规定的时限和要求完成抽查工作。</w:t>
      </w:r>
    </w:p>
    <w:p>
      <w:pPr>
        <w:keepNext w:val="0"/>
        <w:keepLines w:val="0"/>
        <w:pageBreakBefore w:val="0"/>
        <w:widowControl/>
        <w:numPr>
          <w:ilvl w:val="0"/>
          <w:numId w:val="1"/>
        </w:numPr>
        <w:kinsoku/>
        <w:wordWrap/>
        <w:overflowPunct/>
        <w:topLinePunct w:val="0"/>
        <w:autoSpaceDE/>
        <w:autoSpaceDN/>
        <w:bidi w:val="0"/>
        <w:adjustRightInd/>
        <w:snapToGrid/>
        <w:spacing w:beforeAutospacing="0" w:afterAutospacing="0" w:line="560" w:lineRule="exact"/>
        <w:ind w:left="0" w:leftChars="0" w:firstLine="480" w:firstLineChars="0"/>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分局各有关</w:t>
      </w:r>
      <w:r>
        <w:rPr>
          <w:rFonts w:hint="eastAsia" w:ascii="仿宋" w:hAnsi="仿宋" w:eastAsia="仿宋" w:cs="宋体"/>
          <w:color w:val="auto"/>
          <w:kern w:val="0"/>
          <w:sz w:val="32"/>
          <w:szCs w:val="32"/>
          <w:lang w:eastAsia="zh-CN"/>
        </w:rPr>
        <w:t>股室</w:t>
      </w:r>
      <w:r>
        <w:rPr>
          <w:rFonts w:hint="eastAsia" w:ascii="仿宋" w:hAnsi="仿宋" w:eastAsia="仿宋" w:cs="宋体"/>
          <w:color w:val="auto"/>
          <w:kern w:val="0"/>
          <w:sz w:val="32"/>
          <w:szCs w:val="32"/>
        </w:rPr>
        <w:t>、基层所要加强业务指导和执法培训，提升基层监管执法人员业务素养。分局</w:t>
      </w:r>
      <w:r>
        <w:rPr>
          <w:rFonts w:hint="eastAsia" w:ascii="仿宋" w:hAnsi="仿宋" w:eastAsia="仿宋" w:cs="宋体"/>
          <w:color w:val="auto"/>
          <w:kern w:val="0"/>
          <w:sz w:val="32"/>
          <w:szCs w:val="32"/>
          <w:lang w:eastAsia="zh-CN"/>
        </w:rPr>
        <w:t>行政许可审批股</w:t>
      </w:r>
      <w:r>
        <w:rPr>
          <w:rFonts w:hint="eastAsia" w:ascii="仿宋" w:hAnsi="仿宋" w:eastAsia="仿宋" w:cs="宋体"/>
          <w:color w:val="auto"/>
          <w:kern w:val="0"/>
          <w:sz w:val="32"/>
          <w:szCs w:val="32"/>
        </w:rPr>
        <w:t>要统筹抽查计划实施，会同办公室做好信息化保障。分局办公室将适时对检查任务完成情况进行检查通报。</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480" w:firstLineChars="0"/>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w:t>
      </w:r>
      <w:r>
        <w:rPr>
          <w:rFonts w:hint="eastAsia" w:ascii="仿宋" w:hAnsi="仿宋" w:eastAsia="仿宋" w:cs="宋体"/>
          <w:color w:val="auto"/>
          <w:kern w:val="0"/>
          <w:sz w:val="32"/>
          <w:szCs w:val="32"/>
          <w:lang w:eastAsia="zh-CN"/>
        </w:rPr>
        <w:t>三</w:t>
      </w:r>
      <w:r>
        <w:rPr>
          <w:rFonts w:hint="eastAsia" w:ascii="仿宋" w:hAnsi="仿宋" w:eastAsia="仿宋" w:cs="宋体"/>
          <w:color w:val="auto"/>
          <w:kern w:val="0"/>
          <w:sz w:val="32"/>
          <w:szCs w:val="32"/>
        </w:rPr>
        <w:t>）分局各相关业务</w:t>
      </w:r>
      <w:r>
        <w:rPr>
          <w:rFonts w:hint="eastAsia" w:ascii="仿宋" w:hAnsi="仿宋" w:eastAsia="仿宋" w:cs="宋体"/>
          <w:color w:val="auto"/>
          <w:kern w:val="0"/>
          <w:sz w:val="32"/>
          <w:szCs w:val="32"/>
          <w:lang w:eastAsia="zh-CN"/>
        </w:rPr>
        <w:t>股室</w:t>
      </w:r>
      <w:r>
        <w:rPr>
          <w:rFonts w:hint="eastAsia" w:ascii="仿宋" w:hAnsi="仿宋" w:eastAsia="仿宋" w:cs="宋体"/>
          <w:color w:val="auto"/>
          <w:kern w:val="0"/>
          <w:sz w:val="32"/>
          <w:szCs w:val="32"/>
        </w:rPr>
        <w:t>应根据职责范围加强与同级市场监管领域相关部门协调配合，对同一市场主体的多个监管事项，尽可能合并或纳入部门联合抽查范围，实现“进一次门、查多项事”。</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ascii="仿宋" w:hAnsi="仿宋" w:eastAsia="仿宋" w:cs="宋体"/>
          <w:color w:val="auto"/>
          <w:kern w:val="0"/>
          <w:sz w:val="32"/>
          <w:szCs w:val="32"/>
        </w:rPr>
      </w:pPr>
      <w:r>
        <w:rPr>
          <w:rFonts w:hint="eastAsia" w:ascii="仿宋" w:hAnsi="仿宋" w:eastAsia="仿宋" w:cs="宋体"/>
          <w:color w:val="auto"/>
          <w:kern w:val="0"/>
          <w:sz w:val="32"/>
          <w:szCs w:val="32"/>
        </w:rPr>
        <w:t>在计划制定及执行过程中如有疑问，请及时联系分局</w:t>
      </w:r>
      <w:r>
        <w:rPr>
          <w:rFonts w:hint="eastAsia" w:ascii="仿宋" w:hAnsi="仿宋" w:eastAsia="仿宋" w:cs="宋体"/>
          <w:color w:val="auto"/>
          <w:kern w:val="0"/>
          <w:sz w:val="32"/>
          <w:szCs w:val="32"/>
          <w:lang w:eastAsia="zh-CN"/>
        </w:rPr>
        <w:t>行政许可审批股</w:t>
      </w:r>
      <w:r>
        <w:rPr>
          <w:rFonts w:hint="eastAsia" w:ascii="仿宋" w:hAnsi="仿宋" w:eastAsia="仿宋" w:cs="宋体"/>
          <w:color w:val="auto"/>
          <w:kern w:val="0"/>
          <w:sz w:val="32"/>
          <w:szCs w:val="32"/>
        </w:rPr>
        <w:t>，联系电话:0711-3813136。</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仿宋" w:hAnsi="仿宋" w:eastAsia="仿宋" w:cs="宋体"/>
          <w:color w:val="auto"/>
          <w:kern w:val="0"/>
          <w:sz w:val="32"/>
          <w:szCs w:val="32"/>
        </w:rPr>
      </w:pPr>
      <w:r>
        <w:rPr>
          <w:rFonts w:hint="eastAsia" w:ascii="仿宋" w:hAnsi="仿宋" w:eastAsia="仿宋" w:cs="宋体"/>
          <w:color w:val="auto"/>
          <w:kern w:val="0"/>
          <w:sz w:val="32"/>
          <w:szCs w:val="32"/>
        </w:rPr>
        <w:t>附件</w:t>
      </w:r>
      <w:r>
        <w:rPr>
          <w:rFonts w:hint="eastAsia" w:ascii="仿宋" w:hAnsi="仿宋" w:eastAsia="仿宋" w:cs="宋体"/>
          <w:color w:val="auto"/>
          <w:kern w:val="0"/>
          <w:sz w:val="32"/>
          <w:szCs w:val="32"/>
          <w:lang w:val="en-US" w:eastAsia="zh-CN"/>
        </w:rPr>
        <w:t>1</w:t>
      </w:r>
      <w:r>
        <w:rPr>
          <w:rFonts w:hint="eastAsia" w:ascii="仿宋" w:hAnsi="仿宋" w:eastAsia="仿宋" w:cs="宋体"/>
          <w:color w:val="auto"/>
          <w:kern w:val="0"/>
          <w:sz w:val="32"/>
          <w:szCs w:val="32"/>
        </w:rPr>
        <w:t>:2021年度</w:t>
      </w:r>
      <w:r>
        <w:rPr>
          <w:rFonts w:hint="eastAsia" w:ascii="仿宋" w:hAnsi="仿宋" w:eastAsia="仿宋" w:cs="宋体"/>
          <w:color w:val="auto"/>
          <w:kern w:val="0"/>
          <w:sz w:val="32"/>
          <w:szCs w:val="32"/>
          <w:lang w:eastAsia="zh-CN"/>
        </w:rPr>
        <w:t>葛店分局</w:t>
      </w:r>
      <w:r>
        <w:rPr>
          <w:rFonts w:hint="eastAsia" w:ascii="仿宋" w:hAnsi="仿宋" w:eastAsia="仿宋" w:cs="宋体"/>
          <w:color w:val="auto"/>
          <w:kern w:val="0"/>
          <w:sz w:val="32"/>
          <w:szCs w:val="32"/>
        </w:rPr>
        <w:t>部署双随机抽查工作计划表</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200"/>
        <w:textAlignment w:val="auto"/>
        <w:rPr>
          <w:rFonts w:hint="eastAsia" w:ascii="仿宋" w:hAnsi="仿宋" w:eastAsia="仿宋" w:cs="宋体"/>
          <w:color w:val="auto"/>
          <w:kern w:val="0"/>
          <w:sz w:val="32"/>
          <w:szCs w:val="32"/>
          <w:lang w:eastAsia="zh-CN"/>
        </w:rPr>
      </w:pPr>
      <w:r>
        <w:rPr>
          <w:rFonts w:hint="eastAsia" w:ascii="仿宋" w:hAnsi="仿宋" w:eastAsia="仿宋" w:cs="宋体"/>
          <w:color w:val="auto"/>
          <w:kern w:val="0"/>
          <w:sz w:val="32"/>
          <w:szCs w:val="32"/>
          <w:lang w:eastAsia="zh-CN"/>
        </w:rPr>
        <w:t>附件</w:t>
      </w:r>
      <w:r>
        <w:rPr>
          <w:rFonts w:hint="eastAsia" w:ascii="仿宋" w:hAnsi="仿宋" w:eastAsia="仿宋" w:cs="宋体"/>
          <w:color w:val="auto"/>
          <w:kern w:val="0"/>
          <w:sz w:val="32"/>
          <w:szCs w:val="32"/>
          <w:lang w:val="en-US" w:eastAsia="zh-CN"/>
        </w:rPr>
        <w:t>2</w:t>
      </w:r>
      <w:r>
        <w:rPr>
          <w:rFonts w:hint="eastAsia" w:ascii="仿宋" w:hAnsi="仿宋" w:eastAsia="仿宋" w:cs="宋体"/>
          <w:color w:val="auto"/>
          <w:kern w:val="0"/>
          <w:sz w:val="32"/>
          <w:szCs w:val="32"/>
          <w:lang w:eastAsia="zh-CN"/>
        </w:rPr>
        <w:t>:2021年度葛店分局部门联合双随机抽查工作计划表</w:t>
      </w:r>
    </w:p>
    <w:p>
      <w:pPr>
        <w:keepNext w:val="0"/>
        <w:keepLines w:val="0"/>
        <w:pageBreakBefore w:val="0"/>
        <w:widowControl/>
        <w:kinsoku/>
        <w:wordWrap/>
        <w:overflowPunct/>
        <w:topLinePunct w:val="0"/>
        <w:autoSpaceDE/>
        <w:autoSpaceDN/>
        <w:bidi w:val="0"/>
        <w:adjustRightInd/>
        <w:snapToGrid/>
        <w:spacing w:beforeAutospacing="0" w:afterAutospacing="0" w:line="560" w:lineRule="exact"/>
        <w:ind w:left="0" w:leftChars="0" w:firstLine="640" w:firstLineChars="0"/>
        <w:jc w:val="right"/>
        <w:textAlignment w:val="auto"/>
        <w:rPr>
          <w:rFonts w:ascii="仿宋" w:hAnsi="仿宋" w:eastAsia="仿宋" w:cs="宋体"/>
          <w:color w:val="auto"/>
          <w:kern w:val="0"/>
          <w:sz w:val="32"/>
          <w:szCs w:val="32"/>
        </w:rPr>
      </w:pPr>
    </w:p>
    <w:p>
      <w:pPr>
        <w:widowControl/>
        <w:spacing w:before="100" w:beforeAutospacing="1" w:after="100" w:afterAutospacing="1" w:line="360" w:lineRule="atLeast"/>
        <w:ind w:left="0" w:leftChars="0" w:firstLine="0" w:firstLineChars="0"/>
        <w:jc w:val="left"/>
        <w:rPr>
          <w:rFonts w:ascii="仿宋" w:hAnsi="仿宋" w:eastAsia="仿宋" w:cs="宋体"/>
          <w:color w:val="auto"/>
          <w:kern w:val="0"/>
          <w:sz w:val="32"/>
          <w:szCs w:val="32"/>
        </w:rPr>
      </w:pPr>
    </w:p>
    <w:p>
      <w:pPr>
        <w:widowControl/>
        <w:spacing w:before="100" w:beforeAutospacing="1" w:after="100" w:afterAutospacing="1" w:line="360" w:lineRule="atLeast"/>
        <w:ind w:left="0" w:leftChars="0" w:firstLine="0" w:firstLineChars="0"/>
        <w:jc w:val="left"/>
        <w:rPr>
          <w:rFonts w:ascii="仿宋" w:hAnsi="仿宋" w:eastAsia="仿宋" w:cs="宋体"/>
          <w:color w:val="auto"/>
          <w:kern w:val="0"/>
          <w:sz w:val="32"/>
          <w:szCs w:val="32"/>
        </w:rPr>
      </w:pPr>
    </w:p>
    <w:p>
      <w:pPr>
        <w:widowControl/>
        <w:spacing w:before="100" w:beforeAutospacing="1" w:after="100" w:afterAutospacing="1" w:line="360" w:lineRule="atLeast"/>
        <w:ind w:left="0" w:leftChars="0" w:firstLine="0" w:firstLineChars="0"/>
        <w:jc w:val="left"/>
        <w:rPr>
          <w:rFonts w:ascii="仿宋" w:hAnsi="仿宋" w:eastAsia="仿宋" w:cs="宋体"/>
          <w:color w:val="auto"/>
          <w:kern w:val="0"/>
          <w:sz w:val="32"/>
          <w:szCs w:val="32"/>
        </w:rPr>
      </w:pPr>
    </w:p>
    <w:p>
      <w:pPr>
        <w:ind w:left="0" w:leftChars="0" w:firstLine="0" w:firstLineChars="0"/>
        <w:rPr>
          <w:color w:val="auto"/>
        </w:rPr>
        <w:sectPr>
          <w:footerReference r:id="rId9" w:type="default"/>
          <w:pgSz w:w="11906" w:h="16838"/>
          <w:pgMar w:top="1440" w:right="1800" w:bottom="1440" w:left="1800" w:header="851" w:footer="992" w:gutter="0"/>
          <w:pgNumType w:fmt="numberInDash" w:start="2"/>
          <w:cols w:space="425" w:num="1"/>
          <w:docGrid w:type="lines" w:linePitch="312" w:charSpace="0"/>
        </w:sectPr>
      </w:pPr>
    </w:p>
    <w:tbl>
      <w:tblPr>
        <w:tblStyle w:val="5"/>
        <w:tblW w:w="14808" w:type="dxa"/>
        <w:tblInd w:w="93" w:type="dxa"/>
        <w:tblLayout w:type="fixed"/>
        <w:tblCellMar>
          <w:top w:w="0" w:type="dxa"/>
          <w:left w:w="108" w:type="dxa"/>
          <w:bottom w:w="0" w:type="dxa"/>
          <w:right w:w="108" w:type="dxa"/>
        </w:tblCellMar>
      </w:tblPr>
      <w:tblGrid>
        <w:gridCol w:w="627"/>
        <w:gridCol w:w="1695"/>
        <w:gridCol w:w="2745"/>
        <w:gridCol w:w="735"/>
        <w:gridCol w:w="795"/>
        <w:gridCol w:w="750"/>
        <w:gridCol w:w="761"/>
        <w:gridCol w:w="1080"/>
        <w:gridCol w:w="799"/>
        <w:gridCol w:w="1980"/>
        <w:gridCol w:w="855"/>
        <w:gridCol w:w="1986"/>
      </w:tblGrid>
      <w:tr>
        <w:tblPrEx>
          <w:tblCellMar>
            <w:top w:w="0" w:type="dxa"/>
            <w:left w:w="108" w:type="dxa"/>
            <w:bottom w:w="0" w:type="dxa"/>
            <w:right w:w="108" w:type="dxa"/>
          </w:tblCellMar>
        </w:tblPrEx>
        <w:trPr>
          <w:trHeight w:val="285" w:hRule="atLeast"/>
        </w:trPr>
        <w:tc>
          <w:tcPr>
            <w:tcW w:w="627" w:type="dxa"/>
            <w:tcBorders>
              <w:top w:val="nil"/>
              <w:left w:val="nil"/>
              <w:bottom w:val="nil"/>
              <w:right w:val="nil"/>
            </w:tcBorders>
            <w:shd w:val="clear" w:color="auto" w:fill="auto"/>
            <w:noWrap/>
            <w:vAlign w:val="center"/>
          </w:tcPr>
          <w:p>
            <w:pPr>
              <w:widowControl/>
              <w:spacing w:line="240" w:lineRule="auto"/>
              <w:ind w:left="370" w:leftChars="0" w:firstLine="480" w:firstLineChars="0"/>
              <w:jc w:val="left"/>
              <w:rPr>
                <w:rFonts w:ascii="宋体" w:hAnsi="宋体" w:eastAsia="宋体" w:cs="宋体"/>
                <w:color w:val="auto"/>
                <w:kern w:val="0"/>
                <w:sz w:val="24"/>
                <w:szCs w:val="24"/>
              </w:rPr>
            </w:pPr>
          </w:p>
        </w:tc>
        <w:tc>
          <w:tcPr>
            <w:tcW w:w="1695" w:type="dxa"/>
            <w:tcBorders>
              <w:top w:val="nil"/>
              <w:left w:val="nil"/>
              <w:bottom w:val="nil"/>
              <w:right w:val="nil"/>
            </w:tcBorders>
            <w:shd w:val="clear" w:color="auto" w:fill="auto"/>
            <w:noWrap/>
            <w:vAlign w:val="center"/>
          </w:tcPr>
          <w:p>
            <w:pPr>
              <w:widowControl/>
              <w:spacing w:line="240" w:lineRule="auto"/>
              <w:ind w:leftChars="0" w:firstLineChars="0"/>
              <w:jc w:val="left"/>
              <w:rPr>
                <w:rFonts w:hint="default" w:ascii="宋体" w:hAnsi="宋体" w:eastAsia="宋体" w:cs="宋体"/>
                <w:color w:val="auto"/>
                <w:kern w:val="0"/>
                <w:sz w:val="24"/>
                <w:szCs w:val="24"/>
                <w:lang w:val="en-US" w:eastAsia="zh-CN"/>
              </w:rPr>
            </w:pPr>
            <w:r>
              <w:rPr>
                <w:rFonts w:hint="eastAsia" w:ascii="方正黑体_GBK" w:hAnsi="方正黑体_GBK" w:eastAsia="方正黑体_GBK" w:cs="方正黑体_GBK"/>
                <w:color w:val="auto"/>
                <w:kern w:val="0"/>
                <w:sz w:val="32"/>
                <w:szCs w:val="32"/>
                <w:lang w:eastAsia="zh-CN"/>
              </w:rPr>
              <w:t>附件</w:t>
            </w:r>
            <w:r>
              <w:rPr>
                <w:rFonts w:hint="eastAsia" w:ascii="方正黑体_GBK" w:hAnsi="方正黑体_GBK" w:eastAsia="方正黑体_GBK" w:cs="方正黑体_GBK"/>
                <w:color w:val="auto"/>
                <w:kern w:val="0"/>
                <w:sz w:val="32"/>
                <w:szCs w:val="32"/>
                <w:lang w:val="en-US" w:eastAsia="zh-CN"/>
              </w:rPr>
              <w:t>1</w:t>
            </w:r>
          </w:p>
        </w:tc>
        <w:tc>
          <w:tcPr>
            <w:tcW w:w="2745"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735"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795"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750"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761"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1080"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799"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1980"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855"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1986"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r>
      <w:tr>
        <w:tblPrEx>
          <w:tblCellMar>
            <w:top w:w="0" w:type="dxa"/>
            <w:left w:w="108" w:type="dxa"/>
            <w:bottom w:w="0" w:type="dxa"/>
            <w:right w:w="108" w:type="dxa"/>
          </w:tblCellMar>
        </w:tblPrEx>
        <w:trPr>
          <w:trHeight w:val="780" w:hRule="atLeast"/>
        </w:trPr>
        <w:tc>
          <w:tcPr>
            <w:tcW w:w="14808" w:type="dxa"/>
            <w:gridSpan w:val="12"/>
            <w:tcBorders>
              <w:top w:val="nil"/>
              <w:left w:val="nil"/>
              <w:bottom w:val="nil"/>
              <w:right w:val="nil"/>
            </w:tcBorders>
            <w:shd w:val="clear" w:color="auto" w:fill="auto"/>
            <w:noWrap/>
            <w:vAlign w:val="center"/>
          </w:tcPr>
          <w:p>
            <w:pPr>
              <w:widowControl/>
              <w:spacing w:line="240" w:lineRule="auto"/>
              <w:ind w:left="0" w:leftChars="0" w:firstLine="0" w:firstLineChars="0"/>
              <w:jc w:val="center"/>
              <w:rPr>
                <w:rFonts w:ascii="黑体" w:hAnsi="黑体" w:eastAsia="黑体" w:cs="宋体"/>
                <w:color w:val="auto"/>
                <w:kern w:val="0"/>
                <w:sz w:val="48"/>
                <w:szCs w:val="48"/>
              </w:rPr>
            </w:pPr>
            <w:r>
              <w:rPr>
                <w:rFonts w:hint="eastAsia" w:ascii="黑体" w:hAnsi="黑体" w:eastAsia="黑体" w:cs="宋体"/>
                <w:color w:val="auto"/>
                <w:kern w:val="0"/>
                <w:sz w:val="48"/>
                <w:szCs w:val="48"/>
              </w:rPr>
              <w:t>2021年度葛店分局部署双随机抽查工作计划表</w:t>
            </w:r>
          </w:p>
        </w:tc>
      </w:tr>
      <w:tr>
        <w:tblPrEx>
          <w:tblCellMar>
            <w:top w:w="0" w:type="dxa"/>
            <w:left w:w="108" w:type="dxa"/>
            <w:bottom w:w="0" w:type="dxa"/>
            <w:right w:w="108" w:type="dxa"/>
          </w:tblCellMar>
        </w:tblPrEx>
        <w:trPr>
          <w:trHeight w:val="319" w:hRule="atLeast"/>
        </w:trPr>
        <w:tc>
          <w:tcPr>
            <w:tcW w:w="627"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序号</w:t>
            </w:r>
          </w:p>
        </w:tc>
        <w:tc>
          <w:tcPr>
            <w:tcW w:w="169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抽查类别</w:t>
            </w:r>
          </w:p>
        </w:tc>
        <w:tc>
          <w:tcPr>
            <w:tcW w:w="2745" w:type="dxa"/>
            <w:vMerge w:val="restart"/>
            <w:tcBorders>
              <w:top w:val="single" w:color="auto" w:sz="4" w:space="0"/>
              <w:left w:val="single" w:color="auto" w:sz="4" w:space="0"/>
              <w:bottom w:val="single" w:color="000000" w:sz="4" w:space="0"/>
              <w:right w:val="single" w:color="auto" w:sz="4" w:space="0"/>
            </w:tcBorders>
            <w:shd w:val="clear" w:color="000000" w:fill="FFFFFF"/>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抽查事项</w:t>
            </w:r>
          </w:p>
        </w:tc>
        <w:tc>
          <w:tcPr>
            <w:tcW w:w="4121" w:type="dxa"/>
            <w:gridSpan w:val="5"/>
            <w:tcBorders>
              <w:top w:val="single" w:color="auto" w:sz="4" w:space="0"/>
              <w:left w:val="nil"/>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抽查方式及数量</w:t>
            </w:r>
          </w:p>
        </w:tc>
        <w:tc>
          <w:tcPr>
            <w:tcW w:w="799"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组织单位</w:t>
            </w:r>
          </w:p>
        </w:tc>
        <w:tc>
          <w:tcPr>
            <w:tcW w:w="19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实施单位</w:t>
            </w:r>
          </w:p>
        </w:tc>
        <w:tc>
          <w:tcPr>
            <w:tcW w:w="855"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完成时限</w:t>
            </w:r>
          </w:p>
        </w:tc>
        <w:tc>
          <w:tcPr>
            <w:tcW w:w="1986"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备注</w:t>
            </w:r>
          </w:p>
        </w:tc>
      </w:tr>
      <w:tr>
        <w:tblPrEx>
          <w:tblCellMar>
            <w:top w:w="0" w:type="dxa"/>
            <w:left w:w="108" w:type="dxa"/>
            <w:bottom w:w="0" w:type="dxa"/>
            <w:right w:w="108" w:type="dxa"/>
          </w:tblCellMar>
        </w:tblPrEx>
        <w:trPr>
          <w:trHeight w:val="420" w:hRule="atLeast"/>
        </w:trPr>
        <w:tc>
          <w:tcPr>
            <w:tcW w:w="627"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695"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2745"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3041" w:type="dxa"/>
            <w:gridSpan w:val="4"/>
            <w:tcBorders>
              <w:top w:val="single" w:color="auto" w:sz="4" w:space="0"/>
              <w:left w:val="nil"/>
              <w:bottom w:val="single" w:color="auto"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抽查比例或户数</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抽样检验批次数量</w:t>
            </w:r>
          </w:p>
        </w:tc>
        <w:tc>
          <w:tcPr>
            <w:tcW w:w="799"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980"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855"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986"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r>
      <w:tr>
        <w:tblPrEx>
          <w:tblCellMar>
            <w:top w:w="0" w:type="dxa"/>
            <w:left w:w="108" w:type="dxa"/>
            <w:bottom w:w="0" w:type="dxa"/>
            <w:right w:w="108" w:type="dxa"/>
          </w:tblCellMar>
        </w:tblPrEx>
        <w:trPr>
          <w:trHeight w:val="619" w:hRule="atLeast"/>
        </w:trPr>
        <w:tc>
          <w:tcPr>
            <w:tcW w:w="627"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695"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2745"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7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企业</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个体</w:t>
            </w:r>
          </w:p>
        </w:tc>
        <w:tc>
          <w:tcPr>
            <w:tcW w:w="7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农专</w:t>
            </w:r>
          </w:p>
        </w:tc>
        <w:tc>
          <w:tcPr>
            <w:tcW w:w="7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b/>
                <w:bCs/>
                <w:color w:val="auto"/>
                <w:kern w:val="0"/>
                <w:sz w:val="24"/>
                <w:szCs w:val="24"/>
              </w:rPr>
            </w:pPr>
            <w:r>
              <w:rPr>
                <w:rFonts w:hint="eastAsia" w:ascii="方正仿宋_GBK" w:hAnsi="方正仿宋_GBK" w:eastAsia="方正仿宋_GBK" w:cs="方正仿宋_GBK"/>
                <w:b/>
                <w:bCs/>
                <w:color w:val="auto"/>
                <w:kern w:val="0"/>
                <w:sz w:val="24"/>
                <w:szCs w:val="24"/>
              </w:rPr>
              <w:t>其他主体</w:t>
            </w:r>
          </w:p>
        </w:tc>
        <w:tc>
          <w:tcPr>
            <w:tcW w:w="1080"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b/>
                <w:bCs/>
                <w:color w:val="auto"/>
                <w:kern w:val="0"/>
                <w:sz w:val="24"/>
                <w:szCs w:val="24"/>
              </w:rPr>
            </w:pPr>
          </w:p>
        </w:tc>
        <w:tc>
          <w:tcPr>
            <w:tcW w:w="799"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980"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855"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986" w:type="dxa"/>
            <w:vMerge w:val="continue"/>
            <w:tcBorders>
              <w:top w:val="single" w:color="auto" w:sz="4" w:space="0"/>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r>
      <w:tr>
        <w:tblPrEx>
          <w:tblCellMar>
            <w:top w:w="0" w:type="dxa"/>
            <w:left w:w="108" w:type="dxa"/>
            <w:bottom w:w="0" w:type="dxa"/>
            <w:right w:w="108" w:type="dxa"/>
          </w:tblCellMar>
        </w:tblPrEx>
        <w:trPr>
          <w:trHeight w:val="499" w:hRule="atLeast"/>
        </w:trPr>
        <w:tc>
          <w:tcPr>
            <w:tcW w:w="62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1</w:t>
            </w:r>
          </w:p>
        </w:tc>
        <w:tc>
          <w:tcPr>
            <w:tcW w:w="16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登记事项检查</w:t>
            </w:r>
          </w:p>
        </w:tc>
        <w:tc>
          <w:tcPr>
            <w:tcW w:w="27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全覆盖</w:t>
            </w:r>
          </w:p>
        </w:tc>
        <w:tc>
          <w:tcPr>
            <w:tcW w:w="7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3%</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0.30%</w:t>
            </w:r>
          </w:p>
        </w:tc>
        <w:tc>
          <w:tcPr>
            <w:tcW w:w="7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0.30%</w:t>
            </w:r>
          </w:p>
        </w:tc>
        <w:tc>
          <w:tcPr>
            <w:tcW w:w="7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分局</w:t>
            </w:r>
          </w:p>
        </w:tc>
        <w:tc>
          <w:tcPr>
            <w:tcW w:w="1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葛店</w:t>
            </w:r>
            <w:r>
              <w:rPr>
                <w:rFonts w:hint="eastAsia" w:ascii="方正仿宋_GBK" w:hAnsi="方正仿宋_GBK" w:eastAsia="方正仿宋_GBK" w:cs="方正仿宋_GBK"/>
                <w:color w:val="auto"/>
                <w:kern w:val="0"/>
                <w:sz w:val="24"/>
                <w:szCs w:val="24"/>
                <w:lang w:eastAsia="zh-CN"/>
              </w:rPr>
              <w:t>市场监管</w:t>
            </w:r>
            <w:r>
              <w:rPr>
                <w:rFonts w:hint="eastAsia" w:ascii="方正仿宋_GBK" w:hAnsi="方正仿宋_GBK" w:eastAsia="方正仿宋_GBK" w:cs="方正仿宋_GBK"/>
                <w:color w:val="auto"/>
                <w:kern w:val="0"/>
                <w:sz w:val="24"/>
                <w:szCs w:val="24"/>
              </w:rPr>
              <w:t>所</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全年</w:t>
            </w:r>
          </w:p>
        </w:tc>
        <w:tc>
          <w:tcPr>
            <w:tcW w:w="1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r>
      <w:tr>
        <w:tblPrEx>
          <w:tblCellMar>
            <w:top w:w="0" w:type="dxa"/>
            <w:left w:w="108" w:type="dxa"/>
            <w:bottom w:w="0" w:type="dxa"/>
            <w:right w:w="108" w:type="dxa"/>
          </w:tblCellMar>
        </w:tblPrEx>
        <w:trPr>
          <w:trHeight w:val="499" w:hRule="atLeast"/>
        </w:trPr>
        <w:tc>
          <w:tcPr>
            <w:tcW w:w="62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2</w:t>
            </w:r>
          </w:p>
        </w:tc>
        <w:tc>
          <w:tcPr>
            <w:tcW w:w="16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餐饮服务监督检查</w:t>
            </w:r>
          </w:p>
        </w:tc>
        <w:tc>
          <w:tcPr>
            <w:tcW w:w="27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餐饮具清洗消毒情况的检查</w:t>
            </w:r>
          </w:p>
        </w:tc>
        <w:tc>
          <w:tcPr>
            <w:tcW w:w="7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3%</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0.30%</w:t>
            </w:r>
          </w:p>
        </w:tc>
        <w:tc>
          <w:tcPr>
            <w:tcW w:w="7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0.30%</w:t>
            </w:r>
          </w:p>
        </w:tc>
        <w:tc>
          <w:tcPr>
            <w:tcW w:w="7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分局</w:t>
            </w:r>
          </w:p>
        </w:tc>
        <w:tc>
          <w:tcPr>
            <w:tcW w:w="1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葛店</w:t>
            </w:r>
            <w:r>
              <w:rPr>
                <w:rFonts w:hint="eastAsia" w:ascii="方正仿宋_GBK" w:hAnsi="方正仿宋_GBK" w:eastAsia="方正仿宋_GBK" w:cs="方正仿宋_GBK"/>
                <w:color w:val="auto"/>
                <w:kern w:val="0"/>
                <w:sz w:val="24"/>
                <w:szCs w:val="24"/>
                <w:lang w:eastAsia="zh-CN"/>
              </w:rPr>
              <w:t>市场监管</w:t>
            </w:r>
            <w:r>
              <w:rPr>
                <w:rFonts w:hint="eastAsia" w:ascii="方正仿宋_GBK" w:hAnsi="方正仿宋_GBK" w:eastAsia="方正仿宋_GBK" w:cs="方正仿宋_GBK"/>
                <w:color w:val="auto"/>
                <w:kern w:val="0"/>
                <w:sz w:val="24"/>
                <w:szCs w:val="24"/>
              </w:rPr>
              <w:t>所</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全年</w:t>
            </w:r>
          </w:p>
        </w:tc>
        <w:tc>
          <w:tcPr>
            <w:tcW w:w="1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r>
      <w:tr>
        <w:tblPrEx>
          <w:tblCellMar>
            <w:top w:w="0" w:type="dxa"/>
            <w:left w:w="108" w:type="dxa"/>
            <w:bottom w:w="0" w:type="dxa"/>
            <w:right w:w="108" w:type="dxa"/>
          </w:tblCellMar>
        </w:tblPrEx>
        <w:trPr>
          <w:trHeight w:val="499" w:hRule="atLeast"/>
        </w:trPr>
        <w:tc>
          <w:tcPr>
            <w:tcW w:w="62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3</w:t>
            </w:r>
          </w:p>
        </w:tc>
        <w:tc>
          <w:tcPr>
            <w:tcW w:w="16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价格行为检查</w:t>
            </w:r>
          </w:p>
        </w:tc>
        <w:tc>
          <w:tcPr>
            <w:tcW w:w="27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执行政府定价、政府指导价情况、明码标价情况及其他价格行为的检查</w:t>
            </w:r>
          </w:p>
        </w:tc>
        <w:tc>
          <w:tcPr>
            <w:tcW w:w="7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1%</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分局</w:t>
            </w:r>
          </w:p>
        </w:tc>
        <w:tc>
          <w:tcPr>
            <w:tcW w:w="1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lang w:eastAsia="zh-CN"/>
              </w:rPr>
            </w:pPr>
            <w:r>
              <w:rPr>
                <w:rFonts w:hint="eastAsia" w:ascii="方正仿宋_GBK" w:hAnsi="方正仿宋_GBK" w:eastAsia="方正仿宋_GBK" w:cs="方正仿宋_GBK"/>
                <w:color w:val="auto"/>
                <w:kern w:val="0"/>
                <w:sz w:val="24"/>
                <w:szCs w:val="24"/>
                <w:lang w:eastAsia="zh-CN"/>
              </w:rPr>
              <w:t>价监网监反不正当竞争股</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全年</w:t>
            </w:r>
          </w:p>
        </w:tc>
        <w:tc>
          <w:tcPr>
            <w:tcW w:w="1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r>
      <w:tr>
        <w:tblPrEx>
          <w:tblCellMar>
            <w:top w:w="0" w:type="dxa"/>
            <w:left w:w="108" w:type="dxa"/>
            <w:bottom w:w="0" w:type="dxa"/>
            <w:right w:w="108" w:type="dxa"/>
          </w:tblCellMar>
        </w:tblPrEx>
        <w:trPr>
          <w:trHeight w:val="499" w:hRule="atLeast"/>
        </w:trPr>
        <w:tc>
          <w:tcPr>
            <w:tcW w:w="627"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4</w:t>
            </w:r>
          </w:p>
        </w:tc>
        <w:tc>
          <w:tcPr>
            <w:tcW w:w="1695"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食品销售监督检查</w:t>
            </w:r>
          </w:p>
        </w:tc>
        <w:tc>
          <w:tcPr>
            <w:tcW w:w="27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校园食品销售监督检查</w:t>
            </w:r>
          </w:p>
        </w:tc>
        <w:tc>
          <w:tcPr>
            <w:tcW w:w="7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0.30%</w:t>
            </w:r>
          </w:p>
        </w:tc>
        <w:tc>
          <w:tcPr>
            <w:tcW w:w="7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9"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分局</w:t>
            </w:r>
          </w:p>
        </w:tc>
        <w:tc>
          <w:tcPr>
            <w:tcW w:w="1980"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葛店</w:t>
            </w:r>
            <w:r>
              <w:rPr>
                <w:rFonts w:hint="eastAsia" w:ascii="方正仿宋_GBK" w:hAnsi="方正仿宋_GBK" w:eastAsia="方正仿宋_GBK" w:cs="方正仿宋_GBK"/>
                <w:color w:val="auto"/>
                <w:kern w:val="0"/>
                <w:sz w:val="24"/>
                <w:szCs w:val="24"/>
                <w:lang w:eastAsia="zh-CN"/>
              </w:rPr>
              <w:t>市场监管</w:t>
            </w:r>
            <w:r>
              <w:rPr>
                <w:rFonts w:hint="eastAsia" w:ascii="方正仿宋_GBK" w:hAnsi="方正仿宋_GBK" w:eastAsia="方正仿宋_GBK" w:cs="方正仿宋_GBK"/>
                <w:color w:val="auto"/>
                <w:kern w:val="0"/>
                <w:sz w:val="24"/>
                <w:szCs w:val="24"/>
              </w:rPr>
              <w:t>所、重点风险管控监管股</w:t>
            </w:r>
          </w:p>
        </w:tc>
        <w:tc>
          <w:tcPr>
            <w:tcW w:w="855" w:type="dxa"/>
            <w:vMerge w:val="restart"/>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全年</w:t>
            </w:r>
          </w:p>
        </w:tc>
        <w:tc>
          <w:tcPr>
            <w:tcW w:w="1986" w:type="dxa"/>
            <w:vMerge w:val="restart"/>
            <w:tcBorders>
              <w:top w:val="nil"/>
              <w:left w:val="single" w:color="auto" w:sz="4" w:space="0"/>
              <w:bottom w:val="single" w:color="000000"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r>
      <w:tr>
        <w:tblPrEx>
          <w:tblCellMar>
            <w:top w:w="0" w:type="dxa"/>
            <w:left w:w="108" w:type="dxa"/>
            <w:bottom w:w="0" w:type="dxa"/>
            <w:right w:w="108" w:type="dxa"/>
          </w:tblCellMar>
        </w:tblPrEx>
        <w:trPr>
          <w:trHeight w:val="499" w:hRule="atLeast"/>
        </w:trPr>
        <w:tc>
          <w:tcPr>
            <w:tcW w:w="62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6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27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高风险食品销售监督检查</w:t>
            </w:r>
          </w:p>
        </w:tc>
        <w:tc>
          <w:tcPr>
            <w:tcW w:w="7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0.30%</w:t>
            </w:r>
          </w:p>
        </w:tc>
        <w:tc>
          <w:tcPr>
            <w:tcW w:w="7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85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986"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r>
      <w:tr>
        <w:tblPrEx>
          <w:tblCellMar>
            <w:top w:w="0" w:type="dxa"/>
            <w:left w:w="108" w:type="dxa"/>
            <w:bottom w:w="0" w:type="dxa"/>
            <w:right w:w="108" w:type="dxa"/>
          </w:tblCellMar>
        </w:tblPrEx>
        <w:trPr>
          <w:trHeight w:val="499" w:hRule="atLeast"/>
        </w:trPr>
        <w:tc>
          <w:tcPr>
            <w:tcW w:w="627"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695"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27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一般风险食品销售监督检查</w:t>
            </w:r>
          </w:p>
        </w:tc>
        <w:tc>
          <w:tcPr>
            <w:tcW w:w="7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3%</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9"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980"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855" w:type="dxa"/>
            <w:vMerge w:val="continue"/>
            <w:tcBorders>
              <w:top w:val="nil"/>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c>
          <w:tcPr>
            <w:tcW w:w="1986" w:type="dxa"/>
            <w:vMerge w:val="continue"/>
            <w:tcBorders>
              <w:top w:val="nil"/>
              <w:left w:val="single" w:color="auto" w:sz="4" w:space="0"/>
              <w:bottom w:val="single" w:color="000000"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p>
        </w:tc>
      </w:tr>
      <w:tr>
        <w:tblPrEx>
          <w:tblCellMar>
            <w:top w:w="0" w:type="dxa"/>
            <w:left w:w="108" w:type="dxa"/>
            <w:bottom w:w="0" w:type="dxa"/>
            <w:right w:w="108" w:type="dxa"/>
          </w:tblCellMar>
        </w:tblPrEx>
        <w:trPr>
          <w:trHeight w:val="499" w:hRule="atLeast"/>
        </w:trPr>
        <w:tc>
          <w:tcPr>
            <w:tcW w:w="62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5</w:t>
            </w:r>
          </w:p>
        </w:tc>
        <w:tc>
          <w:tcPr>
            <w:tcW w:w="16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食品生产监督检查</w:t>
            </w:r>
          </w:p>
        </w:tc>
        <w:tc>
          <w:tcPr>
            <w:tcW w:w="27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食品生产监督检查</w:t>
            </w:r>
          </w:p>
        </w:tc>
        <w:tc>
          <w:tcPr>
            <w:tcW w:w="7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5%</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分局</w:t>
            </w:r>
          </w:p>
        </w:tc>
        <w:tc>
          <w:tcPr>
            <w:tcW w:w="1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葛店</w:t>
            </w:r>
            <w:r>
              <w:rPr>
                <w:rFonts w:hint="eastAsia" w:ascii="方正仿宋_GBK" w:hAnsi="方正仿宋_GBK" w:eastAsia="方正仿宋_GBK" w:cs="方正仿宋_GBK"/>
                <w:color w:val="auto"/>
                <w:kern w:val="0"/>
                <w:sz w:val="24"/>
                <w:szCs w:val="24"/>
                <w:lang w:eastAsia="zh-CN"/>
              </w:rPr>
              <w:t>市场监管</w:t>
            </w:r>
            <w:r>
              <w:rPr>
                <w:rFonts w:hint="eastAsia" w:ascii="方正仿宋_GBK" w:hAnsi="方正仿宋_GBK" w:eastAsia="方正仿宋_GBK" w:cs="方正仿宋_GBK"/>
                <w:color w:val="auto"/>
                <w:kern w:val="0"/>
                <w:sz w:val="24"/>
                <w:szCs w:val="24"/>
              </w:rPr>
              <w:t>所</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全年</w:t>
            </w:r>
          </w:p>
        </w:tc>
        <w:tc>
          <w:tcPr>
            <w:tcW w:w="1986" w:type="dxa"/>
            <w:tcBorders>
              <w:top w:val="nil"/>
              <w:left w:val="nil"/>
              <w:bottom w:val="nil"/>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left"/>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xml:space="preserve"> 获证食品生产企业《食品安全法》第一百一十条</w:t>
            </w:r>
            <w:r>
              <w:rPr>
                <w:rFonts w:hint="eastAsia" w:ascii="方正仿宋_GBK" w:hAnsi="方正仿宋_GBK" w:eastAsia="方正仿宋_GBK" w:cs="方正仿宋_GBK"/>
                <w:color w:val="auto"/>
                <w:kern w:val="0"/>
                <w:sz w:val="24"/>
                <w:szCs w:val="24"/>
              </w:rPr>
              <w:br w:type="textWrapping"/>
            </w:r>
            <w:r>
              <w:rPr>
                <w:rFonts w:hint="eastAsia" w:ascii="方正仿宋_GBK" w:hAnsi="方正仿宋_GBK" w:eastAsia="方正仿宋_GBK" w:cs="方正仿宋_GBK"/>
                <w:color w:val="auto"/>
                <w:kern w:val="0"/>
                <w:sz w:val="24"/>
                <w:szCs w:val="24"/>
              </w:rPr>
              <w:t>《食品生产经营日常监督检查管理办法》</w:t>
            </w:r>
          </w:p>
        </w:tc>
      </w:tr>
      <w:tr>
        <w:tblPrEx>
          <w:tblCellMar>
            <w:top w:w="0" w:type="dxa"/>
            <w:left w:w="108" w:type="dxa"/>
            <w:bottom w:w="0" w:type="dxa"/>
            <w:right w:w="108" w:type="dxa"/>
          </w:tblCellMar>
        </w:tblPrEx>
        <w:trPr>
          <w:trHeight w:val="499" w:hRule="atLeast"/>
        </w:trPr>
        <w:tc>
          <w:tcPr>
            <w:tcW w:w="62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6</w:t>
            </w:r>
          </w:p>
        </w:tc>
        <w:tc>
          <w:tcPr>
            <w:tcW w:w="16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特种设备使用单位监督检查</w:t>
            </w:r>
          </w:p>
        </w:tc>
        <w:tc>
          <w:tcPr>
            <w:tcW w:w="27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对特种设备使用单位的监督检查</w:t>
            </w:r>
          </w:p>
        </w:tc>
        <w:tc>
          <w:tcPr>
            <w:tcW w:w="7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5%</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分局</w:t>
            </w:r>
          </w:p>
        </w:tc>
        <w:tc>
          <w:tcPr>
            <w:tcW w:w="1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岱庙</w:t>
            </w:r>
            <w:r>
              <w:rPr>
                <w:rFonts w:hint="eastAsia" w:ascii="方正仿宋_GBK" w:hAnsi="方正仿宋_GBK" w:eastAsia="方正仿宋_GBK" w:cs="方正仿宋_GBK"/>
                <w:color w:val="auto"/>
                <w:kern w:val="0"/>
                <w:sz w:val="24"/>
                <w:szCs w:val="24"/>
                <w:lang w:eastAsia="zh-CN"/>
              </w:rPr>
              <w:t>市场监管</w:t>
            </w:r>
            <w:r>
              <w:rPr>
                <w:rFonts w:hint="eastAsia" w:ascii="方正仿宋_GBK" w:hAnsi="方正仿宋_GBK" w:eastAsia="方正仿宋_GBK" w:cs="方正仿宋_GBK"/>
                <w:color w:val="auto"/>
                <w:kern w:val="0"/>
                <w:sz w:val="24"/>
                <w:szCs w:val="24"/>
              </w:rPr>
              <w:t>所</w:t>
            </w:r>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全年</w:t>
            </w:r>
          </w:p>
        </w:tc>
        <w:tc>
          <w:tcPr>
            <w:tcW w:w="1986" w:type="dxa"/>
            <w:tcBorders>
              <w:top w:val="single" w:color="auto" w:sz="4" w:space="0"/>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r>
      <w:tr>
        <w:tblPrEx>
          <w:tblCellMar>
            <w:top w:w="0" w:type="dxa"/>
            <w:left w:w="108" w:type="dxa"/>
            <w:bottom w:w="0" w:type="dxa"/>
            <w:right w:w="108" w:type="dxa"/>
          </w:tblCellMar>
        </w:tblPrEx>
        <w:trPr>
          <w:trHeight w:val="499" w:hRule="atLeast"/>
        </w:trPr>
        <w:tc>
          <w:tcPr>
            <w:tcW w:w="627" w:type="dxa"/>
            <w:tcBorders>
              <w:top w:val="nil"/>
              <w:left w:val="single" w:color="auto" w:sz="4" w:space="0"/>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7</w:t>
            </w:r>
          </w:p>
        </w:tc>
        <w:tc>
          <w:tcPr>
            <w:tcW w:w="16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商标代理行为的检查</w:t>
            </w:r>
          </w:p>
        </w:tc>
        <w:tc>
          <w:tcPr>
            <w:tcW w:w="274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商标代理行为的检查</w:t>
            </w:r>
          </w:p>
        </w:tc>
        <w:tc>
          <w:tcPr>
            <w:tcW w:w="73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100%</w:t>
            </w:r>
          </w:p>
        </w:tc>
        <w:tc>
          <w:tcPr>
            <w:tcW w:w="79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5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61"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99"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分局</w:t>
            </w:r>
          </w:p>
        </w:tc>
        <w:tc>
          <w:tcPr>
            <w:tcW w:w="1980"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岱庙</w:t>
            </w:r>
            <w:r>
              <w:rPr>
                <w:rFonts w:hint="eastAsia" w:ascii="方正仿宋_GBK" w:hAnsi="方正仿宋_GBK" w:eastAsia="方正仿宋_GBK" w:cs="方正仿宋_GBK"/>
                <w:color w:val="auto"/>
                <w:kern w:val="0"/>
                <w:sz w:val="24"/>
                <w:szCs w:val="24"/>
                <w:lang w:eastAsia="zh-CN"/>
              </w:rPr>
              <w:t>市场监管</w:t>
            </w:r>
            <w:r>
              <w:rPr>
                <w:rFonts w:hint="eastAsia" w:ascii="方正仿宋_GBK" w:hAnsi="方正仿宋_GBK" w:eastAsia="方正仿宋_GBK" w:cs="方正仿宋_GBK"/>
                <w:color w:val="auto"/>
                <w:kern w:val="0"/>
                <w:sz w:val="24"/>
                <w:szCs w:val="24"/>
              </w:rPr>
              <w:t>所</w:t>
            </w:r>
            <w:bookmarkStart w:id="0" w:name="_GoBack"/>
            <w:bookmarkEnd w:id="0"/>
          </w:p>
        </w:tc>
        <w:tc>
          <w:tcPr>
            <w:tcW w:w="855"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全年</w:t>
            </w:r>
          </w:p>
        </w:tc>
        <w:tc>
          <w:tcPr>
            <w:tcW w:w="1986" w:type="dxa"/>
            <w:tcBorders>
              <w:top w:val="nil"/>
              <w:left w:val="nil"/>
              <w:bottom w:val="single" w:color="auto" w:sz="4" w:space="0"/>
              <w:right w:val="single" w:color="auto"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exact"/>
              <w:ind w:left="0" w:leftChars="0" w:firstLine="0" w:firstLineChars="0"/>
              <w:jc w:val="center"/>
              <w:textAlignment w:val="auto"/>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r>
      <w:tr>
        <w:tblPrEx>
          <w:tblCellMar>
            <w:top w:w="0" w:type="dxa"/>
            <w:left w:w="108" w:type="dxa"/>
            <w:bottom w:w="0" w:type="dxa"/>
            <w:right w:w="108" w:type="dxa"/>
          </w:tblCellMar>
        </w:tblPrEx>
        <w:trPr>
          <w:trHeight w:val="285" w:hRule="atLeast"/>
        </w:trPr>
        <w:tc>
          <w:tcPr>
            <w:tcW w:w="627"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1695"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2745"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735"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795"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750"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761"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1080"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799"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1980"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855"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c>
          <w:tcPr>
            <w:tcW w:w="1986" w:type="dxa"/>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ascii="宋体" w:hAnsi="宋体" w:eastAsia="宋体" w:cs="宋体"/>
                <w:color w:val="auto"/>
                <w:kern w:val="0"/>
                <w:sz w:val="24"/>
                <w:szCs w:val="24"/>
              </w:rPr>
            </w:pPr>
          </w:p>
        </w:tc>
      </w:tr>
    </w:tbl>
    <w:p>
      <w:pPr>
        <w:widowControl/>
        <w:spacing w:line="240" w:lineRule="auto"/>
        <w:ind w:left="0" w:leftChars="0" w:firstLine="0" w:firstLineChars="0"/>
        <w:jc w:val="center"/>
        <w:rPr>
          <w:rFonts w:hint="eastAsia" w:ascii="黑体" w:hAnsi="黑体" w:eastAsia="黑体" w:cs="宋体"/>
          <w:color w:val="auto"/>
          <w:kern w:val="0"/>
          <w:sz w:val="48"/>
          <w:szCs w:val="48"/>
        </w:rPr>
        <w:sectPr>
          <w:pgSz w:w="16838" w:h="11906" w:orient="landscape"/>
          <w:pgMar w:top="1797" w:right="1440" w:bottom="1797" w:left="1440" w:header="851" w:footer="992" w:gutter="0"/>
          <w:pgNumType w:fmt="numberInDash"/>
          <w:cols w:space="425" w:num="1"/>
          <w:docGrid w:type="linesAndChars" w:linePitch="312" w:charSpace="0"/>
        </w:sectPr>
      </w:pPr>
    </w:p>
    <w:tbl>
      <w:tblPr>
        <w:tblStyle w:val="5"/>
        <w:tblW w:w="14808" w:type="dxa"/>
        <w:tblInd w:w="93" w:type="dxa"/>
        <w:tblLayout w:type="autofit"/>
        <w:tblCellMar>
          <w:top w:w="0" w:type="dxa"/>
          <w:left w:w="108" w:type="dxa"/>
          <w:bottom w:w="0" w:type="dxa"/>
          <w:right w:w="108" w:type="dxa"/>
        </w:tblCellMar>
      </w:tblPr>
      <w:tblGrid>
        <w:gridCol w:w="880"/>
        <w:gridCol w:w="1780"/>
        <w:gridCol w:w="2192"/>
        <w:gridCol w:w="616"/>
        <w:gridCol w:w="770"/>
        <w:gridCol w:w="770"/>
        <w:gridCol w:w="1100"/>
        <w:gridCol w:w="1080"/>
        <w:gridCol w:w="1060"/>
        <w:gridCol w:w="2180"/>
        <w:gridCol w:w="1060"/>
        <w:gridCol w:w="1320"/>
      </w:tblGrid>
      <w:tr>
        <w:tblPrEx>
          <w:tblCellMar>
            <w:top w:w="0" w:type="dxa"/>
            <w:left w:w="108" w:type="dxa"/>
            <w:bottom w:w="0" w:type="dxa"/>
            <w:right w:w="108" w:type="dxa"/>
          </w:tblCellMar>
        </w:tblPrEx>
        <w:trPr>
          <w:trHeight w:val="630" w:hRule="atLeast"/>
        </w:trPr>
        <w:tc>
          <w:tcPr>
            <w:tcW w:w="14808" w:type="dxa"/>
            <w:gridSpan w:val="12"/>
            <w:tcBorders>
              <w:top w:val="nil"/>
              <w:left w:val="nil"/>
              <w:bottom w:val="nil"/>
              <w:right w:val="nil"/>
            </w:tcBorders>
            <w:shd w:val="clear" w:color="auto" w:fill="auto"/>
            <w:noWrap/>
            <w:vAlign w:val="center"/>
          </w:tcPr>
          <w:p>
            <w:pPr>
              <w:widowControl/>
              <w:spacing w:line="240" w:lineRule="auto"/>
              <w:ind w:left="0" w:leftChars="0" w:firstLine="0" w:firstLineChars="0"/>
              <w:jc w:val="left"/>
              <w:rPr>
                <w:rFonts w:hint="default" w:ascii="黑体" w:hAnsi="黑体" w:eastAsia="黑体" w:cs="宋体"/>
                <w:color w:val="auto"/>
                <w:kern w:val="0"/>
                <w:sz w:val="32"/>
                <w:szCs w:val="32"/>
                <w:lang w:val="en-US" w:eastAsia="zh-CN"/>
              </w:rPr>
            </w:pPr>
            <w:r>
              <w:rPr>
                <w:rFonts w:hint="eastAsia" w:ascii="黑体" w:hAnsi="黑体" w:eastAsia="黑体" w:cs="宋体"/>
                <w:color w:val="auto"/>
                <w:kern w:val="0"/>
                <w:sz w:val="32"/>
                <w:szCs w:val="32"/>
                <w:lang w:eastAsia="zh-CN"/>
              </w:rPr>
              <w:t>附件</w:t>
            </w:r>
            <w:r>
              <w:rPr>
                <w:rFonts w:hint="eastAsia" w:ascii="黑体" w:hAnsi="黑体" w:eastAsia="黑体" w:cs="宋体"/>
                <w:color w:val="auto"/>
                <w:kern w:val="0"/>
                <w:sz w:val="32"/>
                <w:szCs w:val="32"/>
                <w:lang w:val="en-US" w:eastAsia="zh-CN"/>
              </w:rPr>
              <w:t>2</w:t>
            </w:r>
          </w:p>
          <w:p>
            <w:pPr>
              <w:widowControl/>
              <w:spacing w:line="240" w:lineRule="auto"/>
              <w:ind w:left="0" w:leftChars="0" w:firstLine="0" w:firstLineChars="0"/>
              <w:jc w:val="center"/>
              <w:rPr>
                <w:rFonts w:ascii="黑体" w:hAnsi="黑体" w:eastAsia="黑体" w:cs="宋体"/>
                <w:color w:val="auto"/>
                <w:kern w:val="0"/>
                <w:sz w:val="48"/>
                <w:szCs w:val="48"/>
              </w:rPr>
            </w:pPr>
            <w:r>
              <w:rPr>
                <w:rFonts w:hint="eastAsia" w:ascii="黑体" w:hAnsi="黑体" w:eastAsia="黑体" w:cs="宋体"/>
                <w:color w:val="auto"/>
                <w:kern w:val="0"/>
                <w:sz w:val="48"/>
                <w:szCs w:val="48"/>
              </w:rPr>
              <w:t>2021年度葛店分局部门联合双随机抽查工作计划表</w:t>
            </w:r>
          </w:p>
        </w:tc>
      </w:tr>
      <w:tr>
        <w:tblPrEx>
          <w:tblCellMar>
            <w:top w:w="0" w:type="dxa"/>
            <w:left w:w="108" w:type="dxa"/>
            <w:bottom w:w="0" w:type="dxa"/>
            <w:right w:w="108" w:type="dxa"/>
          </w:tblCellMar>
        </w:tblPrEx>
        <w:trPr>
          <w:trHeight w:val="285" w:hRule="atLeast"/>
        </w:trPr>
        <w:tc>
          <w:tcPr>
            <w:tcW w:w="8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left="0" w:leftChars="0" w:firstLine="0" w:firstLineChars="0"/>
              <w:jc w:val="center"/>
              <w:rPr>
                <w:rFonts w:ascii="仿宋" w:hAnsi="仿宋" w:eastAsia="仿宋" w:cs="宋体"/>
                <w:b/>
                <w:bCs/>
                <w:color w:val="auto"/>
                <w:kern w:val="0"/>
                <w:sz w:val="24"/>
                <w:szCs w:val="24"/>
              </w:rPr>
            </w:pPr>
            <w:r>
              <w:rPr>
                <w:rFonts w:hint="eastAsia" w:ascii="仿宋" w:hAnsi="仿宋" w:eastAsia="仿宋" w:cs="宋体"/>
                <w:b/>
                <w:bCs/>
                <w:color w:val="auto"/>
                <w:kern w:val="0"/>
                <w:sz w:val="24"/>
                <w:szCs w:val="24"/>
              </w:rPr>
              <w:t>序号</w:t>
            </w:r>
          </w:p>
        </w:tc>
        <w:tc>
          <w:tcPr>
            <w:tcW w:w="17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left="0" w:leftChars="0" w:firstLine="0" w:firstLineChars="0"/>
              <w:jc w:val="center"/>
              <w:rPr>
                <w:rFonts w:ascii="仿宋" w:hAnsi="仿宋" w:eastAsia="仿宋" w:cs="宋体"/>
                <w:b/>
                <w:bCs/>
                <w:color w:val="auto"/>
                <w:kern w:val="0"/>
                <w:sz w:val="24"/>
                <w:szCs w:val="24"/>
              </w:rPr>
            </w:pPr>
            <w:r>
              <w:rPr>
                <w:rFonts w:hint="eastAsia" w:ascii="仿宋" w:hAnsi="仿宋" w:eastAsia="仿宋" w:cs="宋体"/>
                <w:b/>
                <w:bCs/>
                <w:color w:val="auto"/>
                <w:kern w:val="0"/>
                <w:sz w:val="24"/>
                <w:szCs w:val="24"/>
              </w:rPr>
              <w:t>抽查类别</w:t>
            </w:r>
          </w:p>
        </w:tc>
        <w:tc>
          <w:tcPr>
            <w:tcW w:w="230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left="0" w:leftChars="0" w:firstLine="0" w:firstLineChars="0"/>
              <w:jc w:val="center"/>
              <w:rPr>
                <w:rFonts w:ascii="仿宋" w:hAnsi="仿宋" w:eastAsia="仿宋" w:cs="宋体"/>
                <w:b/>
                <w:bCs/>
                <w:color w:val="auto"/>
                <w:kern w:val="0"/>
                <w:sz w:val="24"/>
                <w:szCs w:val="24"/>
              </w:rPr>
            </w:pPr>
            <w:r>
              <w:rPr>
                <w:rFonts w:hint="eastAsia" w:ascii="仿宋" w:hAnsi="仿宋" w:eastAsia="仿宋" w:cs="宋体"/>
                <w:b/>
                <w:bCs/>
                <w:color w:val="auto"/>
                <w:kern w:val="0"/>
                <w:sz w:val="24"/>
                <w:szCs w:val="24"/>
              </w:rPr>
              <w:t>抽查事项</w:t>
            </w:r>
          </w:p>
        </w:tc>
        <w:tc>
          <w:tcPr>
            <w:tcW w:w="4228" w:type="dxa"/>
            <w:gridSpan w:val="5"/>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ind w:left="0" w:leftChars="0" w:firstLine="0" w:firstLineChars="0"/>
              <w:jc w:val="center"/>
              <w:rPr>
                <w:rFonts w:ascii="仿宋" w:hAnsi="仿宋" w:eastAsia="仿宋" w:cs="宋体"/>
                <w:b/>
                <w:bCs/>
                <w:color w:val="auto"/>
                <w:kern w:val="0"/>
                <w:sz w:val="24"/>
                <w:szCs w:val="24"/>
              </w:rPr>
            </w:pPr>
            <w:r>
              <w:rPr>
                <w:rFonts w:hint="eastAsia" w:ascii="仿宋" w:hAnsi="仿宋" w:eastAsia="仿宋" w:cs="宋体"/>
                <w:b/>
                <w:bCs/>
                <w:color w:val="auto"/>
                <w:kern w:val="0"/>
                <w:sz w:val="24"/>
                <w:szCs w:val="24"/>
              </w:rPr>
              <w:t>抽查方式及数量</w:t>
            </w:r>
          </w:p>
        </w:tc>
        <w:tc>
          <w:tcPr>
            <w:tcW w:w="10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left="0" w:leftChars="0" w:firstLine="0" w:firstLineChars="0"/>
              <w:jc w:val="center"/>
              <w:rPr>
                <w:rFonts w:ascii="仿宋" w:hAnsi="仿宋" w:eastAsia="仿宋" w:cs="宋体"/>
                <w:b/>
                <w:bCs/>
                <w:color w:val="auto"/>
                <w:kern w:val="0"/>
                <w:sz w:val="24"/>
                <w:szCs w:val="24"/>
              </w:rPr>
            </w:pPr>
            <w:r>
              <w:rPr>
                <w:rFonts w:hint="eastAsia" w:ascii="仿宋" w:hAnsi="仿宋" w:eastAsia="仿宋" w:cs="宋体"/>
                <w:b/>
                <w:bCs/>
                <w:color w:val="auto"/>
                <w:kern w:val="0"/>
                <w:sz w:val="24"/>
                <w:szCs w:val="24"/>
              </w:rPr>
              <w:t>组织单位</w:t>
            </w:r>
          </w:p>
        </w:tc>
        <w:tc>
          <w:tcPr>
            <w:tcW w:w="218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left="0" w:leftChars="0" w:firstLine="0" w:firstLineChars="0"/>
              <w:jc w:val="center"/>
              <w:rPr>
                <w:rFonts w:ascii="仿宋" w:hAnsi="仿宋" w:eastAsia="仿宋" w:cs="宋体"/>
                <w:b/>
                <w:bCs/>
                <w:color w:val="auto"/>
                <w:kern w:val="0"/>
                <w:sz w:val="24"/>
                <w:szCs w:val="24"/>
              </w:rPr>
            </w:pPr>
            <w:r>
              <w:rPr>
                <w:rFonts w:hint="eastAsia" w:ascii="仿宋" w:hAnsi="仿宋" w:eastAsia="仿宋" w:cs="宋体"/>
                <w:b/>
                <w:bCs/>
                <w:color w:val="auto"/>
                <w:kern w:val="0"/>
                <w:sz w:val="24"/>
                <w:szCs w:val="24"/>
              </w:rPr>
              <w:t>实施单位</w:t>
            </w:r>
          </w:p>
        </w:tc>
        <w:tc>
          <w:tcPr>
            <w:tcW w:w="106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left="0" w:leftChars="0" w:firstLine="0" w:firstLineChars="0"/>
              <w:jc w:val="center"/>
              <w:rPr>
                <w:rFonts w:ascii="仿宋" w:hAnsi="仿宋" w:eastAsia="仿宋" w:cs="宋体"/>
                <w:b/>
                <w:bCs/>
                <w:color w:val="auto"/>
                <w:kern w:val="0"/>
                <w:sz w:val="24"/>
                <w:szCs w:val="24"/>
              </w:rPr>
            </w:pPr>
            <w:r>
              <w:rPr>
                <w:rFonts w:hint="eastAsia" w:ascii="仿宋" w:hAnsi="仿宋" w:eastAsia="仿宋" w:cs="宋体"/>
                <w:b/>
                <w:bCs/>
                <w:color w:val="auto"/>
                <w:kern w:val="0"/>
                <w:sz w:val="24"/>
                <w:szCs w:val="24"/>
              </w:rPr>
              <w:t>完成时限</w:t>
            </w:r>
          </w:p>
        </w:tc>
        <w:tc>
          <w:tcPr>
            <w:tcW w:w="1320" w:type="dxa"/>
            <w:vMerge w:val="restart"/>
            <w:tcBorders>
              <w:top w:val="single" w:color="auto" w:sz="4" w:space="0"/>
              <w:left w:val="single" w:color="auto" w:sz="4" w:space="0"/>
              <w:bottom w:val="single" w:color="000000" w:sz="4" w:space="0"/>
              <w:right w:val="single" w:color="auto" w:sz="4" w:space="0"/>
            </w:tcBorders>
            <w:shd w:val="clear" w:color="auto" w:fill="auto"/>
            <w:vAlign w:val="center"/>
          </w:tcPr>
          <w:p>
            <w:pPr>
              <w:widowControl/>
              <w:spacing w:line="240" w:lineRule="auto"/>
              <w:ind w:left="0" w:leftChars="0" w:firstLine="0" w:firstLineChars="0"/>
              <w:jc w:val="center"/>
              <w:rPr>
                <w:rFonts w:ascii="仿宋" w:hAnsi="仿宋" w:eastAsia="仿宋" w:cs="宋体"/>
                <w:b/>
                <w:bCs/>
                <w:color w:val="auto"/>
                <w:kern w:val="0"/>
                <w:sz w:val="24"/>
                <w:szCs w:val="24"/>
              </w:rPr>
            </w:pPr>
            <w:r>
              <w:rPr>
                <w:rFonts w:hint="eastAsia" w:ascii="仿宋" w:hAnsi="仿宋" w:eastAsia="仿宋" w:cs="宋体"/>
                <w:b/>
                <w:bCs/>
                <w:color w:val="auto"/>
                <w:kern w:val="0"/>
                <w:sz w:val="24"/>
                <w:szCs w:val="24"/>
              </w:rPr>
              <w:t>备注</w:t>
            </w:r>
          </w:p>
        </w:tc>
      </w:tr>
      <w:tr>
        <w:tblPrEx>
          <w:tblCellMar>
            <w:top w:w="0" w:type="dxa"/>
            <w:left w:w="108" w:type="dxa"/>
            <w:bottom w:w="0" w:type="dxa"/>
            <w:right w:w="108" w:type="dxa"/>
          </w:tblCellMar>
        </w:tblPrEx>
        <w:trPr>
          <w:trHeight w:val="285" w:hRule="atLeast"/>
        </w:trPr>
        <w:tc>
          <w:tcPr>
            <w:tcW w:w="8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17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230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3148" w:type="dxa"/>
            <w:gridSpan w:val="4"/>
            <w:tcBorders>
              <w:top w:val="single" w:color="auto" w:sz="4" w:space="0"/>
              <w:left w:val="nil"/>
              <w:bottom w:val="single" w:color="auto" w:sz="4" w:space="0"/>
              <w:right w:val="single" w:color="000000" w:sz="4" w:space="0"/>
            </w:tcBorders>
            <w:shd w:val="clear" w:color="auto" w:fill="auto"/>
            <w:vAlign w:val="center"/>
          </w:tcPr>
          <w:p>
            <w:pPr>
              <w:widowControl/>
              <w:spacing w:line="240" w:lineRule="auto"/>
              <w:ind w:left="0" w:leftChars="0" w:firstLine="0" w:firstLineChars="0"/>
              <w:jc w:val="center"/>
              <w:rPr>
                <w:rFonts w:ascii="仿宋" w:hAnsi="仿宋" w:eastAsia="仿宋" w:cs="宋体"/>
                <w:b/>
                <w:bCs/>
                <w:color w:val="auto"/>
                <w:kern w:val="0"/>
                <w:sz w:val="22"/>
              </w:rPr>
            </w:pPr>
            <w:r>
              <w:rPr>
                <w:rFonts w:hint="eastAsia" w:ascii="仿宋" w:hAnsi="仿宋" w:eastAsia="仿宋" w:cs="宋体"/>
                <w:b/>
                <w:bCs/>
                <w:color w:val="auto"/>
                <w:kern w:val="0"/>
                <w:sz w:val="22"/>
              </w:rPr>
              <w:t>抽查比例或户数</w:t>
            </w:r>
          </w:p>
        </w:tc>
        <w:tc>
          <w:tcPr>
            <w:tcW w:w="1080" w:type="dxa"/>
            <w:vMerge w:val="restart"/>
            <w:tcBorders>
              <w:top w:val="nil"/>
              <w:left w:val="single" w:color="auto" w:sz="4" w:space="0"/>
              <w:bottom w:val="single" w:color="000000" w:sz="4" w:space="0"/>
              <w:right w:val="single" w:color="auto" w:sz="4" w:space="0"/>
            </w:tcBorders>
            <w:shd w:val="clear" w:color="auto" w:fill="auto"/>
            <w:vAlign w:val="center"/>
          </w:tcPr>
          <w:p>
            <w:pPr>
              <w:widowControl/>
              <w:spacing w:line="240" w:lineRule="auto"/>
              <w:ind w:left="0" w:leftChars="0" w:firstLine="0" w:firstLineChars="0"/>
              <w:jc w:val="center"/>
              <w:rPr>
                <w:rFonts w:ascii="仿宋" w:hAnsi="仿宋" w:eastAsia="仿宋" w:cs="宋体"/>
                <w:b/>
                <w:bCs/>
                <w:color w:val="auto"/>
                <w:kern w:val="0"/>
                <w:sz w:val="22"/>
              </w:rPr>
            </w:pPr>
            <w:r>
              <w:rPr>
                <w:rFonts w:hint="eastAsia" w:ascii="仿宋" w:hAnsi="仿宋" w:eastAsia="仿宋" w:cs="宋体"/>
                <w:b/>
                <w:bCs/>
                <w:color w:val="auto"/>
                <w:kern w:val="0"/>
                <w:sz w:val="22"/>
              </w:rPr>
              <w:t>抽样检验批次数量</w:t>
            </w:r>
          </w:p>
        </w:tc>
        <w:tc>
          <w:tcPr>
            <w:tcW w:w="106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21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106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13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r>
      <w:tr>
        <w:tblPrEx>
          <w:tblCellMar>
            <w:top w:w="0" w:type="dxa"/>
            <w:left w:w="108" w:type="dxa"/>
            <w:bottom w:w="0" w:type="dxa"/>
            <w:right w:w="108" w:type="dxa"/>
          </w:tblCellMar>
        </w:tblPrEx>
        <w:trPr>
          <w:trHeight w:val="285" w:hRule="atLeast"/>
        </w:trPr>
        <w:tc>
          <w:tcPr>
            <w:tcW w:w="8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17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230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616"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left"/>
              <w:rPr>
                <w:rFonts w:ascii="仿宋" w:hAnsi="仿宋" w:eastAsia="仿宋" w:cs="宋体"/>
                <w:b/>
                <w:bCs/>
                <w:color w:val="auto"/>
                <w:kern w:val="0"/>
                <w:sz w:val="22"/>
              </w:rPr>
            </w:pPr>
            <w:r>
              <w:rPr>
                <w:rFonts w:hint="eastAsia" w:ascii="仿宋" w:hAnsi="仿宋" w:eastAsia="仿宋" w:cs="宋体"/>
                <w:b/>
                <w:bCs/>
                <w:color w:val="auto"/>
                <w:kern w:val="0"/>
                <w:sz w:val="22"/>
              </w:rPr>
              <w:t>企业</w:t>
            </w:r>
          </w:p>
        </w:tc>
        <w:tc>
          <w:tcPr>
            <w:tcW w:w="716"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left"/>
              <w:rPr>
                <w:rFonts w:ascii="仿宋" w:hAnsi="仿宋" w:eastAsia="仿宋" w:cs="宋体"/>
                <w:b/>
                <w:bCs/>
                <w:color w:val="auto"/>
                <w:kern w:val="0"/>
                <w:sz w:val="22"/>
              </w:rPr>
            </w:pPr>
            <w:r>
              <w:rPr>
                <w:rFonts w:hint="eastAsia" w:ascii="仿宋" w:hAnsi="仿宋" w:eastAsia="仿宋" w:cs="宋体"/>
                <w:b/>
                <w:bCs/>
                <w:color w:val="auto"/>
                <w:kern w:val="0"/>
                <w:sz w:val="22"/>
              </w:rPr>
              <w:t>个体</w:t>
            </w:r>
          </w:p>
        </w:tc>
        <w:tc>
          <w:tcPr>
            <w:tcW w:w="716"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left"/>
              <w:rPr>
                <w:rFonts w:ascii="仿宋" w:hAnsi="仿宋" w:eastAsia="仿宋" w:cs="宋体"/>
                <w:b/>
                <w:bCs/>
                <w:color w:val="auto"/>
                <w:kern w:val="0"/>
                <w:sz w:val="22"/>
              </w:rPr>
            </w:pPr>
            <w:r>
              <w:rPr>
                <w:rFonts w:hint="eastAsia" w:ascii="仿宋" w:hAnsi="仿宋" w:eastAsia="仿宋" w:cs="宋体"/>
                <w:b/>
                <w:bCs/>
                <w:color w:val="auto"/>
                <w:kern w:val="0"/>
                <w:sz w:val="22"/>
              </w:rPr>
              <w:t>农专</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left"/>
              <w:rPr>
                <w:rFonts w:ascii="仿宋" w:hAnsi="仿宋" w:eastAsia="仿宋" w:cs="宋体"/>
                <w:b/>
                <w:bCs/>
                <w:color w:val="auto"/>
                <w:kern w:val="0"/>
                <w:sz w:val="22"/>
              </w:rPr>
            </w:pPr>
            <w:r>
              <w:rPr>
                <w:rFonts w:hint="eastAsia" w:ascii="仿宋" w:hAnsi="仿宋" w:eastAsia="仿宋" w:cs="宋体"/>
                <w:b/>
                <w:bCs/>
                <w:color w:val="auto"/>
                <w:kern w:val="0"/>
                <w:sz w:val="22"/>
              </w:rPr>
              <w:t>其他主体</w:t>
            </w:r>
          </w:p>
        </w:tc>
        <w:tc>
          <w:tcPr>
            <w:tcW w:w="1080" w:type="dxa"/>
            <w:vMerge w:val="continue"/>
            <w:tcBorders>
              <w:top w:val="nil"/>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b/>
                <w:bCs/>
                <w:color w:val="auto"/>
                <w:kern w:val="0"/>
                <w:sz w:val="22"/>
              </w:rPr>
            </w:pPr>
          </w:p>
        </w:tc>
        <w:tc>
          <w:tcPr>
            <w:tcW w:w="106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218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106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c>
          <w:tcPr>
            <w:tcW w:w="1320" w:type="dxa"/>
            <w:vMerge w:val="continue"/>
            <w:tcBorders>
              <w:top w:val="single" w:color="auto" w:sz="4" w:space="0"/>
              <w:left w:val="single" w:color="auto" w:sz="4" w:space="0"/>
              <w:bottom w:val="single" w:color="000000" w:sz="4" w:space="0"/>
              <w:right w:val="single" w:color="auto" w:sz="4" w:space="0"/>
            </w:tcBorders>
            <w:vAlign w:val="center"/>
          </w:tcPr>
          <w:p>
            <w:pPr>
              <w:widowControl/>
              <w:spacing w:line="240" w:lineRule="auto"/>
              <w:ind w:left="0" w:leftChars="0" w:firstLine="0" w:firstLineChars="0"/>
              <w:jc w:val="left"/>
              <w:rPr>
                <w:rFonts w:ascii="仿宋" w:hAnsi="仿宋" w:eastAsia="仿宋" w:cs="宋体"/>
                <w:color w:val="auto"/>
                <w:kern w:val="0"/>
                <w:sz w:val="22"/>
              </w:rPr>
            </w:pPr>
          </w:p>
        </w:tc>
      </w:tr>
      <w:tr>
        <w:tblPrEx>
          <w:tblCellMar>
            <w:top w:w="0" w:type="dxa"/>
            <w:left w:w="108" w:type="dxa"/>
            <w:bottom w:w="0" w:type="dxa"/>
            <w:right w:w="108" w:type="dxa"/>
          </w:tblCellMar>
        </w:tblPrEx>
        <w:trPr>
          <w:trHeight w:val="720" w:hRule="atLeast"/>
        </w:trPr>
        <w:tc>
          <w:tcPr>
            <w:tcW w:w="88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1</w:t>
            </w:r>
          </w:p>
        </w:tc>
        <w:tc>
          <w:tcPr>
            <w:tcW w:w="178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公示信息检查</w:t>
            </w:r>
          </w:p>
        </w:tc>
        <w:tc>
          <w:tcPr>
            <w:tcW w:w="230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年度报告公示信息的检查</w:t>
            </w:r>
          </w:p>
        </w:tc>
        <w:tc>
          <w:tcPr>
            <w:tcW w:w="616"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16"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716"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6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葛店分局、区人社局</w:t>
            </w:r>
          </w:p>
        </w:tc>
        <w:tc>
          <w:tcPr>
            <w:tcW w:w="218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葛店分局、区人社局</w:t>
            </w:r>
          </w:p>
        </w:tc>
        <w:tc>
          <w:tcPr>
            <w:tcW w:w="106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全年</w:t>
            </w:r>
          </w:p>
        </w:tc>
        <w:tc>
          <w:tcPr>
            <w:tcW w:w="132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联合抽查（对人力资源服务机构）</w:t>
            </w:r>
          </w:p>
        </w:tc>
      </w:tr>
      <w:tr>
        <w:tblPrEx>
          <w:tblCellMar>
            <w:top w:w="0" w:type="dxa"/>
            <w:left w:w="108" w:type="dxa"/>
            <w:bottom w:w="0" w:type="dxa"/>
            <w:right w:w="108" w:type="dxa"/>
          </w:tblCellMar>
        </w:tblPrEx>
        <w:trPr>
          <w:trHeight w:val="480" w:hRule="atLeast"/>
        </w:trPr>
        <w:tc>
          <w:tcPr>
            <w:tcW w:w="880" w:type="dxa"/>
            <w:tcBorders>
              <w:top w:val="nil"/>
              <w:left w:val="single" w:color="auto" w:sz="4" w:space="0"/>
              <w:bottom w:val="single" w:color="auto" w:sz="4" w:space="0"/>
              <w:right w:val="single" w:color="auto" w:sz="4" w:space="0"/>
            </w:tcBorders>
            <w:shd w:val="clear" w:color="000000" w:fill="FFFFFF"/>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2</w:t>
            </w:r>
          </w:p>
        </w:tc>
        <w:tc>
          <w:tcPr>
            <w:tcW w:w="178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餐饮服务监督检查</w:t>
            </w:r>
          </w:p>
        </w:tc>
        <w:tc>
          <w:tcPr>
            <w:tcW w:w="230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学校食堂食品安全情况的检查</w:t>
            </w:r>
          </w:p>
        </w:tc>
        <w:tc>
          <w:tcPr>
            <w:tcW w:w="616"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3%</w:t>
            </w:r>
          </w:p>
        </w:tc>
        <w:tc>
          <w:tcPr>
            <w:tcW w:w="716"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0.30%</w:t>
            </w:r>
          </w:p>
        </w:tc>
        <w:tc>
          <w:tcPr>
            <w:tcW w:w="716"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0.30%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　</w:t>
            </w:r>
          </w:p>
        </w:tc>
        <w:tc>
          <w:tcPr>
            <w:tcW w:w="106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葛店分局、区社发局</w:t>
            </w:r>
          </w:p>
        </w:tc>
        <w:tc>
          <w:tcPr>
            <w:tcW w:w="218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葛店分局、区社发局</w:t>
            </w:r>
          </w:p>
        </w:tc>
        <w:tc>
          <w:tcPr>
            <w:tcW w:w="106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全年</w:t>
            </w:r>
          </w:p>
        </w:tc>
        <w:tc>
          <w:tcPr>
            <w:tcW w:w="1320" w:type="dxa"/>
            <w:tcBorders>
              <w:top w:val="nil"/>
              <w:left w:val="nil"/>
              <w:bottom w:val="single" w:color="auto" w:sz="4" w:space="0"/>
              <w:right w:val="single" w:color="auto" w:sz="4" w:space="0"/>
            </w:tcBorders>
            <w:shd w:val="clear" w:color="auto" w:fill="auto"/>
            <w:vAlign w:val="center"/>
          </w:tcPr>
          <w:p>
            <w:pPr>
              <w:widowControl/>
              <w:spacing w:line="240" w:lineRule="auto"/>
              <w:ind w:left="0" w:leftChars="0" w:firstLine="0" w:firstLineChars="0"/>
              <w:jc w:val="center"/>
              <w:rPr>
                <w:rFonts w:hint="eastAsia" w:ascii="方正仿宋_GBK" w:hAnsi="方正仿宋_GBK" w:eastAsia="方正仿宋_GBK" w:cs="方正仿宋_GBK"/>
                <w:color w:val="auto"/>
                <w:kern w:val="0"/>
                <w:sz w:val="24"/>
                <w:szCs w:val="24"/>
              </w:rPr>
            </w:pPr>
            <w:r>
              <w:rPr>
                <w:rFonts w:hint="eastAsia" w:ascii="方正仿宋_GBK" w:hAnsi="方正仿宋_GBK" w:eastAsia="方正仿宋_GBK" w:cs="方正仿宋_GBK"/>
                <w:color w:val="auto"/>
                <w:kern w:val="0"/>
                <w:sz w:val="24"/>
                <w:szCs w:val="24"/>
              </w:rPr>
              <w:t>联合抽查</w:t>
            </w:r>
          </w:p>
        </w:tc>
      </w:tr>
    </w:tbl>
    <w:p>
      <w:pPr>
        <w:ind w:left="0" w:leftChars="0" w:firstLine="0" w:firstLineChars="0"/>
        <w:rPr>
          <w:color w:val="auto"/>
        </w:rPr>
      </w:pPr>
    </w:p>
    <w:sectPr>
      <w:pgSz w:w="16838" w:h="11906" w:orient="landscape"/>
      <w:pgMar w:top="1797" w:right="1440" w:bottom="1797" w:left="1440" w:header="851" w:footer="992" w:gutter="0"/>
      <w:pgNumType w:fmt="numberInDash"/>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15ADEA0-BDE9-4DB6-814A-AA6B1E2D9EA9}"/>
  </w:font>
  <w:font w:name="Arial">
    <w:panose1 w:val="020B0604020202020204"/>
    <w:charset w:val="01"/>
    <w:family w:val="swiss"/>
    <w:pitch w:val="default"/>
    <w:sig w:usb0="E0002AFF" w:usb1="C0007843" w:usb2="00000009" w:usb3="00000000" w:csb0="400001FF" w:csb1="FFFF0000"/>
    <w:embedRegular r:id="rId2" w:fontKey="{F63A543A-2E2E-407C-95F4-2F67670999C4}"/>
  </w:font>
  <w:font w:name="黑体">
    <w:panose1 w:val="02010609060101010101"/>
    <w:charset w:val="86"/>
    <w:family w:val="auto"/>
    <w:pitch w:val="default"/>
    <w:sig w:usb0="800002BF" w:usb1="38CF7CFA" w:usb2="00000016" w:usb3="00000000" w:csb0="00040001" w:csb1="00000000"/>
    <w:embedRegular r:id="rId3" w:fontKey="{8FF31DDF-4476-48C2-8161-24D5BE790712}"/>
  </w:font>
  <w:font w:name="Courier New">
    <w:panose1 w:val="02070309020205020404"/>
    <w:charset w:val="01"/>
    <w:family w:val="modern"/>
    <w:pitch w:val="default"/>
    <w:sig w:usb0="E0002AFF" w:usb1="C0007843" w:usb2="00000009" w:usb3="00000000" w:csb0="400001FF" w:csb1="FFFF0000"/>
    <w:embedRegular r:id="rId4" w:fontKey="{338B66DA-3767-4E25-8711-E942E492EDEC}"/>
  </w:font>
  <w:font w:name="Symbol">
    <w:panose1 w:val="05050102010706020507"/>
    <w:charset w:val="02"/>
    <w:family w:val="roman"/>
    <w:pitch w:val="default"/>
    <w:sig w:usb0="00000000" w:usb1="00000000" w:usb2="00000000" w:usb3="00000000" w:csb0="80000000" w:csb1="00000000"/>
    <w:embedRegular r:id="rId5" w:fontKey="{F2DB8336-0661-427A-956A-EC84936F5275}"/>
  </w:font>
  <w:font w:name="Calibri">
    <w:panose1 w:val="020F0502020204030204"/>
    <w:charset w:val="00"/>
    <w:family w:val="swiss"/>
    <w:pitch w:val="default"/>
    <w:sig w:usb0="E00002FF" w:usb1="4000ACFF" w:usb2="00000001" w:usb3="00000000" w:csb0="2000019F" w:csb1="00000000"/>
    <w:embedRegular r:id="rId6" w:fontKey="{639E6373-A41E-4BB9-B429-9BFE3EC9C896}"/>
  </w:font>
  <w:font w:name="方正小标宋简体">
    <w:panose1 w:val="02010601030101010101"/>
    <w:charset w:val="86"/>
    <w:family w:val="auto"/>
    <w:pitch w:val="default"/>
    <w:sig w:usb0="00000001" w:usb1="080E0000" w:usb2="00000000" w:usb3="00000000" w:csb0="00040000" w:csb1="00000000"/>
    <w:embedRegular r:id="rId7" w:fontKey="{93DE7081-F3C9-4498-9B81-03F05E7A7685}"/>
  </w:font>
  <w:font w:name="仿宋_GB2312">
    <w:panose1 w:val="02010609030101010101"/>
    <w:charset w:val="86"/>
    <w:family w:val="auto"/>
    <w:pitch w:val="default"/>
    <w:sig w:usb0="00000001" w:usb1="080E0000" w:usb2="00000000" w:usb3="00000000" w:csb0="00040000" w:csb1="00000000"/>
    <w:embedRegular r:id="rId8" w:fontKey="{38A47489-1099-4C3F-938D-FDFA39891F18}"/>
  </w:font>
  <w:font w:name="仿宋">
    <w:panose1 w:val="02010609060101010101"/>
    <w:charset w:val="86"/>
    <w:family w:val="modern"/>
    <w:pitch w:val="default"/>
    <w:sig w:usb0="800002BF" w:usb1="38CF7CFA" w:usb2="00000016" w:usb3="00000000" w:csb0="00040001" w:csb1="00000000"/>
    <w:embedRegular r:id="rId9" w:fontKey="{6A341A7E-2E18-436C-B066-9CD3F6818A45}"/>
  </w:font>
  <w:font w:name="方正黑体_GBK">
    <w:panose1 w:val="03000509000000000000"/>
    <w:charset w:val="86"/>
    <w:family w:val="auto"/>
    <w:pitch w:val="default"/>
    <w:sig w:usb0="00000001" w:usb1="080E0000" w:usb2="00000000" w:usb3="00000000" w:csb0="00040000" w:csb1="00000000"/>
    <w:embedRegular r:id="rId10" w:fontKey="{EF2293F3-0830-4499-B7E2-88C65CB0A700}"/>
  </w:font>
  <w:font w:name="方正仿宋_GBK">
    <w:panose1 w:val="03000509000000000000"/>
    <w:charset w:val="86"/>
    <w:family w:val="auto"/>
    <w:pitch w:val="default"/>
    <w:sig w:usb0="00000001" w:usb1="080E0000" w:usb2="00000000" w:usb3="00000000" w:csb0="00040000" w:csb1="00000000"/>
    <w:embedRegular r:id="rId11" w:fontKey="{BBFC8A76-5DFE-4CBE-87C7-919AE1882C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37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37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37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ind w:left="370" w:firstLine="360"/>
    </w:pPr>
    <w:r>
      <w:rPr>
        <w:sz w:val="18"/>
      </w:rPr>
      <w:pict>
        <v:shape id="_x0000_s2050" o:spid="_x0000_s2050" o:spt="202" type="#_x0000_t202" style="position:absolute;left:0pt;margin-top:-11.25pt;height:144pt;width:144pt;mso-position-horizontal:outside;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2"/>
                  <w:rPr>
                    <w:rFonts w:hint="eastAsia" w:eastAsiaTheme="minorEastAsia"/>
                    <w:lang w:eastAsia="zh-CN"/>
                  </w:rPr>
                </w:pPr>
                <w:r>
                  <w:rPr>
                    <w:rFonts w:hint="eastAsia" w:ascii="方正仿宋_GBK" w:hAnsi="方正仿宋_GBK" w:eastAsia="方正仿宋_GBK" w:cs="方正仿宋_GBK"/>
                    <w:sz w:val="28"/>
                    <w:szCs w:val="28"/>
                    <w:lang w:eastAsia="zh-CN"/>
                  </w:rPr>
                  <w:fldChar w:fldCharType="begin"/>
                </w:r>
                <w:r>
                  <w:rPr>
                    <w:rFonts w:hint="eastAsia" w:ascii="方正仿宋_GBK" w:hAnsi="方正仿宋_GBK" w:eastAsia="方正仿宋_GBK" w:cs="方正仿宋_GBK"/>
                    <w:sz w:val="28"/>
                    <w:szCs w:val="28"/>
                    <w:lang w:eastAsia="zh-CN"/>
                  </w:rPr>
                  <w:instrText xml:space="preserve"> PAGE  \* MERGEFORMAT </w:instrText>
                </w:r>
                <w:r>
                  <w:rPr>
                    <w:rFonts w:hint="eastAsia" w:ascii="方正仿宋_GBK" w:hAnsi="方正仿宋_GBK" w:eastAsia="方正仿宋_GBK" w:cs="方正仿宋_GBK"/>
                    <w:sz w:val="28"/>
                    <w:szCs w:val="28"/>
                    <w:lang w:eastAsia="zh-CN"/>
                  </w:rPr>
                  <w:fldChar w:fldCharType="separate"/>
                </w:r>
                <w:r>
                  <w:rPr>
                    <w:rFonts w:hint="eastAsia" w:ascii="方正仿宋_GBK" w:hAnsi="方正仿宋_GBK" w:eastAsia="方正仿宋_GBK" w:cs="方正仿宋_GBK"/>
                    <w:sz w:val="28"/>
                    <w:szCs w:val="28"/>
                    <w:lang w:eastAsia="zh-CN"/>
                  </w:rPr>
                  <w:t>1</w:t>
                </w:r>
                <w:r>
                  <w:rPr>
                    <w:rFonts w:hint="eastAsia" w:ascii="方正仿宋_GBK" w:hAnsi="方正仿宋_GBK" w:eastAsia="方正仿宋_GBK" w:cs="方正仿宋_GBK"/>
                    <w:sz w:val="28"/>
                    <w:szCs w:val="28"/>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none" w:color="auto" w:sz="0" w:space="0"/>
      </w:pBdr>
      <w:ind w:left="37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370"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left="370"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1A1AC"/>
    <w:multiLevelType w:val="singleLevel"/>
    <w:tmpl w:val="2F11A1A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A2C26"/>
    <w:rsid w:val="0013519A"/>
    <w:rsid w:val="001A2C26"/>
    <w:rsid w:val="001C0016"/>
    <w:rsid w:val="00285E02"/>
    <w:rsid w:val="002B38C6"/>
    <w:rsid w:val="003B7EEA"/>
    <w:rsid w:val="003C3855"/>
    <w:rsid w:val="00407473"/>
    <w:rsid w:val="0045680A"/>
    <w:rsid w:val="004A5C20"/>
    <w:rsid w:val="004B09B8"/>
    <w:rsid w:val="004E39FE"/>
    <w:rsid w:val="004F33AC"/>
    <w:rsid w:val="005135E4"/>
    <w:rsid w:val="005214EE"/>
    <w:rsid w:val="005B73CC"/>
    <w:rsid w:val="00723262"/>
    <w:rsid w:val="007514F4"/>
    <w:rsid w:val="00753590"/>
    <w:rsid w:val="00794899"/>
    <w:rsid w:val="00794A28"/>
    <w:rsid w:val="007E1D7D"/>
    <w:rsid w:val="00861164"/>
    <w:rsid w:val="00912FA3"/>
    <w:rsid w:val="009537B0"/>
    <w:rsid w:val="00A44AB4"/>
    <w:rsid w:val="00B40BA4"/>
    <w:rsid w:val="00B77848"/>
    <w:rsid w:val="00B95634"/>
    <w:rsid w:val="00C0281E"/>
    <w:rsid w:val="00DD14F1"/>
    <w:rsid w:val="00E42E57"/>
    <w:rsid w:val="00E57521"/>
    <w:rsid w:val="00EF37D9"/>
    <w:rsid w:val="0FB758E7"/>
    <w:rsid w:val="1DAF3C65"/>
    <w:rsid w:val="20941B58"/>
    <w:rsid w:val="271013AE"/>
    <w:rsid w:val="30EB5F72"/>
    <w:rsid w:val="37E36388"/>
    <w:rsid w:val="3AF830D4"/>
    <w:rsid w:val="3EA66386"/>
    <w:rsid w:val="406C4906"/>
    <w:rsid w:val="48AC53F9"/>
    <w:rsid w:val="49271248"/>
    <w:rsid w:val="4DA97D31"/>
    <w:rsid w:val="51737781"/>
    <w:rsid w:val="59A31D1D"/>
    <w:rsid w:val="5D2E2508"/>
    <w:rsid w:val="621D1F1E"/>
    <w:rsid w:val="68A17BAC"/>
    <w:rsid w:val="68AD225B"/>
    <w:rsid w:val="6E5F2BA6"/>
    <w:rsid w:val="77F00AE8"/>
    <w:rsid w:val="7B0B5348"/>
    <w:rsid w:val="7CBF4D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520" w:lineRule="exact"/>
      <w:ind w:left="176" w:leftChars="176" w:firstLine="200" w:firstLineChars="20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0"/>
    <w:semiHidden/>
    <w:unhideWhenUsed/>
    <w:qFormat/>
    <w:uiPriority w:val="99"/>
    <w:pPr>
      <w:tabs>
        <w:tab w:val="center" w:pos="4153"/>
        <w:tab w:val="right" w:pos="8306"/>
      </w:tabs>
      <w:snapToGrid w:val="0"/>
      <w:spacing w:line="240" w:lineRule="atLeast"/>
      <w:jc w:val="left"/>
    </w:pPr>
    <w:rPr>
      <w:sz w:val="18"/>
      <w:szCs w:val="18"/>
    </w:rPr>
  </w:style>
  <w:style w:type="paragraph" w:styleId="3">
    <w:name w:val="header"/>
    <w:basedOn w:val="1"/>
    <w:link w:val="9"/>
    <w:semiHidden/>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4">
    <w:name w:val="Normal (Web)"/>
    <w:basedOn w:val="1"/>
    <w:semiHidden/>
    <w:unhideWhenUsed/>
    <w:qFormat/>
    <w:uiPriority w:val="99"/>
    <w:pPr>
      <w:widowControl/>
      <w:spacing w:before="100" w:beforeAutospacing="1" w:after="100" w:afterAutospacing="1" w:line="240" w:lineRule="auto"/>
      <w:ind w:left="0" w:leftChars="0" w:firstLine="0" w:firstLineChars="0"/>
      <w:jc w:val="left"/>
    </w:pPr>
    <w:rPr>
      <w:rFonts w:ascii="宋体" w:hAnsi="宋体" w:eastAsia="宋体" w:cs="宋体"/>
      <w:kern w:val="0"/>
      <w:sz w:val="24"/>
      <w:szCs w:val="24"/>
    </w:rPr>
  </w:style>
  <w:style w:type="character" w:styleId="7">
    <w:name w:val="Hyperlink"/>
    <w:basedOn w:val="6"/>
    <w:semiHidden/>
    <w:unhideWhenUsed/>
    <w:qFormat/>
    <w:uiPriority w:val="99"/>
    <w:rPr>
      <w:color w:val="333333"/>
      <w:u w:val="none"/>
    </w:rPr>
  </w:style>
  <w:style w:type="character" w:customStyle="1" w:styleId="8">
    <w:name w:val="doc_info2"/>
    <w:basedOn w:val="6"/>
    <w:qFormat/>
    <w:uiPriority w:val="0"/>
  </w:style>
  <w:style w:type="character" w:customStyle="1" w:styleId="9">
    <w:name w:val="页眉 Char"/>
    <w:basedOn w:val="6"/>
    <w:link w:val="3"/>
    <w:semiHidden/>
    <w:qFormat/>
    <w:uiPriority w:val="99"/>
    <w:rPr>
      <w:sz w:val="18"/>
      <w:szCs w:val="18"/>
    </w:rPr>
  </w:style>
  <w:style w:type="character" w:customStyle="1" w:styleId="10">
    <w:name w:val="页脚 Char"/>
    <w:basedOn w:val="6"/>
    <w:link w:val="2"/>
    <w:semiHidden/>
    <w:qFormat/>
    <w:uiPriority w:val="99"/>
    <w:rPr>
      <w:sz w:val="18"/>
      <w:szCs w:val="18"/>
    </w:rPr>
  </w:style>
  <w:style w:type="paragraph" w:styleId="11">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50" textRotate="1"/>
    <customShpInfo spid="_x0000_s1026"/>
    <customShpInfo spid="_x0000_s1027"/>
    <customShpInfo spid="_x0000_s102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335</Words>
  <Characters>1913</Characters>
  <Lines>15</Lines>
  <Paragraphs>4</Paragraphs>
  <TotalTime>5</TotalTime>
  <ScaleCrop>false</ScaleCrop>
  <LinksUpToDate>false</LinksUpToDate>
  <CharactersWithSpaces>2244</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2021-02-26T01:45:00Z</dcterms:created>
  <dc:creator>Administrator</dc:creator>
  <cp:lastModifiedBy>马利</cp:lastModifiedBy>
  <dcterms:modified xsi:type="dcterms:W3CDTF">2021-03-01T09:25:07Z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439279584_embed</vt:lpwstr>
  </property>
</Properties>
</file>