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s="方正小标宋简体"/>
          <w:color w:val="auto"/>
          <w:sz w:val="44"/>
          <w:szCs w:val="44"/>
        </w:rPr>
      </w:pPr>
    </w:p>
    <w:p>
      <w:pPr>
        <w:keepNext w:val="0"/>
        <w:keepLines w:val="0"/>
        <w:pageBreakBefore w:val="0"/>
        <w:widowControl w:val="0"/>
        <w:suppressAutoHyphens/>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widowControl w:val="0"/>
        <w:suppressAutoHyphens/>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lang w:eastAsia="zh-CN"/>
        </w:rPr>
        <w:t>关于</w:t>
      </w:r>
      <w:r>
        <w:rPr>
          <w:rFonts w:hint="eastAsia" w:ascii="Times New Roman" w:hAnsi="Times New Roman" w:eastAsia="方正小标宋简体" w:cs="方正小标宋简体"/>
          <w:color w:val="auto"/>
          <w:sz w:val="44"/>
          <w:szCs w:val="44"/>
        </w:rPr>
        <w:t>《</w:t>
      </w:r>
      <w:r>
        <w:rPr>
          <w:rFonts w:hint="eastAsia" w:ascii="Times New Roman" w:hAnsi="Times New Roman" w:eastAsia="方正小标宋简体" w:cs="方正小标宋简体"/>
          <w:color w:val="auto"/>
          <w:sz w:val="44"/>
          <w:szCs w:val="44"/>
          <w:lang w:eastAsia="zh-CN"/>
        </w:rPr>
        <w:t>葛</w:t>
      </w:r>
      <w:r>
        <w:rPr>
          <w:rFonts w:hint="eastAsia" w:ascii="Times New Roman" w:hAnsi="Times New Roman" w:eastAsia="方正小标宋简体" w:cs="方正小标宋简体"/>
          <w:color w:val="auto"/>
          <w:sz w:val="44"/>
          <w:szCs w:val="44"/>
          <w:lang w:val="en-US" w:eastAsia="zh-CN"/>
        </w:rPr>
        <w:t>店经开</w:t>
      </w:r>
      <w:r>
        <w:rPr>
          <w:rFonts w:hint="eastAsia" w:ascii="Times New Roman" w:hAnsi="Times New Roman" w:eastAsia="方正小标宋简体" w:cs="方正小标宋简体"/>
          <w:color w:val="auto"/>
          <w:sz w:val="44"/>
          <w:szCs w:val="44"/>
        </w:rPr>
        <w:t>区关于支持文化旅游产业发展</w:t>
      </w:r>
      <w:r>
        <w:rPr>
          <w:rFonts w:hint="eastAsia" w:ascii="Times New Roman" w:hAnsi="Times New Roman" w:eastAsia="方正小标宋简体" w:cs="方正小标宋简体"/>
          <w:color w:val="auto"/>
          <w:sz w:val="44"/>
          <w:szCs w:val="44"/>
          <w:lang w:val="en-US" w:eastAsia="zh-CN"/>
        </w:rPr>
        <w:t>的</w:t>
      </w:r>
      <w:r>
        <w:rPr>
          <w:rFonts w:hint="eastAsia" w:ascii="Times New Roman" w:hAnsi="Times New Roman" w:eastAsia="方正小标宋简体" w:cs="方正小标宋简体"/>
          <w:color w:val="auto"/>
          <w:sz w:val="44"/>
          <w:szCs w:val="44"/>
        </w:rPr>
        <w:t>若干措施</w:t>
      </w:r>
      <w:r>
        <w:rPr>
          <w:rFonts w:hint="eastAsia" w:ascii="Times New Roman" w:hAnsi="Times New Roman" w:eastAsia="方正小标宋简体" w:cs="方正小标宋简体"/>
          <w:color w:val="auto"/>
          <w:sz w:val="44"/>
          <w:szCs w:val="44"/>
          <w:lang w:eastAsia="zh-CN"/>
        </w:rPr>
        <w:t>（试行）</w:t>
      </w:r>
      <w:r>
        <w:rPr>
          <w:rFonts w:hint="eastAsia" w:ascii="Times New Roman" w:hAnsi="Times New Roman" w:eastAsia="方正小标宋简体" w:cs="方正小标宋简体"/>
          <w:color w:val="auto"/>
          <w:sz w:val="44"/>
          <w:szCs w:val="44"/>
        </w:rPr>
        <w:t>》起草情况的汇报</w:t>
      </w:r>
    </w:p>
    <w:p>
      <w:pPr>
        <w:keepNext w:val="0"/>
        <w:keepLines w:val="0"/>
        <w:pageBreakBefore w:val="0"/>
        <w:widowControl w:val="0"/>
        <w:suppressAutoHyphens/>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s="方正小标宋简体"/>
          <w:color w:val="auto"/>
          <w:sz w:val="44"/>
          <w:szCs w:val="44"/>
        </w:rPr>
      </w:pPr>
    </w:p>
    <w:p>
      <w:pPr>
        <w:keepNext w:val="0"/>
        <w:keepLines w:val="0"/>
        <w:pageBreakBefore w:val="0"/>
        <w:widowControl/>
        <w:numPr>
          <w:ilvl w:val="0"/>
          <w:numId w:val="0"/>
        </w:numPr>
        <w:suppressAutoHyphens/>
        <w:kinsoku/>
        <w:wordWrap/>
        <w:overflowPunct/>
        <w:topLinePunct/>
        <w:autoSpaceDE/>
        <w:autoSpaceDN/>
        <w:bidi w:val="0"/>
        <w:adjustRightInd/>
        <w:snapToGrid/>
        <w:spacing w:line="570" w:lineRule="exact"/>
        <w:ind w:right="0" w:rightChars="0" w:firstLine="640" w:firstLineChars="200"/>
        <w:jc w:val="left"/>
        <w:textAlignment w:val="baseline"/>
        <w:outlineLvl w:val="9"/>
        <w:rPr>
          <w:rFonts w:hint="eastAsia" w:ascii="Times New Roman" w:hAnsi="Times New Roman" w:eastAsia="CESI黑体-GB2312" w:cs="CESI黑体-GB2312"/>
          <w:b w:val="0"/>
          <w:bCs w:val="0"/>
          <w:color w:val="auto"/>
          <w:kern w:val="0"/>
          <w:sz w:val="32"/>
          <w:szCs w:val="32"/>
          <w:lang w:val="en-US" w:eastAsia="zh-CN"/>
        </w:rPr>
      </w:pPr>
      <w:r>
        <w:rPr>
          <w:rFonts w:hint="eastAsia" w:ascii="Times New Roman" w:hAnsi="Times New Roman" w:eastAsia="仿宋_GB2312" w:cs="Times New Roman"/>
          <w:color w:val="auto"/>
          <w:spacing w:val="0"/>
          <w:w w:val="100"/>
          <w:kern w:val="2"/>
          <w:sz w:val="32"/>
          <w:szCs w:val="32"/>
          <w:lang w:val="en-US" w:eastAsia="zh-CN"/>
        </w:rPr>
        <w:t>为深入贯彻习近平新时代中国特色社会主义思想，落实国家及省、市关于推动文化繁荣、促进文旅融合、实施乡村振兴战略的系列决策部署，加快构建现代公共文化服务体系，培育文化新质生产力，推动我区文化旅游产业高质量发展，区城乡融合发展局在深入调研、广泛征求意见的基础上，研究起草了《葛店经开区关于支持文化旅游产业发展的若干措施（试行）（送审稿）》（以下简称《若干措施》）。现将有关起草情况说明如下：</w:t>
      </w:r>
    </w:p>
    <w:p>
      <w:pPr>
        <w:keepNext w:val="0"/>
        <w:keepLines w:val="0"/>
        <w:pageBreakBefore w:val="0"/>
        <w:widowControl/>
        <w:numPr>
          <w:ilvl w:val="0"/>
          <w:numId w:val="0"/>
        </w:numPr>
        <w:suppressAutoHyphens/>
        <w:kinsoku/>
        <w:wordWrap/>
        <w:overflowPunct/>
        <w:topLinePunct/>
        <w:autoSpaceDE/>
        <w:autoSpaceDN/>
        <w:bidi w:val="0"/>
        <w:adjustRightInd/>
        <w:snapToGrid/>
        <w:spacing w:line="570" w:lineRule="exact"/>
        <w:ind w:right="0" w:rightChars="0" w:firstLine="640" w:firstLineChars="200"/>
        <w:jc w:val="left"/>
        <w:textAlignment w:val="baseline"/>
        <w:outlineLvl w:val="9"/>
        <w:rPr>
          <w:rFonts w:hint="eastAsia" w:ascii="Times New Roman" w:hAnsi="Times New Roman" w:eastAsia="CESI黑体-GB2312" w:cs="CESI黑体-GB2312"/>
          <w:b w:val="0"/>
          <w:bCs w:val="0"/>
          <w:color w:val="auto"/>
          <w:kern w:val="0"/>
          <w:sz w:val="32"/>
          <w:szCs w:val="32"/>
          <w:lang w:val="en-US" w:eastAsia="zh-CN"/>
        </w:rPr>
      </w:pPr>
      <w:r>
        <w:rPr>
          <w:rFonts w:hint="eastAsia" w:ascii="Times New Roman" w:hAnsi="Times New Roman" w:eastAsia="CESI黑体-GB2312" w:cs="CESI黑体-GB2312"/>
          <w:b w:val="0"/>
          <w:bCs w:val="0"/>
          <w:color w:val="auto"/>
          <w:kern w:val="0"/>
          <w:sz w:val="32"/>
          <w:szCs w:val="32"/>
          <w:lang w:val="en-US" w:eastAsia="zh-CN"/>
        </w:rPr>
        <w:t>一、起草背景与必要性</w:t>
      </w:r>
    </w:p>
    <w:p>
      <w:pPr>
        <w:keepNext w:val="0"/>
        <w:keepLines w:val="0"/>
        <w:pageBreakBefore w:val="0"/>
        <w:widowControl w:val="0"/>
        <w:numPr>
          <w:ilvl w:val="0"/>
          <w:numId w:val="0"/>
        </w:numPr>
        <w:suppressAutoHyphens/>
        <w:kinsoku/>
        <w:wordWrap w:val="0"/>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color w:val="auto"/>
          <w:spacing w:val="0"/>
          <w:w w:val="100"/>
          <w:kern w:val="2"/>
          <w:sz w:val="32"/>
          <w:szCs w:val="32"/>
          <w:lang w:val="en-US" w:eastAsia="zh-CN"/>
        </w:rPr>
      </w:pPr>
      <w:r>
        <w:rPr>
          <w:rFonts w:hint="eastAsia" w:ascii="Times New Roman" w:hAnsi="Times New Roman" w:eastAsia="仿宋_GB2312" w:cs="Times New Roman"/>
          <w:color w:val="auto"/>
          <w:spacing w:val="0"/>
          <w:w w:val="100"/>
          <w:kern w:val="2"/>
          <w:sz w:val="32"/>
          <w:szCs w:val="32"/>
          <w:lang w:val="en-US" w:eastAsia="zh-CN"/>
        </w:rPr>
        <w:t>文化是城市发展的灵魂和重要软实力。葛店经开区正处于转型升级、高质量发展的关键时期，迫切需要发挥文化赋能、旅游带动作用，提升城市文化品质和综合竞争力。当前，我区文化旅游产业基础相对薄弱，市场主体活力有待激发，公共文化服务供给与人民群众日益增长的美好生活需要仍存在差距。制定出台专项扶持措施，是贯彻落实中央、省、市有关文件精神的具体行动，是推动我区文化产业布局优化、业态创新、能级提升的内在要求，对于打造公共文化服务体系示范区、文化旅游创意产业引领区，助力乡村振兴和城市品质提升具有重要意义。</w:t>
      </w:r>
    </w:p>
    <w:p>
      <w:pPr>
        <w:keepNext w:val="0"/>
        <w:keepLines w:val="0"/>
        <w:pageBreakBefore w:val="0"/>
        <w:widowControl/>
        <w:numPr>
          <w:ilvl w:val="0"/>
          <w:numId w:val="0"/>
        </w:numPr>
        <w:suppressAutoHyphens/>
        <w:kinsoku/>
        <w:wordWrap/>
        <w:overflowPunct/>
        <w:topLinePunct/>
        <w:autoSpaceDE/>
        <w:autoSpaceDN/>
        <w:bidi w:val="0"/>
        <w:adjustRightInd/>
        <w:snapToGrid/>
        <w:spacing w:line="570" w:lineRule="exact"/>
        <w:ind w:right="0" w:rightChars="0" w:firstLine="640" w:firstLineChars="200"/>
        <w:jc w:val="left"/>
        <w:textAlignment w:val="baseline"/>
        <w:outlineLvl w:val="9"/>
        <w:rPr>
          <w:rFonts w:hint="eastAsia" w:ascii="Times New Roman" w:hAnsi="Times New Roman" w:eastAsia="仿宋_GB2312" w:cs="Times New Roman"/>
          <w:color w:val="auto"/>
          <w:spacing w:val="0"/>
          <w:w w:val="100"/>
          <w:kern w:val="2"/>
          <w:sz w:val="32"/>
          <w:szCs w:val="32"/>
          <w:lang w:val="en-US" w:eastAsia="zh-CN"/>
        </w:rPr>
      </w:pPr>
      <w:r>
        <w:rPr>
          <w:rFonts w:hint="eastAsia" w:ascii="Times New Roman" w:hAnsi="Times New Roman" w:eastAsia="CESI楷体-GB2312" w:cs="CESI楷体-GB2312"/>
          <w:b/>
          <w:bCs/>
          <w:color w:val="auto"/>
          <w:sz w:val="32"/>
          <w:szCs w:val="32"/>
          <w:lang w:val="en-US" w:eastAsia="zh-CN"/>
        </w:rPr>
        <w:t>（一）贯彻落实上级决策部署的需要。</w:t>
      </w:r>
      <w:r>
        <w:rPr>
          <w:rFonts w:hint="eastAsia" w:ascii="Times New Roman" w:hAnsi="Times New Roman" w:eastAsia="仿宋_GB2312" w:cs="Times New Roman"/>
          <w:color w:val="auto"/>
          <w:spacing w:val="0"/>
          <w:w w:val="100"/>
          <w:kern w:val="2"/>
          <w:sz w:val="32"/>
          <w:szCs w:val="32"/>
          <w:lang w:val="en-US" w:eastAsia="zh-CN"/>
        </w:rPr>
        <w:t>近年来，国家及省、市层面陆续出台了一系列促进文化产业和旅游产业融合发展的战略规划和政策文件，明确了新时代文旅产业发展的方向、目标与任务。制定本《若干措施》，是结合我区实际具体落实上级精神，推动文旅产业成为战略性支柱产业的重要举措。</w:t>
      </w:r>
    </w:p>
    <w:p>
      <w:pPr>
        <w:keepNext w:val="0"/>
        <w:keepLines w:val="0"/>
        <w:pageBreakBefore w:val="0"/>
        <w:widowControl/>
        <w:numPr>
          <w:ilvl w:val="0"/>
          <w:numId w:val="0"/>
        </w:numPr>
        <w:suppressAutoHyphens/>
        <w:kinsoku/>
        <w:wordWrap/>
        <w:overflowPunct/>
        <w:topLinePunct/>
        <w:autoSpaceDE/>
        <w:autoSpaceDN/>
        <w:bidi w:val="0"/>
        <w:adjustRightInd/>
        <w:snapToGrid/>
        <w:spacing w:line="570" w:lineRule="exact"/>
        <w:ind w:right="0" w:rightChars="0" w:firstLine="640" w:firstLineChars="200"/>
        <w:jc w:val="left"/>
        <w:textAlignment w:val="baseline"/>
        <w:outlineLvl w:val="9"/>
        <w:rPr>
          <w:rFonts w:hint="eastAsia" w:ascii="Times New Roman" w:hAnsi="Times New Roman" w:eastAsia="仿宋_GB2312" w:cs="Times New Roman"/>
          <w:color w:val="auto"/>
          <w:spacing w:val="0"/>
          <w:w w:val="100"/>
          <w:kern w:val="2"/>
          <w:sz w:val="32"/>
          <w:szCs w:val="32"/>
          <w:lang w:val="en-US" w:eastAsia="zh-CN"/>
        </w:rPr>
      </w:pPr>
      <w:r>
        <w:rPr>
          <w:rFonts w:hint="eastAsia" w:ascii="Times New Roman" w:hAnsi="Times New Roman" w:eastAsia="CESI楷体-GB2312" w:cs="CESI楷体-GB2312"/>
          <w:b/>
          <w:bCs/>
          <w:color w:val="auto"/>
          <w:sz w:val="32"/>
          <w:szCs w:val="32"/>
          <w:lang w:val="en-US" w:eastAsia="zh-CN"/>
        </w:rPr>
        <w:t>（二）应对产业发展新形势新挑战的需要。</w:t>
      </w:r>
      <w:r>
        <w:rPr>
          <w:rFonts w:hint="eastAsia" w:ascii="Times New Roman" w:hAnsi="Times New Roman" w:eastAsia="仿宋_GB2312" w:cs="Times New Roman"/>
          <w:color w:val="auto"/>
          <w:spacing w:val="0"/>
          <w:w w:val="100"/>
          <w:kern w:val="2"/>
          <w:sz w:val="32"/>
          <w:szCs w:val="32"/>
          <w:lang w:val="en-US" w:eastAsia="zh-CN"/>
        </w:rPr>
        <w:t>当前，葛店经开区文旅产业面临消费升级、科技赋能、业态创新、市场竞争加剧等新趋势，同时也存在资源整合不足、产品供给不够丰富、产业链条有待延伸、市场主体活力不强、基础设施与公共服务配套不完善等短板，亟需通过精准有力的政策引导，破解发展瓶颈，激发内生动力。</w:t>
      </w:r>
    </w:p>
    <w:p>
      <w:pPr>
        <w:keepNext w:val="0"/>
        <w:keepLines w:val="0"/>
        <w:pageBreakBefore w:val="0"/>
        <w:widowControl/>
        <w:numPr>
          <w:ilvl w:val="0"/>
          <w:numId w:val="0"/>
        </w:numPr>
        <w:suppressAutoHyphens/>
        <w:kinsoku/>
        <w:wordWrap/>
        <w:overflowPunct/>
        <w:topLinePunct/>
        <w:autoSpaceDE/>
        <w:autoSpaceDN/>
        <w:bidi w:val="0"/>
        <w:adjustRightInd/>
        <w:snapToGrid/>
        <w:spacing w:line="570" w:lineRule="exact"/>
        <w:ind w:right="0" w:rightChars="0" w:firstLine="640" w:firstLineChars="200"/>
        <w:jc w:val="left"/>
        <w:textAlignment w:val="baseline"/>
        <w:outlineLvl w:val="9"/>
        <w:rPr>
          <w:rFonts w:hint="eastAsia" w:ascii="Times New Roman" w:hAnsi="Times New Roman" w:eastAsia="仿宋_GB2312" w:cs="Times New Roman"/>
          <w:color w:val="auto"/>
          <w:spacing w:val="0"/>
          <w:w w:val="100"/>
          <w:kern w:val="2"/>
          <w:sz w:val="32"/>
          <w:szCs w:val="32"/>
          <w:lang w:val="en-US" w:eastAsia="zh-CN"/>
        </w:rPr>
      </w:pPr>
      <w:r>
        <w:rPr>
          <w:rFonts w:hint="eastAsia" w:ascii="Times New Roman" w:hAnsi="Times New Roman" w:eastAsia="CESI楷体-GB2312" w:cs="CESI楷体-GB2312"/>
          <w:b/>
          <w:bCs/>
          <w:color w:val="auto"/>
          <w:sz w:val="32"/>
          <w:szCs w:val="32"/>
          <w:lang w:val="en-US" w:eastAsia="zh-CN"/>
        </w:rPr>
        <w:t>（三）服务区域发展战略与民生改善的需要。</w:t>
      </w:r>
      <w:r>
        <w:rPr>
          <w:rFonts w:hint="eastAsia" w:ascii="Times New Roman" w:hAnsi="Times New Roman" w:eastAsia="仿宋_GB2312" w:cs="Times New Roman"/>
          <w:color w:val="auto"/>
          <w:spacing w:val="0"/>
          <w:w w:val="100"/>
          <w:kern w:val="2"/>
          <w:sz w:val="32"/>
          <w:szCs w:val="32"/>
          <w:lang w:val="en-US" w:eastAsia="zh-CN"/>
        </w:rPr>
        <w:t>文旅产业关联度高、带动性强，对于促进就业、城市更新、乡村振兴、文化传承等具有显著综合效益。出台支持措施，有助于将文化旅游资源优势转化为发展优势，更好地服务葛店经开区发展大局，提升人民群众的文化获得感和旅游幸福感。</w:t>
      </w:r>
    </w:p>
    <w:p>
      <w:pPr>
        <w:keepNext w:val="0"/>
        <w:keepLines w:val="0"/>
        <w:pageBreakBefore w:val="0"/>
        <w:widowControl/>
        <w:numPr>
          <w:ilvl w:val="0"/>
          <w:numId w:val="0"/>
        </w:numPr>
        <w:suppressAutoHyphens/>
        <w:kinsoku/>
        <w:wordWrap/>
        <w:overflowPunct/>
        <w:topLinePunct/>
        <w:autoSpaceDE/>
        <w:autoSpaceDN/>
        <w:bidi w:val="0"/>
        <w:adjustRightInd/>
        <w:snapToGrid/>
        <w:spacing w:line="570" w:lineRule="exact"/>
        <w:ind w:right="0" w:firstLine="640" w:firstLineChars="200"/>
        <w:jc w:val="left"/>
        <w:textAlignment w:val="baseline"/>
        <w:outlineLvl w:val="9"/>
        <w:rPr>
          <w:rFonts w:hint="eastAsia" w:ascii="Times New Roman" w:hAnsi="Times New Roman" w:eastAsia="CESI黑体-GB2312" w:cs="CESI黑体-GB2312"/>
          <w:b w:val="0"/>
          <w:bCs w:val="0"/>
          <w:color w:val="auto"/>
          <w:kern w:val="0"/>
          <w:sz w:val="32"/>
          <w:szCs w:val="32"/>
          <w:lang w:val="en-US" w:eastAsia="zh-CN"/>
        </w:rPr>
      </w:pPr>
      <w:r>
        <w:rPr>
          <w:rFonts w:hint="eastAsia" w:ascii="Times New Roman" w:hAnsi="Times New Roman" w:eastAsia="CESI楷体-GB2312" w:cs="CESI楷体-GB2312"/>
          <w:b/>
          <w:bCs/>
          <w:color w:val="auto"/>
          <w:sz w:val="32"/>
          <w:szCs w:val="32"/>
          <w:lang w:val="en-US" w:eastAsia="zh-CN"/>
        </w:rPr>
        <w:t>（四）彰显社会文化价值的需要。</w:t>
      </w:r>
      <w:r>
        <w:rPr>
          <w:rFonts w:hint="eastAsia" w:ascii="Times New Roman" w:hAnsi="Times New Roman" w:eastAsia="仿宋_GB2312" w:cs="Times New Roman"/>
          <w:color w:val="auto"/>
          <w:spacing w:val="0"/>
          <w:w w:val="100"/>
          <w:kern w:val="2"/>
          <w:sz w:val="32"/>
          <w:szCs w:val="32"/>
          <w:lang w:val="en-US" w:eastAsia="zh-CN"/>
        </w:rPr>
        <w:t>实体书店、公共阅读空间不仅是阅读、销售图书的场所，更是重要的公共文化空间、思想交流和城市文化地标。葛店经开区实体书店体量小，公共阅读空间少，乡村文化旅游薄弱，积极扶持实体书店、公共阅读空间，以及大力支持发展乡村文化旅游休闲项目，对于保障基本公共文化服务、满足人民群众精神文化需求、提升社会文明程度具有不可替代的人文价值。</w:t>
      </w:r>
    </w:p>
    <w:p>
      <w:pPr>
        <w:keepNext w:val="0"/>
        <w:keepLines w:val="0"/>
        <w:pageBreakBefore w:val="0"/>
        <w:widowControl/>
        <w:numPr>
          <w:ilvl w:val="0"/>
          <w:numId w:val="0"/>
        </w:numPr>
        <w:suppressAutoHyphens/>
        <w:kinsoku/>
        <w:wordWrap/>
        <w:overflowPunct/>
        <w:topLinePunct/>
        <w:autoSpaceDE/>
        <w:autoSpaceDN/>
        <w:bidi w:val="0"/>
        <w:adjustRightInd/>
        <w:snapToGrid/>
        <w:spacing w:line="570" w:lineRule="exact"/>
        <w:ind w:right="0" w:firstLine="640" w:firstLineChars="200"/>
        <w:jc w:val="left"/>
        <w:textAlignment w:val="baseline"/>
        <w:outlineLvl w:val="9"/>
        <w:rPr>
          <w:rFonts w:hint="eastAsia" w:ascii="Times New Roman" w:hAnsi="Times New Roman" w:eastAsia="CESI黑体-GB2312" w:cs="CESI黑体-GB2312"/>
          <w:b w:val="0"/>
          <w:bCs w:val="0"/>
          <w:color w:val="auto"/>
          <w:kern w:val="0"/>
          <w:sz w:val="32"/>
          <w:szCs w:val="32"/>
          <w:lang w:val="en-US" w:eastAsia="zh-CN"/>
        </w:rPr>
      </w:pPr>
      <w:r>
        <w:rPr>
          <w:rFonts w:hint="eastAsia" w:ascii="Times New Roman" w:hAnsi="Times New Roman" w:eastAsia="CESI黑体-GB2312" w:cs="CESI黑体-GB2312"/>
          <w:b w:val="0"/>
          <w:bCs w:val="0"/>
          <w:color w:val="auto"/>
          <w:kern w:val="0"/>
          <w:sz w:val="32"/>
          <w:szCs w:val="32"/>
          <w:lang w:val="en-US" w:eastAsia="zh-CN"/>
        </w:rPr>
        <w:t>二、主要内容</w:t>
      </w:r>
    </w:p>
    <w:p>
      <w:pPr>
        <w:keepNext w:val="0"/>
        <w:keepLines w:val="0"/>
        <w:pageBreakBefore w:val="0"/>
        <w:widowControl/>
        <w:numPr>
          <w:ilvl w:val="0"/>
          <w:numId w:val="0"/>
        </w:numPr>
        <w:suppressAutoHyphens/>
        <w:kinsoku/>
        <w:wordWrap/>
        <w:overflowPunct/>
        <w:topLinePunct/>
        <w:autoSpaceDE/>
        <w:autoSpaceDN/>
        <w:bidi w:val="0"/>
        <w:adjustRightInd/>
        <w:snapToGrid/>
        <w:spacing w:line="570" w:lineRule="exact"/>
        <w:ind w:right="0" w:rightChars="0" w:firstLine="960" w:firstLineChars="300"/>
        <w:jc w:val="left"/>
        <w:textAlignment w:val="baseline"/>
        <w:outlineLvl w:val="9"/>
        <w:rPr>
          <w:rFonts w:hint="eastAsia" w:ascii="Times New Roman" w:hAnsi="Times New Roman" w:eastAsia="仿宋_GB2312" w:cs="Times New Roman"/>
          <w:color w:val="auto"/>
          <w:spacing w:val="0"/>
          <w:w w:val="100"/>
          <w:kern w:val="2"/>
          <w:sz w:val="32"/>
          <w:szCs w:val="32"/>
          <w:lang w:val="en-US" w:eastAsia="zh-CN"/>
        </w:rPr>
      </w:pPr>
      <w:r>
        <w:rPr>
          <w:rFonts w:hint="eastAsia" w:ascii="Times New Roman" w:hAnsi="Times New Roman" w:eastAsia="仿宋_GB2312" w:cs="Times New Roman"/>
          <w:color w:val="auto"/>
          <w:spacing w:val="0"/>
          <w:w w:val="100"/>
          <w:kern w:val="2"/>
          <w:sz w:val="32"/>
          <w:szCs w:val="32"/>
          <w:lang w:val="en-US" w:eastAsia="zh-CN"/>
        </w:rPr>
        <w:t>《若干措施》分重点支持方向、支持的范围及内容、奖补申报程序和监督管理</w:t>
      </w:r>
      <w:r>
        <w:rPr>
          <w:rFonts w:hint="eastAsia" w:ascii="Times New Roman" w:hAnsi="Times New Roman" w:eastAsia="仿宋_GB2312" w:cs="Times New Roman"/>
          <w:color w:val="auto"/>
          <w:spacing w:val="0"/>
          <w:w w:val="100"/>
          <w:kern w:val="2"/>
          <w:sz w:val="32"/>
          <w:szCs w:val="32"/>
          <w:highlight w:val="none"/>
          <w:lang w:val="en-US" w:eastAsia="zh-CN"/>
        </w:rPr>
        <w:t>四个方面内容</w:t>
      </w:r>
      <w:r>
        <w:rPr>
          <w:rFonts w:hint="eastAsia" w:ascii="Times New Roman" w:hAnsi="Times New Roman" w:eastAsia="仿宋_GB2312" w:cs="Times New Roman"/>
          <w:color w:val="auto"/>
          <w:spacing w:val="0"/>
          <w:w w:val="100"/>
          <w:kern w:val="2"/>
          <w:sz w:val="32"/>
          <w:szCs w:val="32"/>
          <w:lang w:val="en-US" w:eastAsia="zh-CN"/>
        </w:rPr>
        <w:t>。</w:t>
      </w:r>
    </w:p>
    <w:p>
      <w:pPr>
        <w:keepNext w:val="0"/>
        <w:keepLines w:val="0"/>
        <w:pageBreakBefore w:val="0"/>
        <w:widowControl/>
        <w:numPr>
          <w:ilvl w:val="0"/>
          <w:numId w:val="0"/>
        </w:numPr>
        <w:suppressAutoHyphens/>
        <w:kinsoku/>
        <w:wordWrap/>
        <w:overflowPunct/>
        <w:topLinePunct/>
        <w:autoSpaceDE/>
        <w:autoSpaceDN/>
        <w:bidi w:val="0"/>
        <w:adjustRightInd/>
        <w:snapToGrid/>
        <w:spacing w:line="570" w:lineRule="exact"/>
        <w:ind w:right="0" w:firstLine="640" w:firstLineChars="200"/>
        <w:jc w:val="left"/>
        <w:textAlignment w:val="baseline"/>
        <w:outlineLvl w:val="9"/>
        <w:rPr>
          <w:rFonts w:hint="eastAsia" w:ascii="Times New Roman" w:hAnsi="Times New Roman" w:eastAsia="CESI仿宋-GB2312" w:cs="CESI仿宋-GB2312"/>
          <w:color w:val="auto"/>
          <w:spacing w:val="2"/>
          <w:w w:val="99"/>
          <w:kern w:val="0"/>
          <w:sz w:val="32"/>
          <w:szCs w:val="32"/>
          <w:lang w:val="en-US" w:eastAsia="zh-CN"/>
        </w:rPr>
      </w:pPr>
      <w:r>
        <w:rPr>
          <w:rFonts w:hint="eastAsia" w:ascii="Times New Roman" w:hAnsi="Times New Roman" w:eastAsia="CESI楷体-GB2312" w:cs="CESI楷体-GB2312"/>
          <w:b/>
          <w:bCs/>
          <w:color w:val="auto"/>
          <w:sz w:val="32"/>
          <w:szCs w:val="32"/>
          <w:lang w:val="en-US" w:eastAsia="zh-CN"/>
        </w:rPr>
        <w:t>（一）</w:t>
      </w:r>
      <w:r>
        <w:rPr>
          <w:rFonts w:hint="eastAsia" w:ascii="Times New Roman" w:hAnsi="Times New Roman" w:eastAsia="CESI楷体-GB2312" w:cs="CESI楷体-GB2312"/>
          <w:b/>
          <w:bCs/>
          <w:color w:val="auto"/>
          <w:spacing w:val="0"/>
          <w:w w:val="100"/>
          <w:kern w:val="2"/>
          <w:sz w:val="32"/>
          <w:szCs w:val="32"/>
          <w:lang w:val="en-US" w:eastAsia="zh-CN"/>
        </w:rPr>
        <w:t>重点支持方向。</w:t>
      </w:r>
      <w:r>
        <w:rPr>
          <w:rFonts w:hint="eastAsia" w:ascii="仿宋_GB2312" w:hAnsi="仿宋_GB2312" w:eastAsia="仿宋_GB2312" w:cs="仿宋_GB2312"/>
          <w:b w:val="0"/>
          <w:bCs w:val="0"/>
          <w:color w:val="auto"/>
          <w:spacing w:val="0"/>
          <w:w w:val="100"/>
          <w:kern w:val="2"/>
          <w:sz w:val="32"/>
          <w:szCs w:val="32"/>
          <w:lang w:val="en-US" w:eastAsia="zh-CN"/>
        </w:rPr>
        <w:t>一是</w:t>
      </w:r>
      <w:r>
        <w:rPr>
          <w:rFonts w:hint="eastAsia" w:ascii="仿宋_GB2312" w:hAnsi="仿宋_GB2312" w:eastAsia="仿宋_GB2312" w:cs="仿宋_GB2312"/>
          <w:sz w:val="32"/>
          <w:szCs w:val="32"/>
        </w:rPr>
        <w:t>聚焦符合</w:t>
      </w:r>
      <w:r>
        <w:rPr>
          <w:rFonts w:hint="eastAsia" w:ascii="仿宋_GB2312" w:hAnsi="仿宋_GB2312" w:eastAsia="仿宋_GB2312" w:cs="仿宋_GB2312"/>
          <w:sz w:val="32"/>
          <w:szCs w:val="32"/>
          <w:lang w:val="en-US" w:eastAsia="zh-CN"/>
        </w:rPr>
        <w:t>葛店经开</w:t>
      </w:r>
      <w:r>
        <w:rPr>
          <w:rFonts w:hint="eastAsia" w:ascii="仿宋_GB2312" w:hAnsi="仿宋_GB2312" w:eastAsia="仿宋_GB2312" w:cs="仿宋_GB2312"/>
          <w:sz w:val="32"/>
          <w:szCs w:val="32"/>
        </w:rPr>
        <w:t>区功能定位、规划布局，在文化、旅游、体育、商业、农业等领域具有区域示范性、带动性的项目</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聚焦具有行业影响力、引领作用明显的优质企业，产业规模提升较快、能够拉动提升行业经济效益的成长型企业以及自主创新能力突出的潜力型企业</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聚焦培育文化新质生产力</w:t>
      </w:r>
      <w:r>
        <w:rPr>
          <w:rFonts w:hint="eastAsia" w:ascii="仿宋_GB2312" w:hAnsi="仿宋_GB2312" w:eastAsia="仿宋_GB2312" w:cs="仿宋_GB2312"/>
          <w:sz w:val="32"/>
          <w:szCs w:val="32"/>
          <w:lang w:eastAsia="zh-CN"/>
        </w:rPr>
        <w:t>，发展文化消费</w:t>
      </w:r>
      <w:r>
        <w:rPr>
          <w:rFonts w:hint="eastAsia" w:ascii="仿宋_GB2312" w:hAnsi="仿宋_GB2312" w:eastAsia="仿宋_GB2312" w:cs="仿宋_GB2312"/>
          <w:sz w:val="32"/>
          <w:szCs w:val="32"/>
        </w:rPr>
        <w:t>新业态，打造农文旅体商融合发展新场景</w:t>
      </w:r>
      <w:r>
        <w:rPr>
          <w:rFonts w:hint="eastAsia" w:ascii="仿宋_GB2312" w:hAnsi="仿宋_GB2312" w:eastAsia="仿宋_GB2312" w:cs="仿宋_GB2312"/>
          <w:sz w:val="32"/>
          <w:szCs w:val="32"/>
          <w:lang w:eastAsia="zh-CN"/>
        </w:rPr>
        <w:t>；四是</w:t>
      </w:r>
      <w:r>
        <w:rPr>
          <w:rFonts w:hint="eastAsia" w:ascii="仿宋_GB2312" w:hAnsi="仿宋_GB2312" w:eastAsia="仿宋_GB2312" w:cs="仿宋_GB2312"/>
          <w:sz w:val="32"/>
          <w:szCs w:val="32"/>
        </w:rPr>
        <w:t>聚焦社会效益突出</w:t>
      </w:r>
      <w:r>
        <w:rPr>
          <w:rFonts w:hint="eastAsia" w:ascii="仿宋_GB2312" w:hAnsi="仿宋_GB2312" w:eastAsia="仿宋_GB2312" w:cs="仿宋_GB2312"/>
          <w:sz w:val="32"/>
          <w:szCs w:val="32"/>
          <w:lang w:eastAsia="zh-CN"/>
        </w:rPr>
        <w:t>、经济效益显著的文旅融合发展项目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大力</w:t>
      </w:r>
      <w:r>
        <w:rPr>
          <w:rFonts w:hint="eastAsia" w:ascii="仿宋_GB2312" w:hAnsi="仿宋_GB2312" w:eastAsia="仿宋_GB2312" w:cs="仿宋_GB2312"/>
          <w:sz w:val="32"/>
          <w:szCs w:val="32"/>
        </w:rPr>
        <w:t>传承弘扬中华优秀传统文化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提升文化旅游影响力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丰富惠民文化</w:t>
      </w:r>
      <w:r>
        <w:rPr>
          <w:rFonts w:hint="eastAsia" w:ascii="仿宋_GB2312" w:hAnsi="仿宋_GB2312" w:eastAsia="仿宋_GB2312" w:cs="仿宋_GB2312"/>
          <w:sz w:val="32"/>
          <w:szCs w:val="32"/>
          <w:lang w:eastAsia="zh-CN"/>
        </w:rPr>
        <w:t>资源</w:t>
      </w:r>
      <w:r>
        <w:rPr>
          <w:rFonts w:hint="eastAsia" w:ascii="仿宋_GB2312" w:hAnsi="仿宋_GB2312" w:eastAsia="仿宋_GB2312" w:cs="仿宋_GB2312"/>
          <w:sz w:val="32"/>
          <w:szCs w:val="32"/>
        </w:rPr>
        <w:t>供给。</w:t>
      </w:r>
    </w:p>
    <w:p>
      <w:pPr>
        <w:keepNext w:val="0"/>
        <w:keepLines w:val="0"/>
        <w:pageBreakBefore w:val="0"/>
        <w:widowControl/>
        <w:suppressAutoHyphens/>
        <w:kinsoku/>
        <w:wordWrap/>
        <w:overflowPunct/>
        <w:topLinePunct/>
        <w:autoSpaceDE/>
        <w:autoSpaceDN/>
        <w:bidi w:val="0"/>
        <w:adjustRightInd/>
        <w:snapToGrid/>
        <w:spacing w:line="570" w:lineRule="exact"/>
        <w:ind w:left="0" w:right="0" w:firstLine="640" w:firstLineChars="200"/>
        <w:jc w:val="left"/>
        <w:textAlignment w:val="baseline"/>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CESI楷体-GB2312" w:cs="CESI楷体-GB2312"/>
          <w:b/>
          <w:bCs/>
          <w:color w:val="auto"/>
          <w:sz w:val="32"/>
          <w:szCs w:val="32"/>
          <w:lang w:val="en-US" w:eastAsia="zh-CN"/>
        </w:rPr>
        <w:t>（二）支持范围及内容。</w:t>
      </w: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b/>
          <w:bCs/>
          <w:color w:val="auto"/>
          <w:sz w:val="32"/>
          <w:szCs w:val="32"/>
          <w:lang w:eastAsia="zh-CN"/>
        </w:rPr>
        <w:t>支持发展乡村文化旅游休闲项目。</w:t>
      </w:r>
      <w:r>
        <w:rPr>
          <w:rFonts w:hint="eastAsia" w:ascii="Times New Roman" w:hAnsi="Times New Roman" w:eastAsia="仿宋_GB2312" w:cs="Times New Roman"/>
          <w:b w:val="0"/>
          <w:bCs w:val="0"/>
          <w:color w:val="auto"/>
          <w:sz w:val="32"/>
          <w:szCs w:val="32"/>
          <w:lang w:eastAsia="zh-CN"/>
        </w:rPr>
        <w:t>从支持</w:t>
      </w:r>
      <w:r>
        <w:rPr>
          <w:rFonts w:hint="eastAsia" w:ascii="Times New Roman" w:hAnsi="Times New Roman" w:eastAsia="仿宋_GB2312" w:cs="Times New Roman"/>
          <w:b w:val="0"/>
          <w:bCs w:val="0"/>
          <w:color w:val="auto"/>
          <w:sz w:val="32"/>
          <w:szCs w:val="32"/>
        </w:rPr>
        <w:t>鼓励</w:t>
      </w:r>
      <w:r>
        <w:rPr>
          <w:rFonts w:hint="eastAsia" w:ascii="Times New Roman" w:hAnsi="Times New Roman" w:eastAsia="仿宋_GB2312" w:cs="Times New Roman"/>
          <w:b w:val="0"/>
          <w:bCs w:val="0"/>
          <w:color w:val="auto"/>
          <w:sz w:val="32"/>
          <w:szCs w:val="32"/>
          <w:lang w:eastAsia="zh-CN"/>
        </w:rPr>
        <w:t>市场主体发展</w:t>
      </w:r>
      <w:r>
        <w:rPr>
          <w:rFonts w:hint="eastAsia" w:ascii="Times New Roman" w:hAnsi="Times New Roman" w:eastAsia="仿宋_GB2312" w:cs="Times New Roman"/>
          <w:b w:val="0"/>
          <w:bCs w:val="0"/>
          <w:color w:val="auto"/>
          <w:sz w:val="32"/>
          <w:szCs w:val="32"/>
        </w:rPr>
        <w:t>高品质乡村</w:t>
      </w:r>
      <w:r>
        <w:rPr>
          <w:rFonts w:hint="eastAsia" w:ascii="Times New Roman" w:hAnsi="Times New Roman" w:eastAsia="仿宋_GB2312" w:cs="Times New Roman"/>
          <w:b w:val="0"/>
          <w:bCs w:val="0"/>
          <w:color w:val="auto"/>
          <w:sz w:val="32"/>
          <w:szCs w:val="32"/>
          <w:lang w:val="en-US" w:eastAsia="zh-CN"/>
        </w:rPr>
        <w:t>旅游</w:t>
      </w:r>
      <w:r>
        <w:rPr>
          <w:rFonts w:hint="eastAsia" w:ascii="Times New Roman" w:hAnsi="Times New Roman" w:eastAsia="仿宋_GB2312" w:cs="Times New Roman"/>
          <w:b w:val="0"/>
          <w:bCs w:val="0"/>
          <w:color w:val="auto"/>
          <w:sz w:val="32"/>
          <w:szCs w:val="32"/>
        </w:rPr>
        <w:t>休闲</w:t>
      </w:r>
      <w:r>
        <w:rPr>
          <w:rFonts w:hint="eastAsia" w:ascii="Times New Roman" w:hAnsi="Times New Roman" w:eastAsia="仿宋_GB2312" w:cs="Times New Roman"/>
          <w:b w:val="0"/>
          <w:bCs w:val="0"/>
          <w:color w:val="auto"/>
          <w:sz w:val="32"/>
          <w:szCs w:val="32"/>
          <w:lang w:val="en-US" w:eastAsia="zh-CN"/>
        </w:rPr>
        <w:t>项目和</w:t>
      </w:r>
      <w:r>
        <w:rPr>
          <w:rFonts w:hint="eastAsia" w:ascii="Times New Roman" w:hAnsi="Times New Roman" w:eastAsia="仿宋_GB2312" w:cs="Times New Roman"/>
          <w:b w:val="0"/>
          <w:bCs w:val="0"/>
          <w:color w:val="auto"/>
          <w:sz w:val="32"/>
          <w:szCs w:val="32"/>
          <w:lang w:eastAsia="zh-CN"/>
        </w:rPr>
        <w:t>加大乡村文化旅游休闲项目金融支持</w:t>
      </w:r>
      <w:r>
        <w:rPr>
          <w:rFonts w:hint="eastAsia" w:ascii="Times New Roman" w:hAnsi="Times New Roman" w:eastAsia="仿宋_GB2312" w:cs="Times New Roman"/>
          <w:b w:val="0"/>
          <w:bCs w:val="0"/>
          <w:color w:val="auto"/>
          <w:sz w:val="32"/>
          <w:szCs w:val="32"/>
          <w:lang w:val="en-US" w:eastAsia="zh-CN"/>
        </w:rPr>
        <w:t>两个方面进行</w:t>
      </w:r>
      <w:r>
        <w:rPr>
          <w:rFonts w:hint="eastAsia" w:ascii="仿宋_GB2312" w:hAnsi="仿宋_GB2312" w:eastAsia="仿宋_GB2312" w:cs="仿宋_GB2312"/>
          <w:b w:val="0"/>
          <w:bCs w:val="0"/>
          <w:sz w:val="32"/>
          <w:szCs w:val="32"/>
          <w:lang w:eastAsia="zh-CN" w:bidi="ar"/>
        </w:rPr>
        <w:t>阐</w:t>
      </w:r>
      <w:r>
        <w:rPr>
          <w:rFonts w:hint="eastAsia" w:ascii="Times New Roman" w:hAnsi="Times New Roman" w:eastAsia="仿宋_GB2312" w:cs="Times New Roman"/>
          <w:b w:val="0"/>
          <w:bCs w:val="0"/>
          <w:color w:val="auto"/>
          <w:sz w:val="32"/>
          <w:szCs w:val="32"/>
          <w:lang w:val="en-US" w:eastAsia="zh-CN"/>
        </w:rPr>
        <w:t>述</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bCs/>
          <w:color w:val="auto"/>
          <w:sz w:val="32"/>
          <w:szCs w:val="32"/>
          <w:lang w:eastAsia="zh-CN"/>
        </w:rPr>
        <w:t>二是支持</w:t>
      </w:r>
      <w:r>
        <w:rPr>
          <w:rFonts w:hint="eastAsia" w:ascii="Times New Roman" w:hAnsi="Times New Roman" w:eastAsia="仿宋_GB2312" w:cs="Times New Roman"/>
          <w:b/>
          <w:bCs/>
          <w:color w:val="auto"/>
          <w:sz w:val="32"/>
          <w:szCs w:val="32"/>
          <w:lang w:val="en-US" w:eastAsia="zh-CN"/>
        </w:rPr>
        <w:t>实体书店高质量发展。</w:t>
      </w:r>
      <w:r>
        <w:rPr>
          <w:rFonts w:hint="eastAsia" w:ascii="Times New Roman" w:hAnsi="Times New Roman" w:eastAsia="仿宋_GB2312" w:cs="Times New Roman"/>
          <w:b w:val="0"/>
          <w:bCs w:val="0"/>
          <w:color w:val="auto"/>
          <w:sz w:val="32"/>
          <w:szCs w:val="32"/>
          <w:lang w:val="en-US" w:eastAsia="zh-CN"/>
        </w:rPr>
        <w:t>从实体书店定义、奖补内容和奖补标准三个方面进行</w:t>
      </w:r>
      <w:r>
        <w:rPr>
          <w:rFonts w:hint="eastAsia" w:ascii="仿宋_GB2312" w:hAnsi="仿宋_GB2312" w:eastAsia="仿宋_GB2312" w:cs="仿宋_GB2312"/>
          <w:b w:val="0"/>
          <w:bCs w:val="0"/>
          <w:sz w:val="32"/>
          <w:szCs w:val="32"/>
          <w:lang w:eastAsia="zh-CN" w:bidi="ar"/>
        </w:rPr>
        <w:t>阐</w:t>
      </w:r>
      <w:r>
        <w:rPr>
          <w:rFonts w:hint="eastAsia" w:ascii="Times New Roman" w:hAnsi="Times New Roman" w:eastAsia="仿宋_GB2312" w:cs="Times New Roman"/>
          <w:b w:val="0"/>
          <w:bCs w:val="0"/>
          <w:color w:val="auto"/>
          <w:sz w:val="32"/>
          <w:szCs w:val="32"/>
          <w:lang w:val="en-US" w:eastAsia="zh-CN"/>
        </w:rPr>
        <w:t>述；</w:t>
      </w:r>
      <w:r>
        <w:rPr>
          <w:rFonts w:hint="eastAsia" w:ascii="Times New Roman" w:hAnsi="Times New Roman" w:eastAsia="仿宋_GB2312" w:cs="Times New Roman"/>
          <w:b/>
          <w:bCs/>
          <w:color w:val="auto"/>
          <w:sz w:val="32"/>
          <w:szCs w:val="32"/>
          <w:lang w:val="en-US" w:eastAsia="zh-CN"/>
        </w:rPr>
        <w:t>三是支持打造有特色、有品位的公共阅读空间。</w:t>
      </w:r>
      <w:r>
        <w:rPr>
          <w:rFonts w:hint="eastAsia" w:ascii="Times New Roman" w:hAnsi="Times New Roman" w:eastAsia="仿宋_GB2312" w:cs="Times New Roman"/>
          <w:b w:val="0"/>
          <w:bCs w:val="0"/>
          <w:color w:val="auto"/>
          <w:sz w:val="32"/>
          <w:szCs w:val="32"/>
          <w:lang w:val="en-US" w:eastAsia="zh-CN"/>
        </w:rPr>
        <w:t>从大力建设公益性公共阅读空间和</w:t>
      </w:r>
      <w:r>
        <w:rPr>
          <w:rFonts w:hint="eastAsia" w:ascii="Times New Roman" w:hAnsi="Times New Roman" w:eastAsia="仿宋_GB2312" w:cs="Times New Roman"/>
          <w:b w:val="0"/>
          <w:bCs w:val="0"/>
          <w:color w:val="auto"/>
          <w:kern w:val="2"/>
          <w:sz w:val="32"/>
          <w:szCs w:val="32"/>
          <w:highlight w:val="none"/>
          <w:lang w:val="en-US" w:eastAsia="zh-CN" w:bidi="ar"/>
        </w:rPr>
        <w:t>支持社会力量参与创办公共阅读空间</w:t>
      </w:r>
      <w:r>
        <w:rPr>
          <w:rFonts w:hint="eastAsia" w:ascii="Times New Roman" w:hAnsi="Times New Roman" w:eastAsia="仿宋_GB2312" w:cs="Times New Roman"/>
          <w:b w:val="0"/>
          <w:bCs w:val="0"/>
          <w:color w:val="auto"/>
          <w:sz w:val="32"/>
          <w:szCs w:val="32"/>
          <w:lang w:val="en-US" w:eastAsia="zh-CN"/>
        </w:rPr>
        <w:t>两个方面进行</w:t>
      </w:r>
      <w:r>
        <w:rPr>
          <w:rFonts w:hint="eastAsia" w:ascii="仿宋_GB2312" w:hAnsi="仿宋_GB2312" w:eastAsia="仿宋_GB2312" w:cs="仿宋_GB2312"/>
          <w:b w:val="0"/>
          <w:bCs w:val="0"/>
          <w:sz w:val="32"/>
          <w:szCs w:val="32"/>
          <w:lang w:eastAsia="zh-CN" w:bidi="ar"/>
        </w:rPr>
        <w:t>阐</w:t>
      </w:r>
      <w:r>
        <w:rPr>
          <w:rFonts w:hint="eastAsia" w:ascii="Times New Roman" w:hAnsi="Times New Roman" w:eastAsia="仿宋_GB2312" w:cs="Times New Roman"/>
          <w:b w:val="0"/>
          <w:bCs w:val="0"/>
          <w:color w:val="auto"/>
          <w:sz w:val="32"/>
          <w:szCs w:val="32"/>
          <w:lang w:val="en-US" w:eastAsia="zh-CN"/>
        </w:rPr>
        <w:t>述；</w:t>
      </w:r>
      <w:r>
        <w:rPr>
          <w:rFonts w:hint="eastAsia" w:ascii="Times New Roman" w:hAnsi="Times New Roman" w:eastAsia="仿宋_GB2312" w:cs="Times New Roman"/>
          <w:b/>
          <w:bCs/>
          <w:color w:val="auto"/>
          <w:sz w:val="32"/>
          <w:szCs w:val="32"/>
          <w:lang w:val="en-US" w:eastAsia="zh-CN"/>
        </w:rPr>
        <w:t>四是支持参与各类评选表彰活动。</w:t>
      </w:r>
      <w:r>
        <w:rPr>
          <w:rFonts w:hint="eastAsia" w:ascii="Times New Roman" w:hAnsi="Times New Roman" w:eastAsia="仿宋_GB2312" w:cs="Times New Roman"/>
          <w:b w:val="0"/>
          <w:bCs w:val="0"/>
          <w:color w:val="auto"/>
          <w:sz w:val="32"/>
          <w:szCs w:val="32"/>
          <w:lang w:val="en-US" w:eastAsia="zh-CN"/>
        </w:rPr>
        <w:t>从表彰的范围和标准两个方面进行</w:t>
      </w:r>
      <w:r>
        <w:rPr>
          <w:rFonts w:hint="eastAsia" w:ascii="仿宋_GB2312" w:hAnsi="仿宋_GB2312" w:eastAsia="仿宋_GB2312" w:cs="仿宋_GB2312"/>
          <w:b w:val="0"/>
          <w:bCs w:val="0"/>
          <w:sz w:val="32"/>
          <w:szCs w:val="32"/>
          <w:lang w:eastAsia="zh-CN" w:bidi="ar"/>
        </w:rPr>
        <w:t>阐</w:t>
      </w:r>
      <w:r>
        <w:rPr>
          <w:rFonts w:hint="eastAsia" w:ascii="Times New Roman" w:hAnsi="Times New Roman" w:eastAsia="仿宋_GB2312" w:cs="Times New Roman"/>
          <w:b w:val="0"/>
          <w:bCs w:val="0"/>
          <w:color w:val="auto"/>
          <w:sz w:val="32"/>
          <w:szCs w:val="32"/>
          <w:lang w:val="en-US" w:eastAsia="zh-CN"/>
        </w:rPr>
        <w:t>述。</w:t>
      </w:r>
    </w:p>
    <w:p>
      <w:pPr>
        <w:keepNext w:val="0"/>
        <w:keepLines w:val="0"/>
        <w:pageBreakBefore w:val="0"/>
        <w:widowControl/>
        <w:suppressAutoHyphens/>
        <w:kinsoku/>
        <w:wordWrap/>
        <w:overflowPunct/>
        <w:topLinePunct/>
        <w:autoSpaceDE/>
        <w:autoSpaceDN/>
        <w:bidi w:val="0"/>
        <w:adjustRightInd/>
        <w:snapToGrid/>
        <w:spacing w:line="570" w:lineRule="exact"/>
        <w:ind w:right="0" w:firstLine="640" w:firstLineChars="200"/>
        <w:jc w:val="left"/>
        <w:textAlignment w:val="baseline"/>
        <w:outlineLvl w:val="9"/>
        <w:rPr>
          <w:rFonts w:hint="eastAsia" w:ascii="Times New Roman" w:hAnsi="Times New Roman" w:eastAsia="仿宋_GB2312" w:cs="Times New Roman"/>
          <w:color w:val="auto"/>
          <w:spacing w:val="0"/>
          <w:w w:val="100"/>
          <w:kern w:val="2"/>
          <w:sz w:val="32"/>
          <w:szCs w:val="32"/>
          <w:lang w:val="en-US" w:eastAsia="zh-CN"/>
        </w:rPr>
      </w:pPr>
      <w:r>
        <w:rPr>
          <w:rFonts w:hint="eastAsia" w:ascii="Times New Roman" w:hAnsi="Times New Roman" w:eastAsia="CESI楷体-GB2312" w:cs="CESI楷体-GB2312"/>
          <w:b/>
          <w:bCs/>
          <w:color w:val="auto"/>
          <w:sz w:val="32"/>
          <w:szCs w:val="32"/>
          <w:lang w:val="en-US" w:eastAsia="zh-CN"/>
        </w:rPr>
        <w:t>（三）奖补申报程序。</w:t>
      </w:r>
      <w:r>
        <w:rPr>
          <w:rFonts w:hint="eastAsia" w:ascii="仿宋_GB2312" w:hAnsi="仿宋_GB2312" w:eastAsia="仿宋_GB2312" w:cs="仿宋_GB2312"/>
          <w:sz w:val="32"/>
          <w:szCs w:val="32"/>
        </w:rPr>
        <w:t>项目申报和审核按照“</w:t>
      </w:r>
      <w:r>
        <w:rPr>
          <w:rFonts w:hint="eastAsia" w:ascii="仿宋_GB2312" w:hAnsi="仿宋_GB2312" w:eastAsia="仿宋_GB2312" w:cs="仿宋_GB2312"/>
          <w:sz w:val="32"/>
          <w:szCs w:val="32"/>
          <w:lang w:val="en-US" w:eastAsia="zh-CN"/>
        </w:rPr>
        <w:t>项目申报、项目</w:t>
      </w:r>
      <w:r>
        <w:rPr>
          <w:rFonts w:hint="eastAsia" w:ascii="仿宋_GB2312" w:hAnsi="仿宋_GB2312" w:eastAsia="仿宋_GB2312" w:cs="仿宋_GB2312"/>
          <w:sz w:val="32"/>
          <w:szCs w:val="32"/>
        </w:rPr>
        <w:t>审核、评审公示”的程序执行，</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kern w:val="0"/>
          <w:sz w:val="32"/>
          <w:szCs w:val="32"/>
          <w:highlight w:val="none"/>
          <w:lang w:val="en-US" w:eastAsia="zh-CN" w:bidi="ar"/>
        </w:rPr>
        <w:t>区城乡融合发展局会同区党政办（宣传）负责评审工作的组织与实施</w:t>
      </w:r>
      <w:r>
        <w:rPr>
          <w:rFonts w:hint="eastAsia" w:ascii="Times New Roman" w:hAnsi="Times New Roman" w:eastAsia="仿宋_GB2312" w:cs="Times New Roman"/>
          <w:color w:val="auto"/>
          <w:spacing w:val="0"/>
          <w:w w:val="100"/>
          <w:kern w:val="2"/>
          <w:sz w:val="32"/>
          <w:szCs w:val="32"/>
          <w:lang w:val="en-US" w:eastAsia="zh-CN"/>
        </w:rPr>
        <w:t>。</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580" w:lineRule="exact"/>
        <w:ind w:right="0" w:firstLine="640" w:firstLineChars="200"/>
        <w:jc w:val="left"/>
        <w:textAlignment w:val="auto"/>
        <w:outlineLvl w:val="9"/>
        <w:rPr>
          <w:rFonts w:hint="eastAsia" w:ascii="Times New Roman" w:hAnsi="Times New Roman" w:eastAsia="CESI黑体-GB2312" w:cs="CESI黑体-GB2312"/>
          <w:b w:val="0"/>
          <w:bCs w:val="0"/>
          <w:color w:val="auto"/>
          <w:kern w:val="0"/>
          <w:sz w:val="32"/>
          <w:szCs w:val="32"/>
          <w:lang w:val="en-US" w:eastAsia="zh-CN"/>
        </w:rPr>
      </w:pPr>
      <w:r>
        <w:rPr>
          <w:rFonts w:hint="eastAsia" w:ascii="Times New Roman" w:hAnsi="Times New Roman" w:eastAsia="CESI楷体-GB2312" w:cs="CESI楷体-GB2312"/>
          <w:b/>
          <w:bCs/>
          <w:color w:val="auto"/>
          <w:sz w:val="32"/>
          <w:szCs w:val="32"/>
          <w:lang w:val="en-US" w:eastAsia="zh-CN"/>
        </w:rPr>
        <w:t>（四）加强监督管理。</w:t>
      </w:r>
      <w:r>
        <w:rPr>
          <w:rFonts w:hint="eastAsia" w:ascii="仿宋_GB2312" w:hAnsi="仿宋_GB2312" w:eastAsia="仿宋_GB2312" w:cs="仿宋_GB2312"/>
          <w:b w:val="0"/>
          <w:bCs w:val="0"/>
          <w:kern w:val="0"/>
          <w:sz w:val="32"/>
          <w:szCs w:val="32"/>
          <w:highlight w:val="none"/>
          <w:lang w:val="en-US" w:eastAsia="zh-CN" w:bidi="ar"/>
        </w:rPr>
        <w:t>从健全工作机制、</w:t>
      </w:r>
      <w:r>
        <w:rPr>
          <w:rFonts w:hint="eastAsia" w:ascii="仿宋_GB2312" w:hAnsi="仿宋_GB2312" w:eastAsia="仿宋_GB2312" w:cs="仿宋_GB2312"/>
          <w:b w:val="0"/>
          <w:bCs w:val="0"/>
          <w:kern w:val="2"/>
          <w:sz w:val="32"/>
          <w:szCs w:val="32"/>
          <w:highlight w:val="none"/>
          <w:lang w:val="en-US" w:eastAsia="zh-CN" w:bidi="ar"/>
        </w:rPr>
        <w:t>加强资金监管</w:t>
      </w:r>
      <w:r>
        <w:rPr>
          <w:rFonts w:hint="eastAsia"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b w:val="0"/>
          <w:bCs w:val="0"/>
          <w:sz w:val="32"/>
          <w:szCs w:val="32"/>
          <w:lang w:eastAsia="zh-CN" w:bidi="ar"/>
        </w:rPr>
        <w:t>明确支持原则三个方面进行阐述</w:t>
      </w:r>
      <w:r>
        <w:rPr>
          <w:rFonts w:hint="eastAsia" w:ascii="Times New Roman" w:hAnsi="Times New Roman" w:eastAsia="仿宋_GB2312" w:cs="Times New Roman"/>
          <w:color w:val="auto"/>
          <w:spacing w:val="0"/>
          <w:w w:val="100"/>
          <w:kern w:val="2"/>
          <w:sz w:val="32"/>
          <w:szCs w:val="32"/>
          <w:lang w:val="en-US" w:eastAsia="zh-CN"/>
        </w:rPr>
        <w:t>。</w:t>
      </w:r>
    </w:p>
    <w:p>
      <w:pPr>
        <w:keepNext w:val="0"/>
        <w:keepLines w:val="0"/>
        <w:pageBreakBefore w:val="0"/>
        <w:widowControl w:val="0"/>
        <w:suppressAutoHyphens/>
        <w:kinsoku/>
        <w:wordWrap w:val="0"/>
        <w:overflowPunct/>
        <w:topLinePunct w:val="0"/>
        <w:autoSpaceDE/>
        <w:autoSpaceDN/>
        <w:bidi w:val="0"/>
        <w:adjustRightInd/>
        <w:snapToGrid/>
        <w:spacing w:line="580" w:lineRule="exact"/>
        <w:ind w:right="0" w:firstLine="640" w:firstLineChars="200"/>
        <w:jc w:val="both"/>
        <w:textAlignment w:val="auto"/>
        <w:outlineLvl w:val="9"/>
        <w:rPr>
          <w:rFonts w:hint="eastAsia" w:ascii="Times New Roman" w:hAnsi="Times New Roman" w:eastAsia="CESI黑体-GB2312" w:cs="CESI黑体-GB2312"/>
          <w:b w:val="0"/>
          <w:bCs w:val="0"/>
          <w:color w:val="auto"/>
          <w:kern w:val="0"/>
          <w:sz w:val="32"/>
          <w:szCs w:val="32"/>
          <w:lang w:val="en-US" w:eastAsia="zh-CN"/>
        </w:rPr>
      </w:pPr>
      <w:r>
        <w:rPr>
          <w:rFonts w:hint="eastAsia" w:ascii="Times New Roman" w:hAnsi="Times New Roman" w:eastAsia="CESI黑体-GB2312" w:cs="CESI黑体-GB2312"/>
          <w:b w:val="0"/>
          <w:bCs w:val="0"/>
          <w:color w:val="auto"/>
          <w:kern w:val="0"/>
          <w:sz w:val="32"/>
          <w:szCs w:val="32"/>
          <w:lang w:val="en-US" w:eastAsia="zh-CN"/>
        </w:rPr>
        <w:t>三、征求意见情况</w:t>
      </w:r>
    </w:p>
    <w:p>
      <w:pPr>
        <w:keepNext w:val="0"/>
        <w:keepLines w:val="0"/>
        <w:pageBreakBefore w:val="0"/>
        <w:widowControl/>
        <w:suppressAutoHyphens/>
        <w:kinsoku/>
        <w:wordWrap/>
        <w:overflowPunct/>
        <w:topLinePunct/>
        <w:autoSpaceDE/>
        <w:autoSpaceDN/>
        <w:bidi w:val="0"/>
        <w:adjustRightInd/>
        <w:snapToGrid/>
        <w:spacing w:line="570" w:lineRule="exact"/>
        <w:ind w:right="0" w:firstLine="640" w:firstLineChars="200"/>
        <w:jc w:val="left"/>
        <w:textAlignment w:val="baseline"/>
        <w:outlineLvl w:val="9"/>
        <w:rPr>
          <w:rFonts w:hint="eastAsia" w:ascii="Times New Roman" w:hAnsi="Times New Roman" w:eastAsia="CESI黑体-GB2312" w:cs="CESI黑体-GB2312"/>
          <w:b w:val="0"/>
          <w:bCs w:val="0"/>
          <w:color w:val="auto"/>
          <w:kern w:val="0"/>
          <w:sz w:val="32"/>
          <w:szCs w:val="32"/>
          <w:lang w:val="en-US" w:eastAsia="zh-CN"/>
        </w:rPr>
      </w:pPr>
      <w:r>
        <w:rPr>
          <w:rFonts w:hint="eastAsia" w:ascii="Times New Roman" w:hAnsi="Times New Roman" w:eastAsia="仿宋_GB2312" w:cs="Times New Roman"/>
          <w:color w:val="auto"/>
          <w:spacing w:val="0"/>
          <w:w w:val="100"/>
          <w:kern w:val="2"/>
          <w:sz w:val="32"/>
          <w:szCs w:val="32"/>
          <w:lang w:val="en-US" w:eastAsia="zh-CN"/>
        </w:rPr>
        <w:t>2025年12月22日，区城乡融合发展局以书面形式征求了区党政办（宣传）、区财金局、区招商局、区市场监管分局、建投公司等5家单位意见，共收到建议1条，采纳1条。2025年12月24日区工委会对《若干措施（送审稿）》进行了第一次审议，提出了“进一步修改完善”“按程序做好公平竞争审查工作”的要求。区城乡融合发展局根据工委会要求做了全区实体书店资金测算、实体书店和阅读空间考核评价体系制定以及公平竞争审查等工作，并根据相关结果对《若干措施（试行）（送审稿）》进行了修改和完善。</w:t>
      </w:r>
    </w:p>
    <w:p>
      <w:pPr>
        <w:keepNext w:val="0"/>
        <w:keepLines w:val="0"/>
        <w:pageBreakBefore w:val="0"/>
        <w:widowControl/>
        <w:suppressAutoHyphens/>
        <w:kinsoku/>
        <w:wordWrap/>
        <w:overflowPunct/>
        <w:topLinePunct/>
        <w:autoSpaceDE/>
        <w:autoSpaceDN/>
        <w:bidi w:val="0"/>
        <w:adjustRightInd/>
        <w:snapToGrid/>
        <w:spacing w:line="570" w:lineRule="exact"/>
        <w:ind w:right="0" w:firstLine="640" w:firstLineChars="200"/>
        <w:jc w:val="left"/>
        <w:textAlignment w:val="baseline"/>
        <w:outlineLvl w:val="9"/>
        <w:rPr>
          <w:rFonts w:hint="eastAsia" w:ascii="Times New Roman" w:hAnsi="Times New Roman" w:eastAsia="CESI黑体-GB2312" w:cs="CESI黑体-GB2312"/>
          <w:b w:val="0"/>
          <w:bCs w:val="0"/>
          <w:color w:val="auto"/>
          <w:kern w:val="0"/>
          <w:sz w:val="32"/>
          <w:szCs w:val="32"/>
          <w:lang w:val="en-US" w:eastAsia="zh-CN"/>
        </w:rPr>
      </w:pPr>
      <w:r>
        <w:rPr>
          <w:rFonts w:hint="eastAsia" w:ascii="Times New Roman" w:hAnsi="Times New Roman" w:eastAsia="CESI黑体-GB2312" w:cs="CESI黑体-GB2312"/>
          <w:b w:val="0"/>
          <w:bCs w:val="0"/>
          <w:color w:val="auto"/>
          <w:kern w:val="0"/>
          <w:sz w:val="32"/>
          <w:szCs w:val="32"/>
          <w:lang w:val="en-US" w:eastAsia="zh-CN"/>
        </w:rPr>
        <w:t>四、有关建议</w:t>
      </w:r>
    </w:p>
    <w:p>
      <w:pPr>
        <w:keepNext w:val="0"/>
        <w:keepLines w:val="0"/>
        <w:pageBreakBefore w:val="0"/>
        <w:widowControl/>
        <w:suppressAutoHyphens/>
        <w:kinsoku/>
        <w:wordWrap/>
        <w:overflowPunct/>
        <w:topLinePunct/>
        <w:autoSpaceDE/>
        <w:autoSpaceDN/>
        <w:bidi w:val="0"/>
        <w:adjustRightInd/>
        <w:snapToGrid/>
        <w:spacing w:line="570" w:lineRule="exact"/>
        <w:ind w:right="0" w:firstLine="640" w:firstLineChars="200"/>
        <w:jc w:val="left"/>
        <w:textAlignment w:val="baseline"/>
        <w:outlineLvl w:val="9"/>
        <w:rPr>
          <w:rFonts w:hint="eastAsia" w:ascii="Times New Roman" w:hAnsi="Times New Roman" w:eastAsia="仿宋_GB2312" w:cs="Times New Roman"/>
          <w:color w:val="auto"/>
          <w:spacing w:val="0"/>
          <w:w w:val="100"/>
          <w:kern w:val="2"/>
          <w:sz w:val="32"/>
          <w:szCs w:val="32"/>
          <w:lang w:val="en-US" w:eastAsia="zh-CN"/>
        </w:rPr>
      </w:pPr>
      <w:r>
        <w:rPr>
          <w:rFonts w:hint="eastAsia" w:ascii="Times New Roman" w:hAnsi="Times New Roman" w:eastAsia="仿宋_GB2312" w:cs="Times New Roman"/>
          <w:color w:val="auto"/>
          <w:spacing w:val="0"/>
          <w:w w:val="100"/>
          <w:kern w:val="2"/>
          <w:sz w:val="32"/>
          <w:szCs w:val="32"/>
          <w:lang w:val="en-US" w:eastAsia="zh-CN"/>
        </w:rPr>
        <w:t>建议《若干措施（送审稿）》经区主任办公会议审议通过后，以区党工委管委会办公室名义印发实施。</w:t>
      </w:r>
    </w:p>
    <w:p>
      <w:pPr>
        <w:keepNext w:val="0"/>
        <w:keepLines w:val="0"/>
        <w:pageBreakBefore w:val="0"/>
        <w:widowControl w:val="0"/>
        <w:suppressAutoHyphens/>
        <w:kinsoku/>
        <w:wordWrap w:val="0"/>
        <w:overflowPunct/>
        <w:topLinePunct w:val="0"/>
        <w:autoSpaceDE/>
        <w:autoSpaceDN/>
        <w:bidi w:val="0"/>
        <w:adjustRightInd/>
        <w:snapToGrid/>
        <w:spacing w:line="580" w:lineRule="exact"/>
        <w:ind w:right="0" w:firstLine="640" w:firstLineChars="200"/>
        <w:jc w:val="both"/>
        <w:textAlignment w:val="auto"/>
        <w:outlineLvl w:val="9"/>
        <w:rPr>
          <w:rFonts w:hint="eastAsia" w:ascii="Times New Roman" w:hAnsi="Times New Roman" w:eastAsia="仿宋_GB2312" w:cs="Times New Roman"/>
          <w:color w:val="auto"/>
          <w:spacing w:val="0"/>
          <w:w w:val="100"/>
          <w:kern w:val="2"/>
          <w:sz w:val="32"/>
          <w:szCs w:val="32"/>
          <w:lang w:val="en-US" w:eastAsia="zh-CN"/>
        </w:rPr>
      </w:pPr>
    </w:p>
    <w:p>
      <w:pPr>
        <w:keepNext w:val="0"/>
        <w:keepLines w:val="0"/>
        <w:pageBreakBefore w:val="0"/>
        <w:widowControl w:val="0"/>
        <w:suppressAutoHyphens/>
        <w:kinsoku/>
        <w:wordWrap w:val="0"/>
        <w:overflowPunct/>
        <w:topLinePunct w:val="0"/>
        <w:autoSpaceDE/>
        <w:autoSpaceDN/>
        <w:bidi w:val="0"/>
        <w:adjustRightInd/>
        <w:snapToGrid/>
        <w:spacing w:line="580" w:lineRule="exact"/>
        <w:ind w:right="0" w:firstLine="640" w:firstLineChars="200"/>
        <w:jc w:val="both"/>
        <w:textAlignment w:val="auto"/>
        <w:outlineLvl w:val="9"/>
        <w:rPr>
          <w:rFonts w:hint="eastAsia" w:ascii="Times New Roman" w:hAnsi="Times New Roman" w:eastAsia="仿宋_GB2312" w:cs="Times New Roman"/>
          <w:color w:val="auto"/>
          <w:spacing w:val="0"/>
          <w:w w:val="100"/>
          <w:kern w:val="2"/>
          <w:sz w:val="32"/>
          <w:szCs w:val="32"/>
          <w:lang w:val="en-US" w:eastAsia="zh-CN"/>
        </w:rPr>
      </w:pPr>
      <w:r>
        <w:rPr>
          <w:rFonts w:hint="eastAsia" w:ascii="Times New Roman" w:hAnsi="Times New Roman" w:eastAsia="仿宋_GB2312" w:cs="Times New Roman"/>
          <w:color w:val="auto"/>
          <w:spacing w:val="0"/>
          <w:w w:val="100"/>
          <w:kern w:val="2"/>
          <w:sz w:val="32"/>
          <w:szCs w:val="32"/>
          <w:lang w:val="en-US" w:eastAsia="zh-CN"/>
        </w:rPr>
        <w:t>附件：1.葛店经开区关于支持文化旅游产业发展的若干措施</w:t>
      </w:r>
    </w:p>
    <w:p>
      <w:pPr>
        <w:keepNext w:val="0"/>
        <w:keepLines w:val="0"/>
        <w:pageBreakBefore w:val="0"/>
        <w:widowControl w:val="0"/>
        <w:suppressAutoHyphens/>
        <w:kinsoku/>
        <w:wordWrap w:val="0"/>
        <w:overflowPunct/>
        <w:topLinePunct w:val="0"/>
        <w:autoSpaceDE/>
        <w:autoSpaceDN/>
        <w:bidi w:val="0"/>
        <w:adjustRightInd/>
        <w:snapToGrid/>
        <w:spacing w:line="580" w:lineRule="exact"/>
        <w:ind w:right="0" w:firstLine="1600" w:firstLineChars="500"/>
        <w:jc w:val="both"/>
        <w:textAlignment w:val="auto"/>
        <w:outlineLvl w:val="9"/>
        <w:rPr>
          <w:rFonts w:hint="default" w:ascii="Times New Roman" w:hAnsi="Times New Roman" w:eastAsia="仿宋_GB2312" w:cs="Times New Roman"/>
          <w:color w:val="auto"/>
          <w:spacing w:val="0"/>
          <w:w w:val="100"/>
          <w:kern w:val="2"/>
          <w:sz w:val="32"/>
          <w:szCs w:val="32"/>
          <w:lang w:val="en-US" w:eastAsia="zh-CN"/>
        </w:rPr>
      </w:pPr>
      <w:r>
        <w:rPr>
          <w:rFonts w:hint="eastAsia" w:ascii="Times New Roman" w:hAnsi="Times New Roman" w:eastAsia="仿宋_GB2312" w:cs="Times New Roman"/>
          <w:color w:val="auto"/>
          <w:spacing w:val="0"/>
          <w:w w:val="100"/>
          <w:kern w:val="2"/>
          <w:sz w:val="32"/>
          <w:szCs w:val="32"/>
          <w:lang w:val="en-US" w:eastAsia="zh-CN"/>
        </w:rPr>
        <w:t>（试行）（送审稿）</w:t>
      </w:r>
    </w:p>
    <w:p>
      <w:pPr>
        <w:keepNext w:val="0"/>
        <w:keepLines w:val="0"/>
        <w:pageBreakBefore w:val="0"/>
        <w:widowControl w:val="0"/>
        <w:suppressAutoHyphens/>
        <w:kinsoku/>
        <w:wordWrap w:val="0"/>
        <w:overflowPunct/>
        <w:topLinePunct w:val="0"/>
        <w:autoSpaceDE/>
        <w:autoSpaceDN/>
        <w:bidi w:val="0"/>
        <w:adjustRightInd/>
        <w:snapToGrid/>
        <w:spacing w:line="580" w:lineRule="exact"/>
        <w:ind w:right="0" w:firstLine="640" w:firstLineChars="200"/>
        <w:jc w:val="both"/>
        <w:textAlignment w:val="auto"/>
        <w:outlineLvl w:val="9"/>
        <w:rPr>
          <w:rFonts w:hint="eastAsia" w:ascii="Times New Roman" w:hAnsi="Times New Roman" w:eastAsia="仿宋_GB2312" w:cs="Times New Roman"/>
          <w:color w:val="auto"/>
          <w:spacing w:val="0"/>
          <w:w w:val="100"/>
          <w:kern w:val="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80" w:lineRule="exact"/>
        <w:ind w:firstLine="0" w:firstLineChars="0"/>
        <w:jc w:val="both"/>
        <w:textAlignment w:val="auto"/>
        <w:rPr>
          <w:rFonts w:hint="eastAsia" w:ascii="方正黑体_GBK" w:hAnsi="方正黑体_GBK" w:eastAsia="方正黑体_GBK" w:cs="方正黑体_GBK"/>
          <w:sz w:val="32"/>
          <w:szCs w:val="32"/>
          <w:lang w:val="en-US" w:eastAsia="zh-CN"/>
        </w:rPr>
      </w:pPr>
      <w:r>
        <w:rPr>
          <w:rFonts w:hint="eastAsia" w:ascii="Times New Roman" w:hAnsi="Times New Roman" w:eastAsia="仿宋_GB2312" w:cs="Times New Roman"/>
          <w:color w:val="auto"/>
          <w:spacing w:val="0"/>
          <w:w w:val="100"/>
          <w:kern w:val="2"/>
          <w:sz w:val="32"/>
          <w:szCs w:val="32"/>
          <w:lang w:val="en-US" w:eastAsia="zh-CN"/>
        </w:rPr>
        <w:br w:type="page"/>
      </w:r>
      <w:r>
        <w:rPr>
          <w:rFonts w:hint="eastAsia" w:ascii="方正黑体_GBK" w:hAnsi="方正黑体_GBK" w:eastAsia="方正黑体_GBK" w:cs="方正黑体_GBK"/>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157" w:beforeLines="50" w:line="6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葛店经开</w:t>
      </w:r>
      <w:r>
        <w:rPr>
          <w:rFonts w:hint="eastAsia" w:ascii="方正小标宋简体" w:hAnsi="方正小标宋简体" w:eastAsia="方正小标宋简体" w:cs="方正小标宋简体"/>
          <w:sz w:val="44"/>
          <w:szCs w:val="44"/>
        </w:rPr>
        <w:t>区关于支持</w:t>
      </w: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文化旅游产业发展</w:t>
      </w: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sz w:val="44"/>
          <w:szCs w:val="44"/>
        </w:rPr>
        <w:t>若干措施</w:t>
      </w:r>
      <w:r>
        <w:rPr>
          <w:rFonts w:hint="eastAsia" w:ascii="方正小标宋简体" w:hAnsi="方正小标宋简体" w:eastAsia="方正小标宋简体" w:cs="方正小标宋简体"/>
          <w:sz w:val="44"/>
          <w:szCs w:val="44"/>
          <w:lang w:eastAsia="zh-CN"/>
        </w:rPr>
        <w:t>（试行）</w:t>
      </w:r>
    </w:p>
    <w:p>
      <w:pPr>
        <w:spacing w:before="157" w:beforeLines="50" w:line="580" w:lineRule="exact"/>
        <w:jc w:val="center"/>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sz w:val="32"/>
          <w:szCs w:val="32"/>
          <w:lang w:eastAsia="zh-CN"/>
        </w:rPr>
        <w:t>（送审稿）</w:t>
      </w:r>
    </w:p>
    <w:p>
      <w:pPr>
        <w:spacing w:line="580" w:lineRule="exact"/>
        <w:rPr>
          <w:rFonts w:hint="eastAsia" w:ascii="仿宋" w:hAnsi="仿宋" w:eastAsia="仿宋" w:cs="仿宋"/>
          <w:sz w:val="32"/>
          <w:szCs w:val="32"/>
        </w:rPr>
      </w:pP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为深入贯彻习近平新时代中国特色社会主义思想，弘扬中华优秀传统文化，满足人民群众</w:t>
      </w:r>
      <w:r>
        <w:rPr>
          <w:rFonts w:hint="eastAsia" w:ascii="仿宋_GB2312" w:hAnsi="仿宋_GB2312" w:eastAsia="仿宋_GB2312" w:cs="仿宋_GB2312"/>
          <w:sz w:val="32"/>
          <w:szCs w:val="32"/>
          <w:lang w:eastAsia="zh-CN"/>
        </w:rPr>
        <w:t>日益增长多元</w:t>
      </w:r>
      <w:r>
        <w:rPr>
          <w:rFonts w:hint="eastAsia" w:ascii="仿宋_GB2312" w:hAnsi="仿宋_GB2312" w:eastAsia="仿宋_GB2312" w:cs="仿宋_GB2312"/>
          <w:sz w:val="32"/>
          <w:szCs w:val="32"/>
        </w:rPr>
        <w:t>文化需求，</w:t>
      </w:r>
      <w:r>
        <w:rPr>
          <w:rFonts w:hint="eastAsia" w:ascii="仿宋_GB2312" w:hAnsi="仿宋_GB2312" w:eastAsia="仿宋_GB2312" w:cs="仿宋_GB2312"/>
          <w:sz w:val="32"/>
          <w:szCs w:val="32"/>
          <w:lang w:eastAsia="zh-CN"/>
        </w:rPr>
        <w:t>着力打造</w:t>
      </w:r>
      <w:r>
        <w:rPr>
          <w:rFonts w:hint="eastAsia" w:ascii="仿宋_GB2312" w:hAnsi="仿宋_GB2312" w:eastAsia="仿宋_GB2312" w:cs="仿宋_GB2312"/>
          <w:sz w:val="32"/>
          <w:szCs w:val="32"/>
        </w:rPr>
        <w:t>公共文化服务体系示范区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文化旅游创意产业引领区，根据</w:t>
      </w:r>
      <w:r>
        <w:rPr>
          <w:rFonts w:hint="eastAsia" w:ascii="仿宋_GB2312" w:hAnsi="仿宋_GB2312" w:eastAsia="仿宋_GB2312" w:cs="仿宋_GB2312"/>
          <w:sz w:val="32"/>
          <w:szCs w:val="32"/>
          <w:lang w:eastAsia="zh-CN"/>
        </w:rPr>
        <w:t>《全民阅读促进条例》（国务院令第</w:t>
      </w:r>
      <w:r>
        <w:rPr>
          <w:rFonts w:hint="eastAsia" w:ascii="仿宋_GB2312" w:hAnsi="仿宋_GB2312" w:eastAsia="仿宋_GB2312" w:cs="仿宋_GB2312"/>
          <w:sz w:val="32"/>
          <w:szCs w:val="32"/>
          <w:lang w:val="en-US" w:eastAsia="zh-CN"/>
        </w:rPr>
        <w:t>823号</w:t>
      </w:r>
      <w:r>
        <w:rPr>
          <w:rFonts w:hint="eastAsia" w:ascii="仿宋_GB2312" w:hAnsi="仿宋_GB2312" w:eastAsia="仿宋_GB2312" w:cs="仿宋_GB2312"/>
          <w:sz w:val="32"/>
          <w:szCs w:val="32"/>
          <w:lang w:eastAsia="zh-CN"/>
        </w:rPr>
        <w:t>）、《国务院办公厅印发&lt;</w:t>
      </w:r>
      <w:r>
        <w:rPr>
          <w:rFonts w:hint="eastAsia" w:ascii="仿宋_GB2312" w:hAnsi="仿宋_GB2312" w:eastAsia="仿宋_GB2312" w:cs="仿宋_GB2312"/>
          <w:sz w:val="32"/>
          <w:szCs w:val="32"/>
        </w:rPr>
        <w:t>关于推动文化高质量发展的若干经济政策&gt;</w:t>
      </w:r>
      <w:r>
        <w:rPr>
          <w:rFonts w:hint="eastAsia" w:ascii="仿宋_GB2312" w:hAnsi="仿宋_GB2312" w:eastAsia="仿宋_GB2312" w:cs="仿宋_GB2312"/>
          <w:sz w:val="32"/>
          <w:szCs w:val="32"/>
          <w:lang w:eastAsia="zh-CN"/>
        </w:rPr>
        <w:t>的通知》</w:t>
      </w:r>
      <w:r>
        <w:rPr>
          <w:rFonts w:hint="eastAsia" w:ascii="仿宋_GB2312" w:hAnsi="仿宋_GB2312" w:eastAsia="仿宋_GB2312" w:cs="仿宋_GB2312"/>
          <w:sz w:val="32"/>
          <w:szCs w:val="32"/>
        </w:rPr>
        <w:t>（国办发〔2025〕4号）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中央宣传部等11部委</w:t>
      </w:r>
      <w:r>
        <w:rPr>
          <w:rFonts w:hint="eastAsia" w:ascii="仿宋_GB2312" w:hAnsi="仿宋_GB2312" w:eastAsia="仿宋_GB2312" w:cs="仿宋_GB2312"/>
          <w:sz w:val="32"/>
          <w:szCs w:val="32"/>
          <w:lang w:eastAsia="zh-CN"/>
        </w:rPr>
        <w:t>关于印发</w:t>
      </w:r>
      <w:r>
        <w:rPr>
          <w:rFonts w:hint="eastAsia" w:ascii="宋体" w:hAnsi="宋体" w:eastAsia="宋体" w:cs="宋体"/>
          <w:sz w:val="32"/>
          <w:szCs w:val="32"/>
          <w:lang w:eastAsia="zh-CN"/>
        </w:rPr>
        <w:t>&lt;</w:t>
      </w:r>
      <w:r>
        <w:rPr>
          <w:rFonts w:hint="eastAsia" w:ascii="仿宋_GB2312" w:hAnsi="仿宋_GB2312" w:eastAsia="仿宋_GB2312" w:cs="仿宋_GB2312"/>
          <w:sz w:val="32"/>
          <w:szCs w:val="32"/>
        </w:rPr>
        <w:t>于支持实体书店发展的指导意见</w:t>
      </w:r>
      <w:r>
        <w:rPr>
          <w:rFonts w:hint="eastAsia" w:ascii="宋体" w:hAnsi="宋体" w:eastAsia="宋体" w:cs="宋体"/>
          <w:sz w:val="32"/>
          <w:szCs w:val="32"/>
        </w:rPr>
        <w:t>&gt;</w:t>
      </w:r>
      <w:r>
        <w:rPr>
          <w:rFonts w:hint="eastAsia" w:ascii="仿宋_GB2312" w:hAnsi="仿宋_GB2312" w:eastAsia="仿宋_GB2312" w:cs="仿宋_GB2312"/>
          <w:sz w:val="32"/>
          <w:szCs w:val="32"/>
          <w:lang w:eastAsia="zh-CN"/>
        </w:rPr>
        <w:t>的通知</w:t>
      </w:r>
      <w:r>
        <w:rPr>
          <w:rFonts w:hint="eastAsia" w:ascii="仿宋_GB2312" w:hAnsi="仿宋_GB2312" w:eastAsia="仿宋_GB2312" w:cs="仿宋_GB2312"/>
          <w:sz w:val="32"/>
          <w:szCs w:val="32"/>
        </w:rPr>
        <w:t>》（新广出发〔2016〕46号）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《湖北省全民阅读促进办法》（省人民政府令第376号）、</w:t>
      </w:r>
      <w:r>
        <w:rPr>
          <w:rFonts w:hint="eastAsia" w:ascii="仿宋_GB2312" w:hAnsi="仿宋_GB2312" w:eastAsia="仿宋_GB2312" w:cs="仿宋_GB2312"/>
          <w:sz w:val="32"/>
          <w:szCs w:val="32"/>
          <w:lang w:eastAsia="zh-CN"/>
        </w:rPr>
        <w:t>《省委办公厅</w:t>
      </w:r>
      <w:r>
        <w:rPr>
          <w:rFonts w:hint="eastAsia" w:ascii="仿宋_GB2312" w:hAnsi="仿宋_GB2312" w:eastAsia="仿宋_GB2312" w:cs="仿宋_GB2312"/>
          <w:sz w:val="32"/>
          <w:szCs w:val="32"/>
          <w:lang w:val="en-US" w:eastAsia="zh-CN"/>
        </w:rPr>
        <w:t xml:space="preserve"> 省政府办公厅印发&lt;</w:t>
      </w:r>
      <w:r>
        <w:rPr>
          <w:rFonts w:hint="eastAsia" w:ascii="仿宋_GB2312" w:hAnsi="仿宋_GB2312" w:eastAsia="仿宋_GB2312" w:cs="仿宋_GB2312"/>
          <w:sz w:val="32"/>
          <w:szCs w:val="32"/>
          <w:lang w:eastAsia="zh-CN"/>
        </w:rPr>
        <w:t>关于实施文化创新战略整体提升支点文化影响力的行动方案</w:t>
      </w:r>
      <w:r>
        <w:rPr>
          <w:rFonts w:hint="eastAsia" w:ascii="仿宋_GB2312" w:hAnsi="仿宋_GB2312" w:eastAsia="仿宋_GB2312" w:cs="仿宋_GB2312"/>
          <w:sz w:val="32"/>
          <w:szCs w:val="32"/>
          <w:lang w:val="en-US" w:eastAsia="zh-CN"/>
        </w:rPr>
        <w:t>&gt;的通知</w:t>
      </w:r>
      <w:r>
        <w:rPr>
          <w:rFonts w:hint="eastAsia" w:ascii="仿宋_GB2312" w:hAnsi="仿宋_GB2312" w:eastAsia="仿宋_GB2312" w:cs="仿宋_GB2312"/>
          <w:sz w:val="32"/>
          <w:szCs w:val="32"/>
          <w:lang w:eastAsia="zh-CN"/>
        </w:rPr>
        <w:t>》（鄂办发</w:t>
      </w:r>
      <w:r>
        <w:rPr>
          <w:rFonts w:hint="eastAsia" w:ascii="仿宋_GB2312" w:hAnsi="仿宋_GB2312" w:eastAsia="仿宋_GB2312" w:cs="仿宋_GB2312"/>
          <w:sz w:val="32"/>
          <w:szCs w:val="32"/>
        </w:rPr>
        <w:t>〔2025〕</w:t>
      </w:r>
      <w:r>
        <w:rPr>
          <w:rFonts w:hint="eastAsia" w:ascii="仿宋_GB2312" w:hAnsi="仿宋_GB2312" w:eastAsia="仿宋_GB2312" w:cs="仿宋_GB2312"/>
          <w:sz w:val="32"/>
          <w:szCs w:val="32"/>
          <w:lang w:val="en-US" w:eastAsia="zh-CN"/>
        </w:rPr>
        <w:t>13号</w:t>
      </w:r>
      <w:r>
        <w:rPr>
          <w:rFonts w:hint="eastAsia" w:ascii="仿宋_GB2312" w:hAnsi="仿宋_GB2312" w:eastAsia="仿宋_GB2312" w:cs="仿宋_GB2312"/>
          <w:sz w:val="32"/>
          <w:szCs w:val="32"/>
          <w:lang w:eastAsia="zh-CN"/>
        </w:rPr>
        <w:t>）、《湖北</w:t>
      </w:r>
      <w:r>
        <w:rPr>
          <w:rFonts w:hint="eastAsia" w:ascii="仿宋_GB2312" w:hAnsi="仿宋_GB2312" w:eastAsia="仿宋_GB2312" w:cs="仿宋_GB2312"/>
          <w:sz w:val="32"/>
          <w:szCs w:val="32"/>
        </w:rPr>
        <w:t>省委宣传部等11部门</w:t>
      </w:r>
      <w:r>
        <w:rPr>
          <w:rFonts w:hint="eastAsia" w:ascii="仿宋_GB2312" w:hAnsi="仿宋_GB2312" w:eastAsia="仿宋_GB2312" w:cs="仿宋_GB2312"/>
          <w:sz w:val="32"/>
          <w:szCs w:val="32"/>
          <w:lang w:eastAsia="zh-CN"/>
        </w:rPr>
        <w:t>关于印发</w:t>
      </w:r>
      <w:r>
        <w:rPr>
          <w:rFonts w:hint="eastAsia" w:ascii="宋体" w:hAnsi="宋体" w:eastAsia="宋体" w:cs="宋体"/>
          <w:sz w:val="32"/>
          <w:szCs w:val="32"/>
        </w:rPr>
        <w:t>&lt;</w:t>
      </w:r>
      <w:r>
        <w:rPr>
          <w:rFonts w:hint="eastAsia" w:ascii="仿宋_GB2312" w:hAnsi="仿宋_GB2312" w:eastAsia="仿宋_GB2312" w:cs="仿宋_GB2312"/>
          <w:sz w:val="32"/>
          <w:szCs w:val="32"/>
        </w:rPr>
        <w:t>关于支持实体书店发展的实施意见</w:t>
      </w:r>
      <w:r>
        <w:rPr>
          <w:rFonts w:hint="eastAsia" w:ascii="宋体" w:hAnsi="宋体" w:eastAsia="宋体" w:cs="宋体"/>
          <w:sz w:val="32"/>
          <w:szCs w:val="32"/>
        </w:rPr>
        <w:t>&gt;</w:t>
      </w:r>
      <w:r>
        <w:rPr>
          <w:rFonts w:hint="eastAsia" w:ascii="仿宋_GB2312" w:hAnsi="仿宋_GB2312" w:eastAsia="仿宋_GB2312" w:cs="仿宋_GB2312"/>
          <w:sz w:val="32"/>
          <w:szCs w:val="32"/>
          <w:lang w:eastAsia="zh-CN"/>
        </w:rPr>
        <w:t>的通知</w:t>
      </w:r>
      <w:r>
        <w:rPr>
          <w:rFonts w:hint="eastAsia" w:ascii="仿宋_GB2312" w:hAnsi="仿宋_GB2312" w:eastAsia="仿宋_GB2312" w:cs="仿宋_GB2312"/>
          <w:sz w:val="32"/>
          <w:szCs w:val="32"/>
        </w:rPr>
        <w:t>》（鄂新广发〔2017〕27号）等文件精神，打造彰显葛店城市文化品质和乡村旅游特色等</w:t>
      </w:r>
      <w:r>
        <w:rPr>
          <w:rFonts w:hint="eastAsia" w:ascii="仿宋_GB2312" w:hAnsi="仿宋_GB2312" w:eastAsia="仿宋_GB2312" w:cs="仿宋_GB2312"/>
          <w:sz w:val="32"/>
          <w:szCs w:val="32"/>
          <w:lang w:eastAsia="zh-CN"/>
        </w:rPr>
        <w:t>有效</w:t>
      </w:r>
      <w:r>
        <w:rPr>
          <w:rFonts w:hint="eastAsia" w:ascii="仿宋_GB2312" w:hAnsi="仿宋_GB2312" w:eastAsia="仿宋_GB2312" w:cs="仿宋_GB2312"/>
          <w:sz w:val="32"/>
          <w:szCs w:val="32"/>
        </w:rPr>
        <w:t>载体，推动</w:t>
      </w:r>
      <w:r>
        <w:rPr>
          <w:rFonts w:hint="eastAsia" w:ascii="仿宋_GB2312" w:hAnsi="仿宋_GB2312" w:eastAsia="仿宋_GB2312" w:cs="仿宋_GB2312"/>
          <w:sz w:val="32"/>
          <w:szCs w:val="32"/>
          <w:lang w:val="en-US" w:eastAsia="zh-CN"/>
        </w:rPr>
        <w:t>葛店经开</w:t>
      </w:r>
      <w:r>
        <w:rPr>
          <w:rFonts w:hint="eastAsia" w:ascii="仿宋_GB2312" w:hAnsi="仿宋_GB2312" w:eastAsia="仿宋_GB2312" w:cs="仿宋_GB2312"/>
          <w:sz w:val="32"/>
          <w:szCs w:val="32"/>
        </w:rPr>
        <w:t>区文化</w:t>
      </w:r>
      <w:r>
        <w:rPr>
          <w:rFonts w:hint="eastAsia" w:ascii="仿宋_GB2312" w:hAnsi="仿宋_GB2312" w:eastAsia="仿宋_GB2312" w:cs="仿宋_GB2312"/>
          <w:sz w:val="32"/>
          <w:szCs w:val="32"/>
          <w:lang w:val="en-US" w:eastAsia="zh-CN"/>
        </w:rPr>
        <w:t>旅游产业</w:t>
      </w:r>
      <w:r>
        <w:rPr>
          <w:rFonts w:hint="eastAsia" w:ascii="仿宋_GB2312" w:hAnsi="仿宋_GB2312" w:eastAsia="仿宋_GB2312" w:cs="仿宋_GB2312"/>
          <w:sz w:val="32"/>
          <w:szCs w:val="32"/>
        </w:rPr>
        <w:t>高质量发展，制定本措施。</w:t>
      </w:r>
    </w:p>
    <w:p>
      <w:pPr>
        <w:spacing w:line="580" w:lineRule="exact"/>
        <w:ind w:firstLine="640" w:firstLineChars="200"/>
        <w:rPr>
          <w:rFonts w:hint="eastAsia" w:ascii="仿宋_GB2312" w:hAnsi="仿宋_GB2312" w:eastAsia="仿宋_GB2312" w:cs="仿宋_GB2312"/>
          <w:sz w:val="32"/>
          <w:szCs w:val="32"/>
        </w:rPr>
      </w:pPr>
      <w:r>
        <w:rPr>
          <w:rFonts w:hint="eastAsia" w:ascii="方正黑体_GBK" w:hAnsi="方正黑体_GBK" w:eastAsia="方正黑体_GBK" w:cs="方正黑体_GBK"/>
          <w:b w:val="0"/>
          <w:bCs w:val="0"/>
          <w:i w:val="0"/>
          <w:iCs w:val="0"/>
          <w:sz w:val="32"/>
          <w:szCs w:val="32"/>
          <w:lang w:val="en-US" w:eastAsia="zh-CN"/>
        </w:rPr>
        <w:t>一、重点支持方向</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本措施适用于</w:t>
      </w:r>
      <w:r>
        <w:rPr>
          <w:rFonts w:hint="eastAsia" w:ascii="仿宋_GB2312" w:hAnsi="仿宋_GB2312" w:eastAsia="仿宋_GB2312" w:cs="仿宋_GB2312"/>
          <w:kern w:val="0"/>
          <w:sz w:val="32"/>
          <w:szCs w:val="32"/>
          <w:highlight w:val="none"/>
          <w:lang w:val="en-US" w:eastAsia="zh-CN" w:bidi="ar"/>
        </w:rPr>
        <w:t>在葛店经开区依法生产经营，发展符合乡村振兴政策的文旅项目，经营符合全民阅读政策的实体书店，以及开设促进多元文化供给的新型阅读空间的市场主体，包括依法登记注册的法人、非法人组织和个体工商户</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聚焦符合</w:t>
      </w:r>
      <w:r>
        <w:rPr>
          <w:rFonts w:hint="eastAsia" w:ascii="仿宋_GB2312" w:hAnsi="仿宋_GB2312" w:eastAsia="仿宋_GB2312" w:cs="仿宋_GB2312"/>
          <w:sz w:val="32"/>
          <w:szCs w:val="32"/>
          <w:lang w:val="en-US" w:eastAsia="zh-CN"/>
        </w:rPr>
        <w:t>葛店经开</w:t>
      </w:r>
      <w:r>
        <w:rPr>
          <w:rFonts w:hint="eastAsia" w:ascii="仿宋_GB2312" w:hAnsi="仿宋_GB2312" w:eastAsia="仿宋_GB2312" w:cs="仿宋_GB2312"/>
          <w:sz w:val="32"/>
          <w:szCs w:val="32"/>
        </w:rPr>
        <w:t>区功能定位、规划布局，在文化、旅游、体育、商业、农业等领域具有区域示范性、带动性的项目。</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聚焦具有行业影响力、引领作用明显的优质企业，产业规模提升较快、能够拉动提升行业经济效益的成长型企业以及自主创新能力突出的潜力型企业。</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聚焦培育文化新质生产力</w:t>
      </w:r>
      <w:r>
        <w:rPr>
          <w:rFonts w:hint="eastAsia" w:ascii="仿宋_GB2312" w:hAnsi="仿宋_GB2312" w:eastAsia="仿宋_GB2312" w:cs="仿宋_GB2312"/>
          <w:sz w:val="32"/>
          <w:szCs w:val="32"/>
          <w:lang w:eastAsia="zh-CN"/>
        </w:rPr>
        <w:t>，发展文化消费</w:t>
      </w:r>
      <w:r>
        <w:rPr>
          <w:rFonts w:hint="eastAsia" w:ascii="仿宋_GB2312" w:hAnsi="仿宋_GB2312" w:eastAsia="仿宋_GB2312" w:cs="仿宋_GB2312"/>
          <w:sz w:val="32"/>
          <w:szCs w:val="32"/>
        </w:rPr>
        <w:t>新业态，打造农文旅体商融合发展新场景。</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聚焦社会效益突出</w:t>
      </w:r>
      <w:r>
        <w:rPr>
          <w:rFonts w:hint="eastAsia" w:ascii="仿宋_GB2312" w:hAnsi="仿宋_GB2312" w:eastAsia="仿宋_GB2312" w:cs="仿宋_GB2312"/>
          <w:sz w:val="32"/>
          <w:szCs w:val="32"/>
          <w:lang w:eastAsia="zh-CN"/>
        </w:rPr>
        <w:t>、经济效益显著的文旅融合发展项目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大力</w:t>
      </w:r>
      <w:r>
        <w:rPr>
          <w:rFonts w:hint="eastAsia" w:ascii="仿宋_GB2312" w:hAnsi="仿宋_GB2312" w:eastAsia="仿宋_GB2312" w:cs="仿宋_GB2312"/>
          <w:sz w:val="32"/>
          <w:szCs w:val="32"/>
        </w:rPr>
        <w:t>传承弘扬中华优秀传统文化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提升文化旅游影响力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丰富惠民文化</w:t>
      </w:r>
      <w:r>
        <w:rPr>
          <w:rFonts w:hint="eastAsia" w:ascii="仿宋_GB2312" w:hAnsi="仿宋_GB2312" w:eastAsia="仿宋_GB2312" w:cs="仿宋_GB2312"/>
          <w:sz w:val="32"/>
          <w:szCs w:val="32"/>
          <w:lang w:eastAsia="zh-CN"/>
        </w:rPr>
        <w:t>资源</w:t>
      </w:r>
      <w:r>
        <w:rPr>
          <w:rFonts w:hint="eastAsia" w:ascii="仿宋_GB2312" w:hAnsi="仿宋_GB2312" w:eastAsia="仿宋_GB2312" w:cs="仿宋_GB2312"/>
          <w:sz w:val="32"/>
          <w:szCs w:val="32"/>
        </w:rPr>
        <w:t>供给。</w:t>
      </w:r>
    </w:p>
    <w:p>
      <w:pPr>
        <w:spacing w:line="580" w:lineRule="exact"/>
        <w:ind w:firstLine="640" w:firstLineChars="200"/>
        <w:rPr>
          <w:rFonts w:hint="eastAsia" w:ascii="方正黑体_GBK" w:hAnsi="方正黑体_GBK" w:eastAsia="方正黑体_GBK" w:cs="方正黑体_GBK"/>
          <w:b w:val="0"/>
          <w:bCs w:val="0"/>
          <w:i w:val="0"/>
          <w:iCs w:val="0"/>
          <w:sz w:val="32"/>
          <w:szCs w:val="32"/>
          <w:lang w:eastAsia="zh-CN"/>
        </w:rPr>
      </w:pPr>
      <w:r>
        <w:rPr>
          <w:rFonts w:hint="eastAsia" w:ascii="方正黑体_GBK" w:hAnsi="方正黑体_GBK" w:eastAsia="方正黑体_GBK" w:cs="方正黑体_GBK"/>
          <w:b w:val="0"/>
          <w:bCs w:val="0"/>
          <w:i w:val="0"/>
          <w:iCs w:val="0"/>
          <w:sz w:val="32"/>
          <w:szCs w:val="32"/>
          <w:lang w:eastAsia="zh-CN"/>
        </w:rPr>
        <w:t>二、支持范围及内容</w:t>
      </w:r>
    </w:p>
    <w:p>
      <w:pPr>
        <w:spacing w:line="580" w:lineRule="exact"/>
        <w:ind w:firstLine="640" w:firstLineChars="200"/>
        <w:rPr>
          <w:rFonts w:hint="eastAsia" w:ascii="仿宋_GB2312" w:hAnsi="仿宋_GB2312" w:eastAsia="仿宋_GB2312" w:cs="仿宋_GB2312"/>
          <w:b w:val="0"/>
          <w:bCs w:val="0"/>
          <w:sz w:val="32"/>
          <w:szCs w:val="32"/>
        </w:rPr>
      </w:pPr>
      <w:r>
        <w:rPr>
          <w:rFonts w:hint="eastAsia" w:ascii="CESI楷体-GB2312" w:hAnsi="CESI楷体-GB2312" w:eastAsia="CESI楷体-GB2312" w:cs="CESI楷体-GB2312"/>
          <w:b/>
          <w:bCs/>
          <w:sz w:val="32"/>
          <w:szCs w:val="32"/>
          <w:lang w:eastAsia="zh-CN"/>
        </w:rPr>
        <w:t>（一）支持发展乡村文化旅游休闲项目。</w:t>
      </w:r>
      <w:r>
        <w:rPr>
          <w:rFonts w:hint="eastAsia" w:ascii="CESI楷体-GB2312" w:hAnsi="CESI楷体-GB2312" w:eastAsia="CESI楷体-GB2312" w:cs="CESI楷体-GB2312"/>
          <w:b w:val="0"/>
          <w:bCs w:val="0"/>
          <w:sz w:val="32"/>
          <w:szCs w:val="32"/>
          <w:lang w:eastAsia="zh-CN"/>
        </w:rPr>
        <w:t>支</w:t>
      </w:r>
      <w:r>
        <w:rPr>
          <w:rFonts w:hint="eastAsia" w:ascii="仿宋_GB2312" w:hAnsi="仿宋_GB2312" w:eastAsia="仿宋_GB2312" w:cs="仿宋_GB2312"/>
          <w:b w:val="0"/>
          <w:bCs w:val="0"/>
          <w:sz w:val="32"/>
          <w:szCs w:val="32"/>
          <w:lang w:eastAsia="zh-CN"/>
        </w:rPr>
        <w:t>持在</w:t>
      </w:r>
      <w:r>
        <w:rPr>
          <w:rFonts w:hint="eastAsia" w:ascii="仿宋_GB2312" w:hAnsi="仿宋_GB2312" w:eastAsia="仿宋_GB2312" w:cs="仿宋_GB2312"/>
          <w:b w:val="0"/>
          <w:bCs w:val="0"/>
          <w:sz w:val="32"/>
          <w:szCs w:val="32"/>
          <w:lang w:val="en-US" w:eastAsia="zh-CN"/>
        </w:rPr>
        <w:t>武城村、何庄村、白浒镇村、湖畔社区长咀片区等地发展</w:t>
      </w:r>
      <w:r>
        <w:rPr>
          <w:rFonts w:hint="eastAsia" w:ascii="仿宋_GB2312" w:hAnsi="仿宋_GB2312" w:eastAsia="仿宋_GB2312" w:cs="仿宋_GB2312"/>
          <w:b w:val="0"/>
          <w:bCs w:val="0"/>
          <w:sz w:val="32"/>
          <w:szCs w:val="32"/>
        </w:rPr>
        <w:t>乡村</w:t>
      </w:r>
      <w:r>
        <w:rPr>
          <w:rFonts w:hint="eastAsia" w:ascii="仿宋_GB2312" w:hAnsi="仿宋_GB2312" w:eastAsia="仿宋_GB2312" w:cs="仿宋_GB2312"/>
          <w:b w:val="0"/>
          <w:bCs w:val="0"/>
          <w:sz w:val="32"/>
          <w:szCs w:val="32"/>
          <w:lang w:val="en-US" w:eastAsia="zh-CN"/>
        </w:rPr>
        <w:t>文化旅游</w:t>
      </w:r>
      <w:r>
        <w:rPr>
          <w:rFonts w:hint="eastAsia" w:ascii="仿宋_GB2312" w:hAnsi="仿宋_GB2312" w:eastAsia="仿宋_GB2312" w:cs="仿宋_GB2312"/>
          <w:b w:val="0"/>
          <w:bCs w:val="0"/>
          <w:sz w:val="32"/>
          <w:szCs w:val="32"/>
        </w:rPr>
        <w:t>休闲项目</w:t>
      </w:r>
      <w:r>
        <w:rPr>
          <w:rFonts w:hint="eastAsia" w:ascii="仿宋_GB2312" w:hAnsi="仿宋_GB2312" w:eastAsia="仿宋_GB2312" w:cs="仿宋_GB2312"/>
          <w:b w:val="0"/>
          <w:bCs w:val="0"/>
          <w:sz w:val="32"/>
          <w:szCs w:val="32"/>
          <w:lang w:val="en-US" w:eastAsia="zh-CN"/>
        </w:rPr>
        <w:t>，打造农文旅融合发展新场景，大力发展新型农村集体经济，带动群众增收致富</w:t>
      </w:r>
      <w:r>
        <w:rPr>
          <w:rFonts w:hint="eastAsia" w:ascii="仿宋_GB2312" w:hAnsi="仿宋_GB2312" w:eastAsia="仿宋_GB2312" w:cs="仿宋_GB2312"/>
          <w:b w:val="0"/>
          <w:bCs w:val="0"/>
          <w:sz w:val="32"/>
          <w:szCs w:val="32"/>
        </w:rPr>
        <w:t>。</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CESI楷体-GB2312" w:hAnsi="CESI楷体-GB2312" w:eastAsia="CESI楷体-GB2312" w:cs="CESI楷体-GB2312"/>
          <w:b w:val="0"/>
          <w:bCs w:val="0"/>
          <w:sz w:val="32"/>
          <w:szCs w:val="32"/>
          <w:lang w:val="en-US" w:eastAsia="zh-CN"/>
        </w:rPr>
        <w:t>1.</w:t>
      </w:r>
      <w:r>
        <w:rPr>
          <w:rFonts w:hint="eastAsia" w:ascii="CESI楷体-GB2312" w:hAnsi="CESI楷体-GB2312" w:eastAsia="CESI楷体-GB2312" w:cs="CESI楷体-GB2312"/>
          <w:b/>
          <w:bCs/>
          <w:sz w:val="32"/>
          <w:szCs w:val="32"/>
        </w:rPr>
        <w:t>鼓励</w:t>
      </w:r>
      <w:r>
        <w:rPr>
          <w:rFonts w:hint="eastAsia" w:ascii="CESI楷体-GB2312" w:hAnsi="CESI楷体-GB2312" w:eastAsia="CESI楷体-GB2312" w:cs="CESI楷体-GB2312"/>
          <w:b/>
          <w:bCs/>
          <w:sz w:val="32"/>
          <w:szCs w:val="32"/>
          <w:lang w:eastAsia="zh-CN"/>
        </w:rPr>
        <w:t>市场主体发展</w:t>
      </w:r>
      <w:r>
        <w:rPr>
          <w:rFonts w:hint="eastAsia" w:ascii="CESI楷体-GB2312" w:hAnsi="CESI楷体-GB2312" w:eastAsia="CESI楷体-GB2312" w:cs="CESI楷体-GB2312"/>
          <w:b/>
          <w:bCs/>
          <w:sz w:val="32"/>
          <w:szCs w:val="32"/>
        </w:rPr>
        <w:t>高品质乡村</w:t>
      </w:r>
      <w:r>
        <w:rPr>
          <w:rFonts w:hint="eastAsia" w:ascii="CESI楷体-GB2312" w:hAnsi="CESI楷体-GB2312" w:eastAsia="CESI楷体-GB2312" w:cs="CESI楷体-GB2312"/>
          <w:b/>
          <w:bCs/>
          <w:sz w:val="32"/>
          <w:szCs w:val="32"/>
          <w:lang w:val="en-US" w:eastAsia="zh-CN"/>
        </w:rPr>
        <w:t>旅游</w:t>
      </w:r>
      <w:r>
        <w:rPr>
          <w:rFonts w:hint="eastAsia" w:ascii="CESI楷体-GB2312" w:hAnsi="CESI楷体-GB2312" w:eastAsia="CESI楷体-GB2312" w:cs="CESI楷体-GB2312"/>
          <w:b/>
          <w:bCs/>
          <w:sz w:val="32"/>
          <w:szCs w:val="32"/>
        </w:rPr>
        <w:t>休闲</w:t>
      </w:r>
      <w:r>
        <w:rPr>
          <w:rFonts w:hint="eastAsia" w:ascii="CESI楷体-GB2312" w:hAnsi="CESI楷体-GB2312" w:eastAsia="CESI楷体-GB2312" w:cs="CESI楷体-GB2312"/>
          <w:b/>
          <w:bCs/>
          <w:sz w:val="32"/>
          <w:szCs w:val="32"/>
          <w:lang w:val="en-US" w:eastAsia="zh-CN"/>
        </w:rPr>
        <w:t>项目</w:t>
      </w:r>
      <w:r>
        <w:rPr>
          <w:rFonts w:hint="eastAsia" w:ascii="CESI楷体-GB2312" w:hAnsi="CESI楷体-GB2312" w:eastAsia="CESI楷体-GB2312" w:cs="CESI楷体-GB2312"/>
          <w:b/>
          <w:bCs/>
          <w:sz w:val="32"/>
          <w:szCs w:val="32"/>
          <w:lang w:eastAsia="zh-CN"/>
        </w:rPr>
        <w:t>。</w:t>
      </w:r>
      <w:r>
        <w:rPr>
          <w:rFonts w:hint="eastAsia" w:ascii="仿宋_GB2312" w:hAnsi="仿宋_GB2312" w:eastAsia="仿宋_GB2312" w:cs="仿宋_GB2312"/>
          <w:sz w:val="32"/>
          <w:szCs w:val="32"/>
          <w:lang w:eastAsia="zh-CN"/>
        </w:rPr>
        <w:t>鼓励市场主体发展</w:t>
      </w:r>
      <w:r>
        <w:rPr>
          <w:rFonts w:hint="eastAsia" w:ascii="仿宋_GB2312" w:hAnsi="仿宋_GB2312" w:eastAsia="仿宋_GB2312" w:cs="仿宋_GB2312"/>
          <w:sz w:val="32"/>
          <w:szCs w:val="32"/>
        </w:rPr>
        <w:t>文创潮玩、非遗体验、水上运动、低空飞行、</w:t>
      </w:r>
      <w:r>
        <w:rPr>
          <w:rFonts w:hint="eastAsia" w:ascii="仿宋_GB2312" w:hAnsi="仿宋_GB2312" w:eastAsia="仿宋_GB2312" w:cs="仿宋_GB2312"/>
          <w:sz w:val="32"/>
          <w:szCs w:val="32"/>
          <w:lang w:val="en-US" w:eastAsia="zh-CN"/>
        </w:rPr>
        <w:t>民居民宿、露营基地、垂钓基地、</w:t>
      </w:r>
      <w:r>
        <w:rPr>
          <w:rFonts w:hint="eastAsia" w:ascii="仿宋_GB2312" w:hAnsi="仿宋_GB2312" w:eastAsia="仿宋_GB2312" w:cs="仿宋_GB2312"/>
          <w:sz w:val="32"/>
          <w:szCs w:val="32"/>
        </w:rPr>
        <w:t>体育赛事、</w:t>
      </w:r>
      <w:r>
        <w:rPr>
          <w:rFonts w:hint="eastAsia" w:ascii="仿宋_GB2312" w:hAnsi="仿宋_GB2312" w:eastAsia="仿宋_GB2312" w:cs="仿宋_GB2312"/>
          <w:sz w:val="32"/>
          <w:szCs w:val="32"/>
          <w:lang w:val="en-US" w:eastAsia="zh-CN"/>
        </w:rPr>
        <w:t>儿童</w:t>
      </w:r>
      <w:r>
        <w:rPr>
          <w:rFonts w:hint="eastAsia" w:ascii="仿宋_GB2312" w:hAnsi="仿宋_GB2312" w:eastAsia="仿宋_GB2312" w:cs="仿宋_GB2312"/>
          <w:sz w:val="32"/>
          <w:szCs w:val="32"/>
        </w:rPr>
        <w:t>乐园等</w:t>
      </w:r>
      <w:r>
        <w:rPr>
          <w:rFonts w:hint="eastAsia" w:ascii="仿宋_GB2312" w:hAnsi="仿宋_GB2312" w:eastAsia="仿宋_GB2312" w:cs="仿宋_GB2312"/>
          <w:sz w:val="32"/>
          <w:szCs w:val="32"/>
          <w:lang w:eastAsia="zh-CN"/>
        </w:rPr>
        <w:t>旅游休闲</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p>
    <w:p>
      <w:pPr>
        <w:spacing w:line="580" w:lineRule="exact"/>
        <w:ind w:firstLine="640" w:firstLineChars="200"/>
        <w:rPr>
          <w:rFonts w:hint="eastAsia" w:ascii="仿宋_GB2312" w:hAnsi="仿宋_GB2312" w:eastAsia="仿宋_GB2312" w:cs="仿宋_GB2312"/>
          <w:kern w:val="0"/>
          <w:sz w:val="32"/>
          <w:szCs w:val="32"/>
          <w:highlight w:val="none"/>
          <w:lang w:val="en-US" w:eastAsia="zh-CN" w:bidi="ar"/>
        </w:rPr>
      </w:pPr>
      <w:r>
        <w:rPr>
          <w:rFonts w:hint="eastAsia" w:ascii="CESI楷体-GB2312" w:hAnsi="CESI楷体-GB2312" w:eastAsia="CESI楷体-GB2312" w:cs="CESI楷体-GB2312"/>
          <w:b/>
          <w:bCs/>
          <w:kern w:val="2"/>
          <w:sz w:val="32"/>
          <w:szCs w:val="32"/>
          <w:lang w:val="en-US" w:eastAsia="zh-CN" w:bidi="ar"/>
        </w:rPr>
        <w:t>2.</w:t>
      </w:r>
      <w:r>
        <w:rPr>
          <w:rFonts w:hint="eastAsia" w:ascii="CESI楷体-GB2312" w:hAnsi="CESI楷体-GB2312" w:eastAsia="CESI楷体-GB2312" w:cs="CESI楷体-GB2312"/>
          <w:b/>
          <w:bCs/>
          <w:sz w:val="32"/>
          <w:szCs w:val="32"/>
          <w:lang w:eastAsia="zh-CN"/>
        </w:rPr>
        <w:t>加大乡村文化旅游休闲项目金融支持</w:t>
      </w:r>
      <w:r>
        <w:rPr>
          <w:rFonts w:hint="eastAsia" w:ascii="CESI楷体-GB2312" w:hAnsi="CESI楷体-GB2312" w:eastAsia="CESI楷体-GB2312" w:cs="CESI楷体-GB2312"/>
          <w:b/>
          <w:bCs/>
          <w:sz w:val="32"/>
          <w:szCs w:val="32"/>
        </w:rPr>
        <w:t>。</w:t>
      </w:r>
      <w:r>
        <w:rPr>
          <w:rFonts w:hint="eastAsia" w:ascii="仿宋_GB2312" w:hAnsi="仿宋_GB2312" w:eastAsia="仿宋_GB2312" w:cs="仿宋_GB2312"/>
          <w:b w:val="0"/>
          <w:bCs w:val="0"/>
          <w:i w:val="0"/>
          <w:iCs w:val="0"/>
          <w:sz w:val="32"/>
          <w:szCs w:val="32"/>
          <w:lang w:eastAsia="zh-CN"/>
        </w:rPr>
        <w:t>支持市场主体申请超长期国债和地方政府债券；</w:t>
      </w:r>
      <w:r>
        <w:rPr>
          <w:rFonts w:hint="eastAsia" w:ascii="仿宋_GB2312" w:hAnsi="仿宋_GB2312" w:eastAsia="仿宋_GB2312" w:cs="仿宋_GB2312"/>
          <w:b w:val="0"/>
          <w:bCs w:val="0"/>
          <w:sz w:val="32"/>
          <w:szCs w:val="32"/>
          <w:lang w:eastAsia="zh-CN"/>
        </w:rPr>
        <w:t>鼓励</w:t>
      </w:r>
      <w:r>
        <w:rPr>
          <w:rFonts w:hint="eastAsia" w:ascii="仿宋_GB2312" w:hAnsi="仿宋_GB2312" w:eastAsia="仿宋_GB2312" w:cs="仿宋_GB2312"/>
          <w:kern w:val="0"/>
          <w:sz w:val="32"/>
          <w:szCs w:val="32"/>
          <w:highlight w:val="none"/>
          <w:lang w:val="en-US" w:eastAsia="zh-CN" w:bidi="ar"/>
        </w:rPr>
        <w:t>辖区内金融机构在风险可控、商业可持续的前提下，针对乡村文化旅游休闲项目经营特点和融资需求，创新产品和服务；鼓励社会资本为乡村文化旅游休闲项目发展提供资金支持。</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对获得银行融资贷款且获得市级</w:t>
      </w:r>
      <w:r>
        <w:rPr>
          <w:rFonts w:hint="eastAsia" w:ascii="仿宋_GB2312" w:hAnsi="仿宋_GB2312" w:eastAsia="仿宋_GB2312" w:cs="仿宋_GB2312"/>
          <w:sz w:val="32"/>
          <w:szCs w:val="32"/>
          <w:lang w:val="en-US" w:eastAsia="zh-CN"/>
        </w:rPr>
        <w:t>及以上</w:t>
      </w:r>
      <w:r>
        <w:rPr>
          <w:rFonts w:hint="eastAsia" w:ascii="仿宋_GB2312" w:hAnsi="仿宋_GB2312" w:eastAsia="仿宋_GB2312" w:cs="仿宋_GB2312"/>
          <w:sz w:val="32"/>
          <w:szCs w:val="32"/>
        </w:rPr>
        <w:t>贷款贴息的项目，配套给予最高1个百分点且不超过贷款实际利率的贴息支持；</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未获得市级</w:t>
      </w:r>
      <w:r>
        <w:rPr>
          <w:rFonts w:hint="eastAsia" w:ascii="仿宋_GB2312" w:hAnsi="仿宋_GB2312" w:eastAsia="仿宋_GB2312" w:cs="仿宋_GB2312"/>
          <w:sz w:val="32"/>
          <w:szCs w:val="32"/>
          <w:lang w:val="en-US" w:eastAsia="zh-CN"/>
        </w:rPr>
        <w:t>及以上</w:t>
      </w:r>
      <w:r>
        <w:rPr>
          <w:rFonts w:hint="eastAsia" w:ascii="仿宋_GB2312" w:hAnsi="仿宋_GB2312" w:eastAsia="仿宋_GB2312" w:cs="仿宋_GB2312"/>
          <w:sz w:val="32"/>
          <w:szCs w:val="32"/>
        </w:rPr>
        <w:t>贷款贴息的，给予最高2.5个百分点且不超过贷款实际利率的贴息支持。单个</w:t>
      </w:r>
      <w:r>
        <w:rPr>
          <w:rFonts w:hint="eastAsia" w:ascii="仿宋_GB2312" w:hAnsi="仿宋_GB2312" w:eastAsia="仿宋_GB2312" w:cs="仿宋_GB2312"/>
          <w:sz w:val="32"/>
          <w:szCs w:val="32"/>
          <w:lang w:eastAsia="zh-CN"/>
        </w:rPr>
        <w:t>市场主体</w:t>
      </w:r>
      <w:r>
        <w:rPr>
          <w:rFonts w:hint="eastAsia" w:ascii="仿宋_GB2312" w:hAnsi="仿宋_GB2312" w:eastAsia="仿宋_GB2312" w:cs="仿宋_GB2312"/>
          <w:sz w:val="32"/>
          <w:szCs w:val="32"/>
        </w:rPr>
        <w:t>享受贷款</w:t>
      </w:r>
      <w:r>
        <w:rPr>
          <w:rFonts w:hint="eastAsia" w:ascii="仿宋_GB2312" w:hAnsi="仿宋_GB2312" w:eastAsia="仿宋_GB2312" w:cs="仿宋_GB2312"/>
          <w:sz w:val="32"/>
          <w:szCs w:val="32"/>
          <w:lang w:eastAsia="zh-CN"/>
        </w:rPr>
        <w:t>贴息</w:t>
      </w:r>
      <w:r>
        <w:rPr>
          <w:rFonts w:hint="eastAsia" w:ascii="仿宋_GB2312" w:hAnsi="仿宋_GB2312" w:eastAsia="仿宋_GB2312" w:cs="仿宋_GB2312"/>
          <w:sz w:val="32"/>
          <w:szCs w:val="32"/>
        </w:rPr>
        <w:t>补助</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最高不超过15万元每年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视项目综合效益情况，单个</w:t>
      </w:r>
      <w:r>
        <w:rPr>
          <w:rFonts w:hint="eastAsia" w:ascii="仿宋_GB2312" w:hAnsi="仿宋_GB2312" w:eastAsia="仿宋_GB2312" w:cs="仿宋_GB2312"/>
          <w:sz w:val="32"/>
          <w:szCs w:val="32"/>
          <w:lang w:eastAsia="zh-CN"/>
        </w:rPr>
        <w:t>市场主体</w:t>
      </w:r>
      <w:r>
        <w:rPr>
          <w:rFonts w:hint="eastAsia" w:ascii="仿宋_GB2312" w:hAnsi="仿宋_GB2312" w:eastAsia="仿宋_GB2312" w:cs="仿宋_GB2312"/>
          <w:sz w:val="32"/>
          <w:szCs w:val="32"/>
        </w:rPr>
        <w:t>支持不超过两个项目。</w:t>
      </w:r>
    </w:p>
    <w:p>
      <w:pPr>
        <w:keepNext w:val="0"/>
        <w:keepLines w:val="0"/>
        <w:widowControl/>
        <w:suppressLineNumbers w:val="0"/>
        <w:spacing w:line="580" w:lineRule="exact"/>
        <w:ind w:firstLine="640" w:firstLineChars="200"/>
        <w:jc w:val="left"/>
        <w:rPr>
          <w:rFonts w:hint="eastAsia" w:ascii="仿宋_GB2312" w:hAnsi="仿宋_GB2312" w:eastAsia="仿宋_GB2312" w:cs="仿宋_GB2312"/>
          <w:kern w:val="0"/>
          <w:sz w:val="32"/>
          <w:szCs w:val="32"/>
          <w:highlight w:val="none"/>
          <w:lang w:val="en-US" w:eastAsia="zh-CN" w:bidi="ar"/>
        </w:rPr>
      </w:pPr>
      <w:r>
        <w:rPr>
          <w:rFonts w:hint="eastAsia" w:ascii="CESI楷体-GB2312" w:hAnsi="CESI楷体-GB2312" w:eastAsia="CESI楷体-GB2312" w:cs="CESI楷体-GB2312"/>
          <w:b/>
          <w:bCs/>
          <w:sz w:val="32"/>
          <w:szCs w:val="32"/>
          <w:lang w:eastAsia="zh-CN"/>
        </w:rPr>
        <w:t>（二）支持</w:t>
      </w:r>
      <w:r>
        <w:rPr>
          <w:rFonts w:hint="eastAsia" w:ascii="CESI楷体-GB2312" w:hAnsi="CESI楷体-GB2312" w:eastAsia="CESI楷体-GB2312" w:cs="CESI楷体-GB2312"/>
          <w:b/>
          <w:bCs/>
          <w:sz w:val="32"/>
          <w:szCs w:val="32"/>
          <w:lang w:val="en-US" w:eastAsia="zh-CN"/>
        </w:rPr>
        <w:t>实体书店高质量发展</w:t>
      </w:r>
      <w:r>
        <w:rPr>
          <w:rFonts w:hint="eastAsia" w:ascii="CESI楷体-GB2312" w:hAnsi="CESI楷体-GB2312" w:eastAsia="CESI楷体-GB2312" w:cs="CESI楷体-GB2312"/>
          <w:b/>
          <w:bCs/>
          <w:sz w:val="32"/>
          <w:szCs w:val="32"/>
          <w:lang w:eastAsia="zh-CN"/>
        </w:rPr>
        <w:t>。</w:t>
      </w:r>
      <w:r>
        <w:rPr>
          <w:rFonts w:hint="eastAsia" w:ascii="仿宋_GB2312" w:hAnsi="仿宋_GB2312" w:eastAsia="仿宋_GB2312" w:cs="仿宋_GB2312"/>
          <w:b w:val="0"/>
          <w:bCs w:val="0"/>
          <w:sz w:val="32"/>
          <w:szCs w:val="32"/>
          <w:lang w:eastAsia="zh-CN"/>
        </w:rPr>
        <w:t>围绕推动“全民阅读”活动深入开展，丰富群众精神文化生活，提升城市文化品味，大力支持实体书店高质量发展。</w:t>
      </w:r>
    </w:p>
    <w:p>
      <w:pPr>
        <w:keepNext w:val="0"/>
        <w:keepLines w:val="0"/>
        <w:widowControl/>
        <w:suppressLineNumbers w:val="0"/>
        <w:spacing w:line="580" w:lineRule="exact"/>
        <w:ind w:firstLine="640" w:firstLineChars="200"/>
        <w:jc w:val="left"/>
        <w:rPr>
          <w:rFonts w:hint="eastAsia" w:ascii="仿宋_GB2312" w:hAnsi="仿宋_GB2312" w:eastAsia="仿宋_GB2312" w:cs="仿宋_GB2312"/>
          <w:b w:val="0"/>
          <w:bCs w:val="0"/>
          <w:kern w:val="0"/>
          <w:sz w:val="32"/>
          <w:szCs w:val="32"/>
          <w:highlight w:val="none"/>
          <w:lang w:val="en-US" w:eastAsia="zh-CN" w:bidi="ar"/>
        </w:rPr>
      </w:pPr>
      <w:r>
        <w:rPr>
          <w:rFonts w:hint="eastAsia" w:ascii="CESI楷体-GB2312" w:hAnsi="CESI楷体-GB2312" w:eastAsia="CESI楷体-GB2312" w:cs="CESI楷体-GB2312"/>
          <w:b/>
          <w:bCs/>
          <w:kern w:val="2"/>
          <w:sz w:val="32"/>
          <w:szCs w:val="32"/>
          <w:lang w:val="en-US" w:eastAsia="zh-CN" w:bidi="ar"/>
        </w:rPr>
        <w:t>1.实体书店类型。</w:t>
      </w:r>
      <w:r>
        <w:rPr>
          <w:rFonts w:hint="eastAsia" w:ascii="仿宋_GB2312" w:hAnsi="仿宋_GB2312" w:eastAsia="仿宋_GB2312" w:cs="仿宋_GB2312"/>
          <w:b w:val="0"/>
          <w:bCs w:val="0"/>
          <w:kern w:val="0"/>
          <w:sz w:val="32"/>
          <w:szCs w:val="32"/>
          <w:highlight w:val="none"/>
          <w:lang w:val="en-US" w:eastAsia="zh-CN" w:bidi="ar"/>
        </w:rPr>
        <w:t>根据书店经营面积，以及图书种类数量来认定实体书店类型。</w:t>
      </w:r>
    </w:p>
    <w:p>
      <w:pPr>
        <w:keepNext w:val="0"/>
        <w:keepLines w:val="0"/>
        <w:widowControl/>
        <w:suppressLineNumbers w:val="0"/>
        <w:spacing w:line="580" w:lineRule="exact"/>
        <w:ind w:firstLine="642" w:firstLineChars="20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kern w:val="0"/>
          <w:sz w:val="32"/>
          <w:szCs w:val="32"/>
          <w:highlight w:val="none"/>
          <w:lang w:val="en-US" w:eastAsia="zh-CN" w:bidi="ar"/>
        </w:rPr>
        <w:t>（1）小型书店：</w:t>
      </w:r>
      <w:r>
        <w:rPr>
          <w:rFonts w:hint="eastAsia" w:ascii="仿宋_GB2312" w:hAnsi="仿宋_GB2312" w:eastAsia="仿宋_GB2312" w:cs="仿宋_GB2312"/>
          <w:kern w:val="0"/>
          <w:sz w:val="32"/>
          <w:szCs w:val="32"/>
          <w:highlight w:val="none"/>
          <w:lang w:val="en-US" w:eastAsia="zh-CN" w:bidi="ar"/>
        </w:rPr>
        <w:t xml:space="preserve">指单个门店出版物经营面积在0-500平方米。出版物陈列品种1000（含）-5000种的实体书店。 </w:t>
      </w:r>
    </w:p>
    <w:p>
      <w:pPr>
        <w:keepNext w:val="0"/>
        <w:keepLines w:val="0"/>
        <w:widowControl/>
        <w:suppressLineNumbers w:val="0"/>
        <w:spacing w:line="580" w:lineRule="exact"/>
        <w:ind w:firstLine="642" w:firstLineChars="20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kern w:val="0"/>
          <w:sz w:val="32"/>
          <w:szCs w:val="32"/>
          <w:highlight w:val="none"/>
          <w:lang w:val="en-US" w:eastAsia="zh-CN" w:bidi="ar"/>
        </w:rPr>
        <w:t>（2）中型书店：</w:t>
      </w:r>
      <w:r>
        <w:rPr>
          <w:rFonts w:hint="eastAsia" w:ascii="仿宋_GB2312" w:hAnsi="仿宋_GB2312" w:eastAsia="仿宋_GB2312" w:cs="仿宋_GB2312"/>
          <w:kern w:val="0"/>
          <w:sz w:val="32"/>
          <w:szCs w:val="32"/>
          <w:highlight w:val="none"/>
          <w:lang w:val="en-US" w:eastAsia="zh-CN" w:bidi="ar"/>
        </w:rPr>
        <w:t>指单个门店出版物经营面积500（含）-1000平方米。出版物陈列品种5000（含）-10000种的实体书店。</w:t>
      </w:r>
    </w:p>
    <w:p>
      <w:pPr>
        <w:keepNext w:val="0"/>
        <w:keepLines w:val="0"/>
        <w:widowControl/>
        <w:suppressLineNumbers w:val="0"/>
        <w:spacing w:line="580" w:lineRule="exact"/>
        <w:ind w:firstLine="642" w:firstLineChars="20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kern w:val="0"/>
          <w:sz w:val="32"/>
          <w:szCs w:val="32"/>
          <w:highlight w:val="none"/>
          <w:lang w:val="en-US" w:eastAsia="zh-CN" w:bidi="ar"/>
        </w:rPr>
        <w:t>（3）大型书店：</w:t>
      </w:r>
      <w:r>
        <w:rPr>
          <w:rFonts w:hint="eastAsia" w:ascii="仿宋_GB2312" w:hAnsi="仿宋_GB2312" w:eastAsia="仿宋_GB2312" w:cs="仿宋_GB2312"/>
          <w:kern w:val="0"/>
          <w:sz w:val="32"/>
          <w:szCs w:val="32"/>
          <w:highlight w:val="none"/>
          <w:lang w:val="en-US" w:eastAsia="zh-CN" w:bidi="ar"/>
        </w:rPr>
        <w:t>指单个门店出版物经营面积在1000（含）平方米以上，出版物陈列品种在10000（含）种以上的实体书店。</w:t>
      </w:r>
    </w:p>
    <w:p>
      <w:pPr>
        <w:keepNext w:val="0"/>
        <w:keepLines w:val="0"/>
        <w:widowControl/>
        <w:suppressLineNumbers w:val="0"/>
        <w:spacing w:line="580" w:lineRule="exact"/>
        <w:ind w:firstLine="640" w:firstLineChars="200"/>
        <w:jc w:val="left"/>
        <w:rPr>
          <w:rFonts w:hint="eastAsia" w:ascii="仿宋_GB2312" w:hAnsi="仿宋_GB2312" w:eastAsia="仿宋_GB2312" w:cs="仿宋_GB2312"/>
          <w:kern w:val="0"/>
          <w:sz w:val="32"/>
          <w:szCs w:val="32"/>
          <w:highlight w:val="none"/>
          <w:lang w:val="en-US" w:eastAsia="zh-CN" w:bidi="ar"/>
        </w:rPr>
      </w:pPr>
      <w:r>
        <w:rPr>
          <w:rFonts w:hint="eastAsia" w:ascii="CESI楷体-GB2312" w:hAnsi="CESI楷体-GB2312" w:eastAsia="CESI楷体-GB2312" w:cs="CESI楷体-GB2312"/>
          <w:b/>
          <w:bCs/>
          <w:kern w:val="2"/>
          <w:sz w:val="32"/>
          <w:szCs w:val="32"/>
          <w:lang w:val="en-US" w:eastAsia="zh-CN" w:bidi="ar"/>
        </w:rPr>
        <w:t>2.奖补内容。</w:t>
      </w:r>
      <w:r>
        <w:rPr>
          <w:rFonts w:hint="eastAsia" w:ascii="仿宋_GB2312" w:hAnsi="仿宋_GB2312" w:eastAsia="仿宋_GB2312" w:cs="仿宋_GB2312"/>
          <w:b w:val="0"/>
          <w:bCs w:val="0"/>
          <w:kern w:val="0"/>
          <w:sz w:val="32"/>
          <w:szCs w:val="32"/>
          <w:highlight w:val="none"/>
          <w:lang w:val="en-US" w:eastAsia="zh-CN" w:bidi="ar"/>
        </w:rPr>
        <w:t>对实体书店从新开办书店奖补、公共文化服务奖补、阅读文化活动奖补等三个方面给予财政支持。</w:t>
      </w:r>
    </w:p>
    <w:p>
      <w:pPr>
        <w:keepNext w:val="0"/>
        <w:keepLines w:val="0"/>
        <w:widowControl/>
        <w:suppressLineNumbers w:val="0"/>
        <w:spacing w:line="580" w:lineRule="exact"/>
        <w:ind w:firstLine="642" w:firstLineChars="20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kern w:val="0"/>
          <w:sz w:val="32"/>
          <w:szCs w:val="32"/>
          <w:highlight w:val="none"/>
          <w:lang w:val="en-US" w:eastAsia="zh-CN" w:bidi="ar"/>
        </w:rPr>
        <w:t>（1）新开办书店奖补：</w:t>
      </w:r>
      <w:r>
        <w:rPr>
          <w:rFonts w:hint="eastAsia" w:ascii="仿宋_GB2312" w:hAnsi="仿宋_GB2312" w:eastAsia="仿宋_GB2312" w:cs="仿宋_GB2312"/>
          <w:kern w:val="0"/>
          <w:sz w:val="32"/>
          <w:szCs w:val="32"/>
          <w:highlight w:val="none"/>
          <w:lang w:val="en-US" w:eastAsia="zh-CN" w:bidi="ar"/>
        </w:rPr>
        <w:t>指对符合城市功能定位和区域布局，于规定时间段内（政策有效期）新开办的实体书店给予奖补。重点考量新开办实体书店的图书种类及数量等经营规模和公共服务能力，扶持对象应以出版物相关业务为主营业务，具有良好的公共阅读环境，提供免费阅读空间，所经营的出版物选品优质、品类丰富，且上架分类合理。</w:t>
      </w:r>
    </w:p>
    <w:p>
      <w:pPr>
        <w:keepNext w:val="0"/>
        <w:keepLines w:val="0"/>
        <w:widowControl/>
        <w:suppressLineNumbers w:val="0"/>
        <w:spacing w:line="580" w:lineRule="exact"/>
        <w:ind w:firstLine="642" w:firstLineChars="20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kern w:val="0"/>
          <w:sz w:val="32"/>
          <w:szCs w:val="32"/>
          <w:highlight w:val="none"/>
          <w:lang w:val="en-US" w:eastAsia="zh-CN" w:bidi="ar"/>
        </w:rPr>
        <w:t>（2）公共文化服务奖补：</w:t>
      </w:r>
      <w:r>
        <w:rPr>
          <w:rFonts w:hint="eastAsia" w:ascii="仿宋_GB2312" w:hAnsi="仿宋_GB2312" w:eastAsia="仿宋_GB2312" w:cs="仿宋_GB2312"/>
          <w:kern w:val="0"/>
          <w:sz w:val="32"/>
          <w:szCs w:val="32"/>
          <w:highlight w:val="none"/>
          <w:lang w:val="en-US" w:eastAsia="zh-CN" w:bidi="ar"/>
        </w:rPr>
        <w:t>指对在公共文化服务方面发挥突出作用的实体书店给予奖补。重点考量实体书店的社会效益、运营管理、基础服务、特色服务和创新要素等五个方面，每年由区城乡整合发展局会同区党政办（宣传）按百分制进行考核，按合格（70分[含]-80分）、良好（80分[含]-90分）、优秀（90分[含]以上）三个档次予以认定并给予相应奖补，考核不合格不予奖补。具体考核指标体系见附件1。</w:t>
      </w:r>
    </w:p>
    <w:p>
      <w:pPr>
        <w:keepNext w:val="0"/>
        <w:keepLines w:val="0"/>
        <w:widowControl/>
        <w:suppressLineNumbers w:val="0"/>
        <w:spacing w:line="580" w:lineRule="exact"/>
        <w:ind w:firstLine="642" w:firstLineChars="20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kern w:val="0"/>
          <w:sz w:val="32"/>
          <w:szCs w:val="32"/>
          <w:highlight w:val="none"/>
          <w:lang w:val="en-US" w:eastAsia="zh-CN" w:bidi="ar"/>
        </w:rPr>
        <w:t>（3）阅读文化活动奖补：</w:t>
      </w:r>
      <w:r>
        <w:rPr>
          <w:rFonts w:hint="eastAsia" w:ascii="仿宋_GB2312" w:hAnsi="仿宋_GB2312" w:eastAsia="仿宋_GB2312" w:cs="仿宋_GB2312"/>
          <w:kern w:val="0"/>
          <w:sz w:val="32"/>
          <w:szCs w:val="32"/>
          <w:highlight w:val="none"/>
          <w:lang w:val="en-US" w:eastAsia="zh-CN" w:bidi="ar"/>
        </w:rPr>
        <w:t>指对实体书店在葛店经开区范围内，以主办方身份组织开展符合条件的阅读文化活动给予奖补。实体书店举办的阅读文化活动需符合高质量、公益性要求，活动内容体现图书元素，对不特定的公众免费开放参与。活动形式包括线下活动和线上活动，单场活动总时长应不少于40分钟。单场线下活动参与人数不少于20人；单场线上活动累计参与人数不少于200人。线上、线下同步开展的活动，认定为一场活动。</w:t>
      </w:r>
    </w:p>
    <w:p>
      <w:pPr>
        <w:keepNext w:val="0"/>
        <w:keepLines w:val="0"/>
        <w:widowControl/>
        <w:suppressLineNumbers w:val="0"/>
        <w:spacing w:line="580" w:lineRule="exact"/>
        <w:ind w:firstLine="640" w:firstLineChars="20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申报本项奖补需按场次提供相应的图片、视频等佐证资料，体现活动时间、活动内容、参与人次等信息。提供佐证资料证明力不足的，活动现场情况与活动日期明显不符的，上报参与人数与实际人数差异较大的，不予奖补。申报阅读文化活动奖补的实体书店，在当年度开展各类全民阅读文化活动原则上不少于30场。</w:t>
      </w:r>
    </w:p>
    <w:p>
      <w:pPr>
        <w:keepNext w:val="0"/>
        <w:keepLines w:val="0"/>
        <w:widowControl/>
        <w:suppressLineNumbers w:val="0"/>
        <w:spacing w:line="580" w:lineRule="exact"/>
        <w:ind w:firstLine="642" w:firstLineChars="20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kern w:val="0"/>
          <w:sz w:val="32"/>
          <w:szCs w:val="32"/>
          <w:highlight w:val="none"/>
          <w:lang w:val="en-US" w:eastAsia="zh-CN" w:bidi="ar"/>
        </w:rPr>
        <w:t>（4）不纳入奖补范围：</w:t>
      </w:r>
      <w:r>
        <w:rPr>
          <w:rFonts w:hint="eastAsia" w:ascii="仿宋_GB2312" w:hAnsi="仿宋_GB2312" w:eastAsia="仿宋_GB2312" w:cs="仿宋_GB2312"/>
          <w:kern w:val="0"/>
          <w:sz w:val="32"/>
          <w:szCs w:val="32"/>
          <w:highlight w:val="none"/>
          <w:lang w:val="en-US" w:eastAsia="zh-CN" w:bidi="ar"/>
        </w:rPr>
        <w:t>在书店内举办的非图书展览活动；书店内部的团建、培训活动；影视放映等与阅读关联度较低的活动；直播带货、优惠购书、市集售卖等各类营销活动；仅限收费会员参与的活动；其他经审核认定不予奖补的活动。</w:t>
      </w:r>
    </w:p>
    <w:p>
      <w:pPr>
        <w:keepNext w:val="0"/>
        <w:keepLines w:val="0"/>
        <w:widowControl/>
        <w:suppressLineNumbers w:val="0"/>
        <w:spacing w:line="580" w:lineRule="exact"/>
        <w:ind w:firstLine="640" w:firstLineChars="200"/>
        <w:jc w:val="left"/>
        <w:rPr>
          <w:rFonts w:hint="eastAsia" w:ascii="仿宋_GB2312" w:hAnsi="仿宋_GB2312" w:eastAsia="仿宋_GB2312" w:cs="仿宋_GB2312"/>
          <w:kern w:val="0"/>
          <w:sz w:val="32"/>
          <w:szCs w:val="32"/>
          <w:highlight w:val="none"/>
          <w:lang w:val="en-US" w:eastAsia="zh-CN" w:bidi="ar"/>
        </w:rPr>
      </w:pPr>
      <w:r>
        <w:rPr>
          <w:rFonts w:hint="eastAsia" w:ascii="CESI楷体-GB2312" w:hAnsi="CESI楷体-GB2312" w:eastAsia="CESI楷体-GB2312" w:cs="CESI楷体-GB2312"/>
          <w:b/>
          <w:bCs/>
          <w:kern w:val="2"/>
          <w:sz w:val="32"/>
          <w:szCs w:val="32"/>
          <w:lang w:val="en-US" w:eastAsia="zh-CN" w:bidi="ar"/>
        </w:rPr>
        <w:t>3.奖补标准。</w:t>
      </w:r>
      <w:r>
        <w:rPr>
          <w:rFonts w:hint="eastAsia" w:ascii="仿宋_GB2312" w:hAnsi="仿宋_GB2312" w:eastAsia="仿宋_GB2312" w:cs="仿宋_GB2312"/>
          <w:kern w:val="0"/>
          <w:sz w:val="32"/>
          <w:szCs w:val="32"/>
          <w:highlight w:val="none"/>
          <w:lang w:val="en-US" w:eastAsia="zh-CN" w:bidi="ar"/>
        </w:rPr>
        <w:t>同一年度内，经评审符合支持条件的实体书店，按经营规模、考核得分折算给予奖补，单店获得的奖补总金额小型书店不超过30万元、中型书店不超过70万元、大型书店不超过150万元。</w:t>
      </w:r>
    </w:p>
    <w:p>
      <w:pPr>
        <w:keepNext w:val="0"/>
        <w:keepLines w:val="0"/>
        <w:widowControl/>
        <w:suppressLineNumbers w:val="0"/>
        <w:spacing w:line="580" w:lineRule="exact"/>
        <w:ind w:firstLine="642" w:firstLineChars="20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kern w:val="0"/>
          <w:sz w:val="32"/>
          <w:szCs w:val="32"/>
          <w:highlight w:val="none"/>
          <w:lang w:val="en-US" w:eastAsia="zh-CN" w:bidi="ar"/>
        </w:rPr>
        <w:t>（1）新开办书店奖补标准。</w:t>
      </w:r>
      <w:r>
        <w:rPr>
          <w:rFonts w:hint="eastAsia" w:ascii="仿宋_GB2312" w:hAnsi="仿宋_GB2312" w:eastAsia="仿宋_GB2312" w:cs="仿宋_GB2312"/>
          <w:kern w:val="0"/>
          <w:sz w:val="32"/>
          <w:szCs w:val="32"/>
          <w:highlight w:val="none"/>
          <w:lang w:val="en-US" w:eastAsia="zh-CN" w:bidi="ar"/>
        </w:rPr>
        <w:t>按照实体书店开办当年度购买图书投入资金的30%给予奖补，小型书店每店补贴不超过10万元，中型书店每店补贴不超过20万元，大型书店每店补贴不超过50万元。</w:t>
      </w:r>
    </w:p>
    <w:p>
      <w:pPr>
        <w:keepNext w:val="0"/>
        <w:keepLines w:val="0"/>
        <w:widowControl/>
        <w:suppressLineNumbers w:val="0"/>
        <w:spacing w:line="580" w:lineRule="exact"/>
        <w:ind w:firstLine="642" w:firstLineChars="20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kern w:val="0"/>
          <w:sz w:val="32"/>
          <w:szCs w:val="32"/>
          <w:highlight w:val="none"/>
          <w:lang w:val="en-US" w:eastAsia="zh-CN" w:bidi="ar"/>
        </w:rPr>
        <w:t>（2）公共文化服务奖补标准。</w:t>
      </w:r>
      <w:r>
        <w:rPr>
          <w:rFonts w:hint="eastAsia" w:ascii="仿宋_GB2312" w:hAnsi="仿宋_GB2312" w:eastAsia="仿宋_GB2312" w:cs="仿宋_GB2312"/>
          <w:b w:val="0"/>
          <w:bCs w:val="0"/>
          <w:kern w:val="0"/>
          <w:sz w:val="32"/>
          <w:szCs w:val="32"/>
          <w:highlight w:val="none"/>
          <w:lang w:val="en-US" w:eastAsia="zh-CN" w:bidi="ar"/>
        </w:rPr>
        <w:t>小型书店、中型书店、大型书店当年公共文化服务</w:t>
      </w:r>
      <w:r>
        <w:rPr>
          <w:rFonts w:hint="eastAsia" w:ascii="仿宋_GB2312" w:hAnsi="仿宋_GB2312" w:eastAsia="仿宋_GB2312" w:cs="仿宋_GB2312"/>
          <w:kern w:val="0"/>
          <w:sz w:val="32"/>
          <w:szCs w:val="32"/>
          <w:highlight w:val="none"/>
          <w:lang w:val="en-US" w:eastAsia="zh-CN" w:bidi="ar"/>
        </w:rPr>
        <w:t>奖补金额分别最高不超过20万元、50万元、100万元。其中：考核合格的最高给予对应类型书店最高奖补标准30%奖补，考核良好的最高给予对应类型书店最高奖补标准50%奖补，考核优秀的最高给予对应类型书店最高奖补标准100%奖补，按考核得分折算。奖补金额=（考核分值÷100）×对应书店最高奖补标准×对应奖补百分比。</w:t>
      </w:r>
    </w:p>
    <w:p>
      <w:pPr>
        <w:keepNext w:val="0"/>
        <w:keepLines w:val="0"/>
        <w:widowControl/>
        <w:suppressLineNumbers w:val="0"/>
        <w:spacing w:line="580" w:lineRule="exact"/>
        <w:ind w:firstLine="642" w:firstLineChars="20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kern w:val="0"/>
          <w:sz w:val="32"/>
          <w:szCs w:val="32"/>
          <w:highlight w:val="none"/>
          <w:lang w:val="en-US" w:eastAsia="zh-CN" w:bidi="ar"/>
        </w:rPr>
        <w:t>（3）阅读文化活动奖补标准。</w:t>
      </w:r>
      <w:r>
        <w:rPr>
          <w:rFonts w:hint="eastAsia" w:ascii="仿宋_GB2312" w:hAnsi="仿宋_GB2312" w:eastAsia="仿宋_GB2312" w:cs="仿宋_GB2312"/>
          <w:kern w:val="0"/>
          <w:sz w:val="32"/>
          <w:szCs w:val="32"/>
          <w:highlight w:val="none"/>
          <w:lang w:val="en-US" w:eastAsia="zh-CN" w:bidi="ar"/>
        </w:rPr>
        <w:t>根据活动举办时间、参与规模、活动性质进行奖补。其中：</w:t>
      </w:r>
    </w:p>
    <w:p>
      <w:pPr>
        <w:keepNext w:val="0"/>
        <w:keepLines w:val="0"/>
        <w:widowControl/>
        <w:suppressLineNumbers w:val="0"/>
        <w:spacing w:line="580" w:lineRule="exact"/>
        <w:ind w:firstLine="640" w:firstLineChars="20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线下活动补贴标准：活动人数20-30（含）人的，每场补贴1000元；活动人数30-50（含）人的，每场补贴1500元；活动人数50-100（含）人的，每场补贴3000元；活动人数100人以上的，每场补贴5000元。</w:t>
      </w:r>
    </w:p>
    <w:p>
      <w:pPr>
        <w:keepNext w:val="0"/>
        <w:keepLines w:val="0"/>
        <w:widowControl/>
        <w:suppressLineNumbers w:val="0"/>
        <w:spacing w:line="580" w:lineRule="exact"/>
        <w:ind w:firstLine="640" w:firstLineChars="20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线上活动补贴标准：活动人数200-300（含）人的，每场补贴1000元；活动人数300-500（含）人的，每场补贴1500元；活动人数500-1000（含）人的，每场补贴3000元；活动人数1000人以上的，每场补贴5000元。</w:t>
      </w:r>
    </w:p>
    <w:p>
      <w:pPr>
        <w:keepNext w:val="0"/>
        <w:keepLines w:val="0"/>
        <w:widowControl/>
        <w:suppressLineNumbers w:val="0"/>
        <w:spacing w:line="580" w:lineRule="exact"/>
        <w:ind w:firstLine="640" w:firstLineChars="200"/>
        <w:jc w:val="left"/>
        <w:rPr>
          <w:rFonts w:hint="default" w:ascii="仿宋_GB2312" w:hAnsi="仿宋_GB2312" w:eastAsia="仿宋_GB2312" w:cs="仿宋_GB2312"/>
          <w:sz w:val="32"/>
          <w:szCs w:val="32"/>
        </w:rPr>
      </w:pPr>
      <w:r>
        <w:rPr>
          <w:rFonts w:hint="eastAsia" w:ascii="仿宋_GB2312" w:hAnsi="仿宋_GB2312" w:eastAsia="仿宋_GB2312" w:cs="仿宋_GB2312"/>
          <w:kern w:val="0"/>
          <w:sz w:val="32"/>
          <w:szCs w:val="32"/>
          <w:highlight w:val="none"/>
          <w:lang w:val="en-US" w:eastAsia="zh-CN" w:bidi="ar"/>
        </w:rPr>
        <w:t>承担市级层面组织的全民阅读活动的，每场再补贴2000元；承担省级层面组织的全民阅读活动的，每场再补贴3000元；承担国家组织的全民阅读活动的，每场再补贴5000元；邀请社会知名度、影响力较大的名家参与活动的，每场再补贴20000元。</w:t>
      </w:r>
    </w:p>
    <w:p>
      <w:pPr>
        <w:spacing w:line="58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CESI楷体-GB2312" w:hAnsi="CESI楷体-GB2312" w:eastAsia="CESI楷体-GB2312" w:cs="CESI楷体-GB2312"/>
          <w:b/>
          <w:bCs/>
          <w:sz w:val="32"/>
          <w:szCs w:val="32"/>
          <w:lang w:val="en-US" w:eastAsia="zh-CN"/>
        </w:rPr>
        <w:t>（三）支持打造有特色、有品位的公共阅读空间。</w:t>
      </w:r>
      <w:r>
        <w:rPr>
          <w:rFonts w:hint="eastAsia" w:ascii="仿宋_GB2312" w:hAnsi="仿宋_GB2312" w:eastAsia="仿宋_GB2312" w:cs="仿宋_GB2312"/>
          <w:b w:val="0"/>
          <w:bCs w:val="0"/>
          <w:sz w:val="32"/>
          <w:szCs w:val="32"/>
          <w:lang w:val="en-US" w:eastAsia="zh-CN"/>
        </w:rPr>
        <w:t>聚焦破解公共文化文化服务时空限制，塑造城市文化品味，加强个体化、多元化文化供给，大力支持发展公共图书馆、新时代文明实践中心（所、站）、城市书房、社区图书室、农家（职工）书屋、老年人活动中心、少年文化宫等公共阅读空间，向公众免费提供阅读服务。</w:t>
      </w:r>
    </w:p>
    <w:p>
      <w:pPr>
        <w:widowControl/>
        <w:spacing w:line="580" w:lineRule="exact"/>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在旧城改造、新区开发、社区商圈、产业园区等建设中，鼓励结合城市功能分区、人口规模、群众需求等因素，合理布局新型公共阅读空间。</w:t>
      </w:r>
    </w:p>
    <w:p>
      <w:pPr>
        <w:widowControl/>
        <w:spacing w:line="580" w:lineRule="exact"/>
        <w:ind w:firstLine="642" w:firstLineChars="20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sz w:val="32"/>
          <w:szCs w:val="32"/>
          <w:lang w:val="en-US" w:eastAsia="zh-CN"/>
        </w:rPr>
        <w:t>1.大力建设公益性公共阅读空间。</w:t>
      </w:r>
      <w:r>
        <w:rPr>
          <w:rFonts w:hint="eastAsia" w:ascii="仿宋_GB2312" w:hAnsi="仿宋_GB2312" w:eastAsia="仿宋_GB2312" w:cs="仿宋_GB2312"/>
          <w:b w:val="0"/>
          <w:bCs w:val="0"/>
          <w:sz w:val="32"/>
          <w:szCs w:val="32"/>
          <w:lang w:val="en-US" w:eastAsia="zh-CN"/>
        </w:rPr>
        <w:t>对于</w:t>
      </w:r>
      <w:r>
        <w:rPr>
          <w:rFonts w:hint="eastAsia" w:ascii="仿宋_GB2312" w:hAnsi="仿宋_GB2312" w:eastAsia="仿宋_GB2312" w:cs="仿宋_GB2312"/>
          <w:sz w:val="32"/>
          <w:szCs w:val="32"/>
          <w:lang w:val="en-US" w:eastAsia="zh-CN"/>
        </w:rPr>
        <w:t>由政府部门或公共文化事业单位主导新建或改造公共阅读空间项目，由相应主管部门将建设、筹开、运营经费</w:t>
      </w:r>
      <w:r>
        <w:rPr>
          <w:rFonts w:hint="eastAsia" w:ascii="仿宋_GB2312" w:hAnsi="仿宋_GB2312" w:eastAsia="仿宋_GB2312" w:cs="仿宋_GB2312"/>
          <w:kern w:val="0"/>
          <w:sz w:val="32"/>
          <w:szCs w:val="32"/>
          <w:highlight w:val="none"/>
          <w:lang w:val="en-US" w:eastAsia="zh-CN" w:bidi="ar"/>
        </w:rPr>
        <w:t>纳入财政预算并具体负责实施。</w:t>
      </w:r>
    </w:p>
    <w:p>
      <w:pPr>
        <w:widowControl/>
        <w:spacing w:line="580" w:lineRule="exact"/>
        <w:ind w:firstLine="642" w:firstLineChars="200"/>
        <w:jc w:val="both"/>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kern w:val="0"/>
          <w:sz w:val="32"/>
          <w:szCs w:val="32"/>
          <w:highlight w:val="none"/>
          <w:lang w:val="en-US" w:eastAsia="zh-CN" w:bidi="ar"/>
        </w:rPr>
        <w:t>2.支持社会力量参与创办公共阅读空间。</w:t>
      </w:r>
      <w:r>
        <w:rPr>
          <w:rFonts w:hint="eastAsia" w:ascii="仿宋_GB2312" w:hAnsi="仿宋_GB2312" w:eastAsia="仿宋_GB2312" w:cs="仿宋_GB2312"/>
          <w:kern w:val="0"/>
          <w:sz w:val="32"/>
          <w:szCs w:val="32"/>
          <w:highlight w:val="none"/>
          <w:lang w:val="en-US" w:eastAsia="zh-CN" w:bidi="ar"/>
        </w:rPr>
        <w:t>对于由社会主体投资建设并具有对推动全民阅读有意义的公共阅读空间，对于达到全面阅读推广效果的，对后期运营经费可适当给予补贴，每年补贴金额不超过20万元。每年由区城乡整合发展局会同区党政办（宣传）按百分制进行考核，按合格（70分[含]-80分）、良好（80分[含]-90分）、优秀（90分[含]以上）三个档次予以认定并给予相应奖补，考核不合格不予奖补。考核合格的最高给予30%奖补，考核良好的最高给予50%奖补，考核优秀的最高给予100%奖补，按考核得分折算。奖补金额=（考核分值÷100）×20万×对应奖补百分比。具体奖补考核评价体系见附件2。</w:t>
      </w:r>
    </w:p>
    <w:p>
      <w:pPr>
        <w:spacing w:line="580" w:lineRule="exact"/>
        <w:ind w:firstLine="640" w:firstLineChars="200"/>
        <w:rPr>
          <w:rFonts w:hint="eastAsia" w:ascii="仿宋_GB2312" w:hAnsi="仿宋_GB2312" w:eastAsia="仿宋_GB2312" w:cs="仿宋_GB2312"/>
          <w:b w:val="0"/>
          <w:bCs w:val="0"/>
          <w:kern w:val="0"/>
          <w:sz w:val="32"/>
          <w:szCs w:val="32"/>
          <w:highlight w:val="none"/>
          <w:lang w:val="en-US" w:eastAsia="zh-CN" w:bidi="ar"/>
        </w:rPr>
      </w:pPr>
      <w:r>
        <w:rPr>
          <w:rFonts w:hint="eastAsia" w:ascii="CESI楷体-GB2312" w:hAnsi="CESI楷体-GB2312" w:eastAsia="CESI楷体-GB2312" w:cs="CESI楷体-GB2312"/>
          <w:b/>
          <w:bCs/>
          <w:sz w:val="32"/>
          <w:szCs w:val="32"/>
          <w:lang w:val="en-US" w:eastAsia="zh-CN"/>
        </w:rPr>
        <w:t>（四）支持参与各类评选表彰活动。</w:t>
      </w:r>
      <w:r>
        <w:rPr>
          <w:rFonts w:hint="eastAsia" w:ascii="仿宋_GB2312" w:hAnsi="仿宋_GB2312" w:eastAsia="仿宋_GB2312" w:cs="仿宋_GB2312"/>
          <w:b w:val="0"/>
          <w:bCs w:val="0"/>
          <w:kern w:val="0"/>
          <w:sz w:val="32"/>
          <w:szCs w:val="32"/>
          <w:highlight w:val="none"/>
          <w:lang w:val="en-US" w:eastAsia="zh-CN" w:bidi="ar"/>
        </w:rPr>
        <w:t>支持能着力提高葛店经开区文化生活</w:t>
      </w:r>
      <w:bookmarkStart w:id="0" w:name="_GoBack"/>
      <w:bookmarkEnd w:id="0"/>
      <w:r>
        <w:rPr>
          <w:rFonts w:hint="eastAsia" w:ascii="仿宋_GB2312" w:hAnsi="仿宋_GB2312" w:eastAsia="仿宋_GB2312" w:cs="仿宋_GB2312"/>
          <w:b w:val="0"/>
          <w:bCs w:val="0"/>
          <w:kern w:val="0"/>
          <w:sz w:val="32"/>
          <w:szCs w:val="32"/>
          <w:highlight w:val="none"/>
          <w:lang w:val="en-US" w:eastAsia="zh-CN" w:bidi="ar"/>
        </w:rPr>
        <w:t>参与度和美誉度的文化旅游产业项目积极参与各级宣传、文旅、体育等部门举办的或官方认可的评选表彰活动。</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highlight w:val="none"/>
          <w:lang w:val="en-US" w:eastAsia="zh-CN" w:bidi="ar"/>
        </w:rPr>
        <w:t>对获得区级以上相关表彰荣誉的给予资金奖励，其中获得区级荣誉称号的，奖励1万元；获得市级荣誉称号的，奖励1.5万元；获得省级荣誉称号的，奖励3万元；获得国家级荣誉称号的，奖励5万元。同一申报单位获得多个荣誉称号的，只奖励一次。获奖主体应为葛店经开区辖内的项目，在文化旅游产业项目区域内举办，但不是以该文化旅游产业项目为主体承办的项目、活动获奖的，不予认定。</w:t>
      </w:r>
    </w:p>
    <w:p>
      <w:pPr>
        <w:keepNext w:val="0"/>
        <w:keepLines w:val="0"/>
        <w:widowControl/>
        <w:suppressLineNumbers w:val="0"/>
        <w:spacing w:line="580" w:lineRule="exact"/>
        <w:ind w:firstLine="640" w:firstLineChars="200"/>
        <w:jc w:val="both"/>
        <w:rPr>
          <w:rFonts w:hint="eastAsia" w:ascii="方正黑体_GBK" w:hAnsi="方正黑体_GBK" w:eastAsia="方正黑体_GBK" w:cs="方正黑体_GBK"/>
          <w:b w:val="0"/>
          <w:bCs w:val="0"/>
          <w:i w:val="0"/>
          <w:iCs w:val="0"/>
          <w:sz w:val="32"/>
          <w:szCs w:val="32"/>
          <w:lang w:val="en-US" w:eastAsia="zh-CN"/>
        </w:rPr>
      </w:pPr>
      <w:r>
        <w:rPr>
          <w:rFonts w:hint="eastAsia" w:ascii="方正黑体_GBK" w:hAnsi="方正黑体_GBK" w:eastAsia="方正黑体_GBK" w:cs="方正黑体_GBK"/>
          <w:b w:val="0"/>
          <w:bCs w:val="0"/>
          <w:i w:val="0"/>
          <w:iCs w:val="0"/>
          <w:sz w:val="32"/>
          <w:szCs w:val="32"/>
          <w:lang w:val="en-US" w:eastAsia="zh-CN"/>
        </w:rPr>
        <w:t>三、奖补申报程序</w:t>
      </w:r>
    </w:p>
    <w:p>
      <w:pPr>
        <w:keepNext w:val="0"/>
        <w:keepLines w:val="0"/>
        <w:widowControl/>
        <w:suppressLineNumbers w:val="0"/>
        <w:spacing w:line="580" w:lineRule="exact"/>
        <w:ind w:firstLine="640" w:firstLineChars="20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sz w:val="32"/>
          <w:szCs w:val="32"/>
        </w:rPr>
        <w:t>项目申报和审核按照“</w:t>
      </w:r>
      <w:r>
        <w:rPr>
          <w:rFonts w:hint="eastAsia" w:ascii="仿宋_GB2312" w:hAnsi="仿宋_GB2312" w:eastAsia="仿宋_GB2312" w:cs="仿宋_GB2312"/>
          <w:sz w:val="32"/>
          <w:szCs w:val="32"/>
          <w:lang w:val="en-US" w:eastAsia="zh-CN"/>
        </w:rPr>
        <w:t>项目申报、项目</w:t>
      </w:r>
      <w:r>
        <w:rPr>
          <w:rFonts w:hint="eastAsia" w:ascii="仿宋_GB2312" w:hAnsi="仿宋_GB2312" w:eastAsia="仿宋_GB2312" w:cs="仿宋_GB2312"/>
          <w:sz w:val="32"/>
          <w:szCs w:val="32"/>
        </w:rPr>
        <w:t>审核、评审公示”的程序执行，</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kern w:val="0"/>
          <w:sz w:val="32"/>
          <w:szCs w:val="32"/>
          <w:highlight w:val="none"/>
          <w:lang w:val="en-US" w:eastAsia="zh-CN" w:bidi="ar"/>
        </w:rPr>
        <w:t>区城乡融合发展局会同区党政办（宣传）负责评审工作的组织与实施。项目申报与评审按照下列程序开展：</w:t>
      </w:r>
    </w:p>
    <w:p>
      <w:pPr>
        <w:keepNext w:val="0"/>
        <w:keepLines w:val="0"/>
        <w:widowControl/>
        <w:suppressLineNumbers w:val="0"/>
        <w:spacing w:line="580" w:lineRule="exact"/>
        <w:ind w:firstLine="640" w:firstLineChars="200"/>
        <w:jc w:val="left"/>
        <w:rPr>
          <w:rFonts w:hint="eastAsia" w:ascii="仿宋_GB2312" w:hAnsi="仿宋_GB2312" w:eastAsia="仿宋_GB2312" w:cs="仿宋_GB2312"/>
          <w:kern w:val="0"/>
          <w:sz w:val="32"/>
          <w:szCs w:val="32"/>
          <w:highlight w:val="none"/>
          <w:lang w:val="en-US" w:eastAsia="zh-CN" w:bidi="ar"/>
        </w:rPr>
      </w:pPr>
      <w:r>
        <w:rPr>
          <w:rFonts w:hint="eastAsia" w:ascii="CESI楷体-GB2312" w:hAnsi="CESI楷体-GB2312" w:eastAsia="CESI楷体-GB2312" w:cs="CESI楷体-GB2312"/>
          <w:b/>
          <w:bCs/>
          <w:kern w:val="2"/>
          <w:sz w:val="32"/>
          <w:szCs w:val="32"/>
          <w:lang w:val="en-US" w:eastAsia="zh-CN" w:bidi="ar"/>
        </w:rPr>
        <w:t>（一）项目申报。</w:t>
      </w:r>
      <w:r>
        <w:rPr>
          <w:rFonts w:hint="eastAsia" w:ascii="仿宋_GB2312" w:hAnsi="仿宋_GB2312" w:eastAsia="仿宋_GB2312" w:cs="仿宋_GB2312"/>
          <w:kern w:val="0"/>
          <w:sz w:val="32"/>
          <w:szCs w:val="32"/>
          <w:highlight w:val="none"/>
          <w:lang w:val="en-US" w:eastAsia="zh-CN" w:bidi="ar"/>
        </w:rPr>
        <w:t>符合条件的文化旅游项目自愿填写申报材料，报送区城乡融合发展局。</w:t>
      </w:r>
    </w:p>
    <w:p>
      <w:pPr>
        <w:keepNext w:val="0"/>
        <w:keepLines w:val="0"/>
        <w:widowControl/>
        <w:suppressLineNumbers w:val="0"/>
        <w:spacing w:line="580" w:lineRule="exact"/>
        <w:ind w:firstLine="640" w:firstLineChars="200"/>
        <w:jc w:val="left"/>
        <w:rPr>
          <w:rFonts w:hint="eastAsia" w:ascii="仿宋_GB2312" w:hAnsi="仿宋_GB2312" w:eastAsia="仿宋_GB2312" w:cs="仿宋_GB2312"/>
          <w:kern w:val="0"/>
          <w:sz w:val="32"/>
          <w:szCs w:val="32"/>
          <w:highlight w:val="none"/>
          <w:lang w:val="en-US" w:eastAsia="zh-CN" w:bidi="ar"/>
        </w:rPr>
      </w:pPr>
      <w:r>
        <w:rPr>
          <w:rFonts w:hint="eastAsia" w:ascii="CESI楷体-GB2312" w:hAnsi="CESI楷体-GB2312" w:eastAsia="CESI楷体-GB2312" w:cs="CESI楷体-GB2312"/>
          <w:b/>
          <w:bCs/>
          <w:kern w:val="2"/>
          <w:sz w:val="32"/>
          <w:szCs w:val="32"/>
          <w:lang w:val="en-US" w:eastAsia="zh-CN" w:bidi="ar"/>
        </w:rPr>
        <w:t>（二）项目审核。</w:t>
      </w:r>
      <w:r>
        <w:rPr>
          <w:rFonts w:hint="eastAsia" w:ascii="仿宋_GB2312" w:hAnsi="仿宋_GB2312" w:eastAsia="仿宋_GB2312" w:cs="仿宋_GB2312"/>
          <w:kern w:val="0"/>
          <w:sz w:val="32"/>
          <w:szCs w:val="32"/>
          <w:highlight w:val="none"/>
          <w:lang w:val="en-US" w:eastAsia="zh-CN" w:bidi="ar"/>
        </w:rPr>
        <w:t>区城乡融合发展局会同区党政办（宣传）对单位主体资格、书面材料进行审核，并进行实地考察。</w:t>
      </w:r>
    </w:p>
    <w:p>
      <w:pPr>
        <w:keepNext w:val="0"/>
        <w:keepLines w:val="0"/>
        <w:widowControl/>
        <w:suppressLineNumbers w:val="0"/>
        <w:spacing w:line="580" w:lineRule="exact"/>
        <w:ind w:firstLine="640" w:firstLineChars="200"/>
        <w:jc w:val="left"/>
        <w:rPr>
          <w:rFonts w:hint="eastAsia" w:ascii="仿宋_GB2312" w:hAnsi="仿宋_GB2312" w:eastAsia="仿宋_GB2312" w:cs="仿宋_GB2312"/>
          <w:kern w:val="0"/>
          <w:sz w:val="32"/>
          <w:szCs w:val="32"/>
          <w:highlight w:val="none"/>
          <w:lang w:val="en-US" w:eastAsia="zh-CN" w:bidi="ar"/>
        </w:rPr>
      </w:pPr>
      <w:r>
        <w:rPr>
          <w:rFonts w:hint="eastAsia" w:ascii="CESI楷体-GB2312" w:hAnsi="CESI楷体-GB2312" w:eastAsia="CESI楷体-GB2312" w:cs="CESI楷体-GB2312"/>
          <w:b/>
          <w:bCs/>
          <w:kern w:val="2"/>
          <w:sz w:val="32"/>
          <w:szCs w:val="32"/>
          <w:lang w:val="en-US" w:eastAsia="zh-CN" w:bidi="ar"/>
        </w:rPr>
        <w:t>（三）评审公示。</w:t>
      </w:r>
      <w:r>
        <w:rPr>
          <w:rFonts w:hint="eastAsia" w:ascii="仿宋_GB2312" w:hAnsi="仿宋_GB2312" w:eastAsia="仿宋_GB2312" w:cs="仿宋_GB2312"/>
          <w:kern w:val="0"/>
          <w:sz w:val="32"/>
          <w:szCs w:val="32"/>
          <w:highlight w:val="none"/>
          <w:lang w:val="en-US" w:eastAsia="zh-CN" w:bidi="ar"/>
        </w:rPr>
        <w:t>区城乡融合发展局会同区党政办（宣传）组织相关部门开展评审，形成专家评审意见。经研究审定，评审结果在葛店经开区官方网予以公示。公示期无异议，按规定程序拨付扶持资金。</w:t>
      </w:r>
    </w:p>
    <w:p>
      <w:pPr>
        <w:keepNext w:val="0"/>
        <w:keepLines w:val="0"/>
        <w:widowControl/>
        <w:suppressLineNumbers w:val="0"/>
        <w:spacing w:line="580" w:lineRule="exact"/>
        <w:ind w:firstLine="640" w:firstLineChars="20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申报单位对申报材料的真实性负责，对弄虚作假的经查实，取消其申报资格，且三年内不得再次申请。</w:t>
      </w:r>
    </w:p>
    <w:p>
      <w:pPr>
        <w:spacing w:line="580" w:lineRule="exact"/>
        <w:ind w:firstLine="640" w:firstLineChars="200"/>
        <w:rPr>
          <w:rFonts w:hint="eastAsia" w:ascii="方正黑体_GBK" w:hAnsi="方正黑体_GBK" w:eastAsia="方正黑体_GBK" w:cs="方正黑体_GBK"/>
          <w:kern w:val="0"/>
          <w:sz w:val="32"/>
          <w:szCs w:val="32"/>
          <w:highlight w:val="none"/>
          <w:lang w:val="en-US" w:eastAsia="zh-CN" w:bidi="ar"/>
        </w:rPr>
      </w:pPr>
      <w:r>
        <w:rPr>
          <w:rFonts w:hint="eastAsia" w:ascii="方正黑体_GBK" w:hAnsi="方正黑体_GBK" w:eastAsia="方正黑体_GBK" w:cs="方正黑体_GBK"/>
          <w:kern w:val="0"/>
          <w:sz w:val="32"/>
          <w:szCs w:val="32"/>
          <w:highlight w:val="none"/>
          <w:lang w:val="en-US" w:eastAsia="zh-CN" w:bidi="ar"/>
        </w:rPr>
        <w:t>四、加强监督管理</w:t>
      </w:r>
    </w:p>
    <w:p>
      <w:pPr>
        <w:keepNext w:val="0"/>
        <w:keepLines w:val="0"/>
        <w:widowControl/>
        <w:suppressLineNumbers w:val="0"/>
        <w:spacing w:line="580" w:lineRule="exact"/>
        <w:ind w:firstLine="640" w:firstLineChars="200"/>
        <w:jc w:val="left"/>
        <w:rPr>
          <w:rFonts w:hint="eastAsia" w:ascii="仿宋_GB2312" w:hAnsi="仿宋_GB2312" w:eastAsia="仿宋_GB2312" w:cs="仿宋_GB2312"/>
          <w:kern w:val="0"/>
          <w:sz w:val="32"/>
          <w:szCs w:val="32"/>
          <w:highlight w:val="none"/>
          <w:lang w:val="en-US" w:eastAsia="zh-CN" w:bidi="ar"/>
        </w:rPr>
      </w:pPr>
      <w:r>
        <w:rPr>
          <w:rFonts w:hint="eastAsia" w:ascii="CESI楷体-GB2312" w:hAnsi="CESI楷体-GB2312" w:eastAsia="CESI楷体-GB2312" w:cs="CESI楷体-GB2312"/>
          <w:b/>
          <w:bCs/>
          <w:kern w:val="2"/>
          <w:sz w:val="32"/>
          <w:szCs w:val="32"/>
          <w:highlight w:val="none"/>
          <w:lang w:val="en-US" w:eastAsia="zh-CN" w:bidi="ar"/>
        </w:rPr>
        <w:t>（一）健全工作机制。</w:t>
      </w:r>
      <w:r>
        <w:rPr>
          <w:rFonts w:hint="eastAsia" w:ascii="仿宋_GB2312" w:hAnsi="仿宋_GB2312" w:eastAsia="仿宋_GB2312" w:cs="仿宋_GB2312"/>
          <w:kern w:val="0"/>
          <w:sz w:val="32"/>
          <w:szCs w:val="32"/>
          <w:highlight w:val="none"/>
          <w:lang w:val="en-US" w:eastAsia="zh-CN" w:bidi="ar"/>
        </w:rPr>
        <w:t>建立健全由区城乡融合发展局、区党政办（宣传）、区经发局、区财金局、区自然资源规划局等部门组成的工作协调推进机制，推动支持政策落地，协调解决工作中的困难和问题，根据实际调整优化有关政策措施。</w:t>
      </w:r>
    </w:p>
    <w:p>
      <w:pPr>
        <w:spacing w:line="580" w:lineRule="exact"/>
        <w:ind w:firstLine="640" w:firstLineChars="200"/>
        <w:rPr>
          <w:rFonts w:hint="eastAsia" w:ascii="仿宋_GB2312" w:hAnsi="仿宋_GB2312" w:eastAsia="仿宋_GB2312" w:cs="仿宋_GB2312"/>
          <w:kern w:val="0"/>
          <w:sz w:val="32"/>
          <w:szCs w:val="32"/>
          <w:highlight w:val="none"/>
          <w:lang w:val="en-US" w:eastAsia="zh-CN" w:bidi="ar"/>
        </w:rPr>
      </w:pPr>
      <w:r>
        <w:rPr>
          <w:rFonts w:hint="eastAsia" w:ascii="CESI楷体-GB2312" w:hAnsi="CESI楷体-GB2312" w:eastAsia="CESI楷体-GB2312" w:cs="CESI楷体-GB2312"/>
          <w:b/>
          <w:bCs/>
          <w:kern w:val="2"/>
          <w:sz w:val="32"/>
          <w:szCs w:val="32"/>
          <w:highlight w:val="none"/>
          <w:lang w:val="en-US" w:eastAsia="zh-CN" w:bidi="ar"/>
        </w:rPr>
        <w:t>（二）加强资金监管。</w:t>
      </w:r>
      <w:r>
        <w:rPr>
          <w:rFonts w:hint="eastAsia" w:ascii="仿宋_GB2312" w:hAnsi="仿宋_GB2312" w:eastAsia="仿宋_GB2312" w:cs="仿宋_GB2312"/>
          <w:kern w:val="0"/>
          <w:sz w:val="32"/>
          <w:szCs w:val="32"/>
          <w:highlight w:val="none"/>
          <w:lang w:val="en-US" w:eastAsia="zh-CN" w:bidi="ar"/>
        </w:rPr>
        <w:t>获扶持的文化旅游产业项目对支持的资金应单独核算，按规定用途使用，不得截留或挪作他用。</w:t>
      </w:r>
      <w:r>
        <w:rPr>
          <w:rFonts w:hint="eastAsia" w:ascii="仿宋_GB2312" w:hAnsi="仿宋_GB2312" w:eastAsia="仿宋_GB2312" w:cs="仿宋_GB2312"/>
          <w:sz w:val="32"/>
          <w:szCs w:val="32"/>
        </w:rPr>
        <w:t>对于存在以虚报、冒领等手段骗取财政资金等违法违规行为的法人、非法人组织和</w:t>
      </w:r>
      <w:r>
        <w:rPr>
          <w:rFonts w:hint="eastAsia" w:ascii="仿宋_GB2312" w:hAnsi="仿宋_GB2312" w:eastAsia="仿宋_GB2312" w:cs="仿宋_GB2312"/>
          <w:sz w:val="32"/>
          <w:szCs w:val="32"/>
          <w:lang w:eastAsia="zh-CN"/>
        </w:rPr>
        <w:t>个体工商户</w:t>
      </w:r>
      <w:r>
        <w:rPr>
          <w:rFonts w:hint="eastAsia" w:ascii="仿宋_GB2312" w:hAnsi="仿宋_GB2312" w:eastAsia="仿宋_GB2312" w:cs="仿宋_GB2312"/>
          <w:sz w:val="32"/>
          <w:szCs w:val="32"/>
        </w:rPr>
        <w:t>，将依法追回支持资金，并根据国家相关法律法规处理。对于存在严重失信等情形的主体不予支持。</w:t>
      </w:r>
      <w:r>
        <w:rPr>
          <w:rFonts w:hint="eastAsia" w:ascii="仿宋_GB2312" w:hAnsi="仿宋_GB2312" w:eastAsia="仿宋_GB2312" w:cs="仿宋_GB2312"/>
          <w:kern w:val="0"/>
          <w:sz w:val="32"/>
          <w:szCs w:val="32"/>
          <w:highlight w:val="none"/>
          <w:lang w:val="en-US" w:eastAsia="zh-CN" w:bidi="ar"/>
        </w:rPr>
        <w:t>区城乡融合发展局会同区党政办（宣传）、区财金局每年对资金使用绩效进行考核与评估，对于违反财经法律法规的行为，按照有关法规进行处理。</w:t>
      </w:r>
    </w:p>
    <w:p>
      <w:pPr>
        <w:numPr>
          <w:ilvl w:val="0"/>
          <w:numId w:val="1"/>
        </w:numPr>
        <w:spacing w:line="580" w:lineRule="exact"/>
        <w:ind w:firstLine="640" w:firstLineChars="200"/>
        <w:rPr>
          <w:rFonts w:hint="eastAsia" w:ascii="仿宋_GB2312" w:hAnsi="仿宋_GB2312" w:eastAsia="仿宋_GB2312" w:cs="仿宋_GB2312"/>
          <w:sz w:val="32"/>
          <w:szCs w:val="32"/>
        </w:rPr>
      </w:pPr>
      <w:r>
        <w:rPr>
          <w:rFonts w:hint="eastAsia" w:ascii="CESI楷体-GB2312" w:hAnsi="CESI楷体-GB2312" w:eastAsia="CESI楷体-GB2312" w:cs="CESI楷体-GB2312"/>
          <w:b/>
          <w:bCs/>
          <w:sz w:val="32"/>
          <w:szCs w:val="32"/>
          <w:lang w:eastAsia="zh-CN" w:bidi="ar"/>
        </w:rPr>
        <w:t>明确支持原则。</w:t>
      </w:r>
      <w:r>
        <w:rPr>
          <w:rFonts w:hint="eastAsia" w:ascii="仿宋_GB2312" w:hAnsi="仿宋_GB2312" w:eastAsia="仿宋_GB2312" w:cs="仿宋_GB2312"/>
          <w:sz w:val="32"/>
          <w:szCs w:val="32"/>
        </w:rPr>
        <w:t>申报项目同时符合本措施不同条款、</w:t>
      </w:r>
      <w:r>
        <w:rPr>
          <w:rFonts w:hint="eastAsia" w:ascii="仿宋_GB2312" w:hAnsi="仿宋_GB2312" w:eastAsia="仿宋_GB2312" w:cs="仿宋_GB2312"/>
          <w:sz w:val="32"/>
          <w:szCs w:val="32"/>
          <w:lang w:val="en-US" w:eastAsia="zh-CN"/>
        </w:rPr>
        <w:t>葛店经开</w:t>
      </w:r>
      <w:r>
        <w:rPr>
          <w:rFonts w:hint="eastAsia" w:ascii="仿宋_GB2312" w:hAnsi="仿宋_GB2312" w:eastAsia="仿宋_GB2312" w:cs="仿宋_GB2312"/>
          <w:sz w:val="32"/>
          <w:szCs w:val="32"/>
        </w:rPr>
        <w:t>区其他政策规定的，按照“</w:t>
      </w:r>
      <w:r>
        <w:rPr>
          <w:rFonts w:hint="eastAsia" w:ascii="仿宋_GB2312" w:hAnsi="仿宋_GB2312" w:eastAsia="仿宋_GB2312" w:cs="仿宋_GB2312"/>
          <w:sz w:val="32"/>
          <w:szCs w:val="32"/>
          <w:lang w:eastAsia="zh-CN"/>
        </w:rPr>
        <w:t>从高不从低、</w:t>
      </w:r>
      <w:r>
        <w:rPr>
          <w:rFonts w:hint="eastAsia" w:ascii="仿宋_GB2312" w:hAnsi="仿宋_GB2312" w:eastAsia="仿宋_GB2312" w:cs="仿宋_GB2312"/>
          <w:sz w:val="32"/>
          <w:szCs w:val="32"/>
        </w:rPr>
        <w:t>从优不重复”原则予以支持。已获得过区财政支持的项目，不再享受本措施支持。</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本措施自发布之日起施行，有效期3年。</w:t>
      </w:r>
      <w:r>
        <w:rPr>
          <w:rFonts w:hint="eastAsia" w:ascii="仿宋_GB2312" w:hAnsi="仿宋_GB2312" w:eastAsia="仿宋_GB2312" w:cs="仿宋_GB2312"/>
          <w:sz w:val="32"/>
          <w:szCs w:val="32"/>
          <w:lang w:eastAsia="zh-CN"/>
        </w:rPr>
        <w:t>相关政策</w:t>
      </w:r>
      <w:r>
        <w:rPr>
          <w:rFonts w:hint="eastAsia" w:ascii="仿宋_GB2312" w:hAnsi="仿宋_GB2312" w:eastAsia="仿宋_GB2312" w:cs="仿宋_GB2312"/>
          <w:sz w:val="32"/>
          <w:szCs w:val="32"/>
        </w:rPr>
        <w:t>由区</w:t>
      </w:r>
      <w:r>
        <w:rPr>
          <w:rFonts w:hint="eastAsia" w:ascii="仿宋_GB2312" w:hAnsi="仿宋_GB2312" w:eastAsia="仿宋_GB2312" w:cs="仿宋_GB2312"/>
          <w:sz w:val="32"/>
          <w:szCs w:val="32"/>
          <w:lang w:val="en-US" w:eastAsia="zh-CN"/>
        </w:rPr>
        <w:t>城乡整合发展局</w:t>
      </w:r>
      <w:r>
        <w:rPr>
          <w:rFonts w:hint="eastAsia" w:ascii="仿宋_GB2312" w:hAnsi="仿宋_GB2312" w:eastAsia="仿宋_GB2312" w:cs="仿宋_GB2312"/>
          <w:sz w:val="32"/>
          <w:szCs w:val="32"/>
        </w:rPr>
        <w:t>会同</w:t>
      </w:r>
      <w:r>
        <w:rPr>
          <w:rFonts w:hint="eastAsia" w:ascii="仿宋_GB2312" w:hAnsi="仿宋_GB2312" w:eastAsia="仿宋_GB2312" w:cs="仿宋_GB2312"/>
          <w:sz w:val="32"/>
          <w:szCs w:val="32"/>
          <w:lang w:val="en-US" w:eastAsia="zh-CN"/>
        </w:rPr>
        <w:t>区党政办（宣传）</w:t>
      </w:r>
      <w:r>
        <w:rPr>
          <w:rFonts w:hint="eastAsia" w:ascii="仿宋_GB2312" w:hAnsi="仿宋_GB2312" w:eastAsia="仿宋_GB2312" w:cs="仿宋_GB2312"/>
          <w:sz w:val="32"/>
          <w:szCs w:val="32"/>
        </w:rPr>
        <w:t>负责解释。执行过程中如遇国家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省及</w:t>
      </w:r>
      <w:r>
        <w:rPr>
          <w:rFonts w:hint="eastAsia" w:ascii="仿宋_GB2312" w:hAnsi="仿宋_GB2312" w:eastAsia="仿宋_GB2312" w:cs="仿宋_GB2312"/>
          <w:sz w:val="32"/>
          <w:szCs w:val="32"/>
        </w:rPr>
        <w:t>市相关政策变动，上述政策将相应调整。</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1.葛店经开区实体书店公共文化服务考核评价体系</w:t>
      </w:r>
    </w:p>
    <w:p>
      <w:pPr>
        <w:spacing w:line="580" w:lineRule="exact"/>
        <w:ind w:firstLine="1600" w:firstLineChars="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2.葛店经开区公共阅读空间考核评价体系</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0" w:firstLineChars="0"/>
        <w:rPr>
          <w:rFonts w:hint="eastAsia" w:ascii="仿宋_GB2312" w:hAnsi="仿宋_GB2312" w:eastAsia="仿宋_GB2312" w:cs="仿宋_GB2312"/>
          <w:sz w:val="32"/>
          <w:szCs w:val="32"/>
        </w:rPr>
        <w:sectPr>
          <w:footerReference r:id="rId3" w:type="default"/>
          <w:pgSz w:w="11906" w:h="16838"/>
          <w:pgMar w:top="2098" w:right="1474" w:bottom="1984" w:left="1587" w:header="851" w:footer="992" w:gutter="0"/>
          <w:cols w:space="720" w:num="1"/>
          <w:docGrid w:type="lines" w:linePitch="312" w:charSpace="0"/>
        </w:sectPr>
      </w:pPr>
    </w:p>
    <w:p>
      <w:pPr>
        <w:spacing w:before="159" w:beforeLines="50" w:after="159" w:afterLines="50" w:line="660" w:lineRule="exact"/>
        <w:ind w:firstLine="0" w:firstLineChars="0"/>
        <w:jc w:val="center"/>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36"/>
          <w:szCs w:val="36"/>
        </w:rPr>
        <w:t>葛店经开区实体书店公共文化服务奖补考核评价体系</w:t>
      </w:r>
    </w:p>
    <w:tbl>
      <w:tblPr>
        <w:tblStyle w:val="6"/>
        <w:tblW w:w="14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1497"/>
        <w:gridCol w:w="3568"/>
        <w:gridCol w:w="3496"/>
        <w:gridCol w:w="2089"/>
        <w:gridCol w:w="1084"/>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blHeader/>
          <w:jc w:val="center"/>
        </w:trPr>
        <w:tc>
          <w:tcPr>
            <w:tcW w:w="1281" w:type="dxa"/>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24"/>
                <w:vertAlign w:val="baseli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一级指标</w:t>
            </w:r>
          </w:p>
        </w:tc>
        <w:tc>
          <w:tcPr>
            <w:tcW w:w="1497" w:type="dxa"/>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24"/>
                <w:vertAlign w:val="baseli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二级指标</w:t>
            </w:r>
          </w:p>
        </w:tc>
        <w:tc>
          <w:tcPr>
            <w:tcW w:w="3568" w:type="dxa"/>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24"/>
                <w:vertAlign w:val="baseli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考核内容</w:t>
            </w:r>
          </w:p>
        </w:tc>
        <w:tc>
          <w:tcPr>
            <w:tcW w:w="3496" w:type="dxa"/>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24"/>
                <w:vertAlign w:val="baseli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评分标准（分值）</w:t>
            </w:r>
          </w:p>
        </w:tc>
        <w:tc>
          <w:tcPr>
            <w:tcW w:w="2089" w:type="dxa"/>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24"/>
                <w:vertAlign w:val="baseli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佐证材料</w:t>
            </w:r>
          </w:p>
        </w:tc>
        <w:tc>
          <w:tcPr>
            <w:tcW w:w="1084" w:type="dxa"/>
            <w:noWrap w:val="0"/>
            <w:vAlign w:val="center"/>
          </w:tcPr>
          <w:p>
            <w:pPr>
              <w:keepNext w:val="0"/>
              <w:keepLines w:val="0"/>
              <w:widowControl/>
              <w:suppressLineNumbers w:val="0"/>
              <w:spacing w:line="0" w:lineRule="atLeast"/>
              <w:jc w:val="center"/>
              <w:textAlignment w:val="center"/>
              <w:rPr>
                <w:rFonts w:hint="eastAsia" w:ascii="方正黑体_GBK" w:hAnsi="方正黑体_GBK" w:eastAsia="方正黑体_GBK" w:cs="方正黑体_GBK"/>
                <w:b w:val="0"/>
                <w:bCs w:val="0"/>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自评</w:t>
            </w:r>
          </w:p>
          <w:p>
            <w:pPr>
              <w:keepNext w:val="0"/>
              <w:keepLines w:val="0"/>
              <w:widowControl/>
              <w:suppressLineNumbers w:val="0"/>
              <w:spacing w:line="0" w:lineRule="atLeast"/>
              <w:jc w:val="center"/>
              <w:textAlignment w:val="center"/>
              <w:rPr>
                <w:rFonts w:hint="eastAsia" w:ascii="方正黑体_GBK" w:hAnsi="方正黑体_GBK" w:eastAsia="方正黑体_GBK" w:cs="方正黑体_GBK"/>
                <w:sz w:val="24"/>
                <w:szCs w:val="24"/>
                <w:vertAlign w:val="baseli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得分</w:t>
            </w:r>
          </w:p>
        </w:tc>
        <w:tc>
          <w:tcPr>
            <w:tcW w:w="1108" w:type="dxa"/>
            <w:noWrap w:val="0"/>
            <w:vAlign w:val="center"/>
          </w:tcPr>
          <w:p>
            <w:pPr>
              <w:keepNext w:val="0"/>
              <w:keepLines w:val="0"/>
              <w:widowControl/>
              <w:suppressLineNumbers w:val="0"/>
              <w:spacing w:line="0" w:lineRule="atLeast"/>
              <w:jc w:val="center"/>
              <w:textAlignment w:val="center"/>
              <w:rPr>
                <w:rFonts w:hint="eastAsia" w:ascii="方正黑体_GBK" w:hAnsi="方正黑体_GBK" w:eastAsia="方正黑体_GBK" w:cs="方正黑体_GBK"/>
                <w:b w:val="0"/>
                <w:bCs w:val="0"/>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考评</w:t>
            </w:r>
          </w:p>
          <w:p>
            <w:pPr>
              <w:keepNext w:val="0"/>
              <w:keepLines w:val="0"/>
              <w:widowControl/>
              <w:suppressLineNumbers w:val="0"/>
              <w:spacing w:line="0" w:lineRule="atLeast"/>
              <w:jc w:val="center"/>
              <w:textAlignment w:val="center"/>
              <w:rPr>
                <w:rFonts w:hint="eastAsia" w:ascii="方正黑体_GBK" w:hAnsi="方正黑体_GBK" w:eastAsia="方正黑体_GBK" w:cs="方正黑体_GBK"/>
                <w:sz w:val="24"/>
                <w:szCs w:val="24"/>
                <w:vertAlign w:val="baseli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jc w:val="center"/>
        </w:trPr>
        <w:tc>
          <w:tcPr>
            <w:tcW w:w="128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b/>
                <w:bCs/>
                <w:i w:val="0"/>
                <w:iCs w:val="0"/>
                <w:color w:val="000000"/>
                <w:kern w:val="0"/>
                <w:sz w:val="24"/>
                <w:szCs w:val="24"/>
                <w:u w:val="none"/>
                <w:lang w:val="en-US" w:eastAsia="zh-CN" w:bidi="ar"/>
              </w:rPr>
              <w:t>社会效益（25分）</w:t>
            </w:r>
          </w:p>
        </w:tc>
        <w:tc>
          <w:tcPr>
            <w:tcW w:w="149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b/>
                <w:bCs/>
                <w:i w:val="0"/>
                <w:iCs w:val="0"/>
                <w:color w:val="000000"/>
                <w:kern w:val="0"/>
                <w:sz w:val="24"/>
                <w:szCs w:val="24"/>
                <w:u w:val="none"/>
                <w:lang w:val="en-US" w:eastAsia="zh-CN" w:bidi="ar"/>
              </w:rPr>
              <w:t>文化普及服务（15分）</w:t>
            </w:r>
          </w:p>
        </w:tc>
        <w:tc>
          <w:tcPr>
            <w:tcW w:w="3568"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1.开展公益读书分享会、作家签售会、文化讲座等活动的频次与覆盖人群；                            2.面向未成年人、老年人等群体的专属公益服务开展情况；                           3.结合葛店经开区产业特色（如电商、生物医药）开展专业主题公益活动。</w:t>
            </w:r>
          </w:p>
        </w:tc>
        <w:tc>
          <w:tcPr>
            <w:tcW w:w="3496"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全年开展公益文化活动≥12场，覆盖人次≥500，得5分；</w:t>
            </w:r>
            <w:r>
              <w:rPr>
                <w:rFonts w:hint="eastAsia" w:ascii="国标仿宋" w:hAnsi="国标仿宋" w:eastAsia="国标仿宋" w:cs="国标仿宋"/>
                <w:i w:val="0"/>
                <w:iCs w:val="0"/>
                <w:color w:val="000000"/>
                <w:kern w:val="0"/>
                <w:sz w:val="24"/>
                <w:szCs w:val="24"/>
                <w:highlight w:val="none"/>
                <w:u w:val="none"/>
                <w:lang w:val="en-US" w:eastAsia="zh-CN" w:bidi="ar"/>
              </w:rPr>
              <w:t>每少2场减2分，覆盖人次每少100减1分；</w:t>
            </w:r>
            <w:r>
              <w:rPr>
                <w:rFonts w:hint="eastAsia" w:ascii="国标仿宋" w:hAnsi="国标仿宋" w:eastAsia="国标仿宋" w:cs="国标仿宋"/>
                <w:i w:val="0"/>
                <w:iCs w:val="0"/>
                <w:color w:val="000000"/>
                <w:kern w:val="0"/>
                <w:sz w:val="24"/>
                <w:szCs w:val="24"/>
                <w:u w:val="none"/>
                <w:lang w:val="en-US" w:eastAsia="zh-CN" w:bidi="ar"/>
              </w:rPr>
              <w:t>开展专属公益服务≥4场，得5分；结合经开区产业特色开展专业公益活动≥3场，得5分，否则酌情</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分</w:t>
            </w:r>
          </w:p>
        </w:tc>
        <w:tc>
          <w:tcPr>
            <w:tcW w:w="2089"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活动方案、现场照片/视频、参与人员签到表、媒体报道材料、产业主题活动策划文档</w:t>
            </w:r>
          </w:p>
        </w:tc>
        <w:tc>
          <w:tcPr>
            <w:tcW w:w="1084" w:type="dxa"/>
            <w:noWrap w:val="0"/>
            <w:vAlign w:val="center"/>
          </w:tcPr>
          <w:p>
            <w:pPr>
              <w:rPr>
                <w:rFonts w:hint="eastAsia" w:ascii="仿宋_GB2312" w:hAnsi="仿宋_GB2312" w:eastAsia="仿宋_GB2312" w:cs="仿宋_GB2312"/>
                <w:sz w:val="24"/>
                <w:szCs w:val="24"/>
                <w:vertAlign w:val="baseline"/>
              </w:rPr>
            </w:pPr>
          </w:p>
        </w:tc>
        <w:tc>
          <w:tcPr>
            <w:tcW w:w="1108" w:type="dxa"/>
            <w:noWrap w:val="0"/>
            <w:vAlign w:val="center"/>
          </w:tcPr>
          <w:p>
            <w:pP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jc w:val="center"/>
        </w:trPr>
        <w:tc>
          <w:tcPr>
            <w:tcW w:w="1281" w:type="dxa"/>
            <w:vMerge w:val="continue"/>
            <w:noWrap w:val="0"/>
            <w:vAlign w:val="center"/>
          </w:tcPr>
          <w:p>
            <w:pPr>
              <w:jc w:val="center"/>
              <w:rPr>
                <w:rFonts w:hint="eastAsia" w:ascii="仿宋_GB2312" w:hAnsi="仿宋_GB2312" w:eastAsia="仿宋_GB2312" w:cs="仿宋_GB2312"/>
                <w:sz w:val="24"/>
                <w:szCs w:val="24"/>
                <w:vertAlign w:val="baseline"/>
              </w:rPr>
            </w:pPr>
          </w:p>
        </w:tc>
        <w:tc>
          <w:tcPr>
            <w:tcW w:w="149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b/>
                <w:bCs/>
                <w:i w:val="0"/>
                <w:iCs w:val="0"/>
                <w:color w:val="000000"/>
                <w:kern w:val="0"/>
                <w:sz w:val="24"/>
                <w:szCs w:val="24"/>
                <w:u w:val="none"/>
                <w:lang w:val="en-US" w:eastAsia="zh-CN" w:bidi="ar"/>
              </w:rPr>
              <w:t>惠民便民服务（10分）</w:t>
            </w:r>
          </w:p>
        </w:tc>
        <w:tc>
          <w:tcPr>
            <w:tcW w:w="3568"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1.提供图书借阅、免费阅读空间、便民饮水、充电等基础惠民服务的完备性；                          2.执行图书惠民折扣、惠民借阅政策的落实情况；                  3.为经开区企业员工、园区居民提供专属借阅优惠。</w:t>
            </w:r>
          </w:p>
        </w:tc>
        <w:tc>
          <w:tcPr>
            <w:tcW w:w="3496"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基础惠民服务全覆盖，得5分，缺1项</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1分；落实惠民政策且受众反馈良好，得3分，政策执行不到位酌情</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1-3分;提供专属借阅优惠得2分。</w:t>
            </w:r>
          </w:p>
        </w:tc>
        <w:tc>
          <w:tcPr>
            <w:tcW w:w="2089"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服务公示牌照片、惠民政策文件、读者借阅记录、满意度调查问卷、园区专属优惠方案</w:t>
            </w:r>
          </w:p>
        </w:tc>
        <w:tc>
          <w:tcPr>
            <w:tcW w:w="1084" w:type="dxa"/>
            <w:noWrap w:val="0"/>
            <w:vAlign w:val="center"/>
          </w:tcPr>
          <w:p>
            <w:pPr>
              <w:rPr>
                <w:rFonts w:hint="eastAsia" w:ascii="仿宋_GB2312" w:hAnsi="仿宋_GB2312" w:eastAsia="仿宋_GB2312" w:cs="仿宋_GB2312"/>
                <w:sz w:val="24"/>
                <w:szCs w:val="24"/>
                <w:vertAlign w:val="baseline"/>
              </w:rPr>
            </w:pPr>
          </w:p>
        </w:tc>
        <w:tc>
          <w:tcPr>
            <w:tcW w:w="1108" w:type="dxa"/>
            <w:noWrap w:val="0"/>
            <w:vAlign w:val="center"/>
          </w:tcPr>
          <w:p>
            <w:pP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28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b/>
                <w:bCs/>
                <w:i w:val="0"/>
                <w:iCs w:val="0"/>
                <w:color w:val="000000"/>
                <w:kern w:val="0"/>
                <w:sz w:val="24"/>
                <w:szCs w:val="24"/>
                <w:u w:val="none"/>
                <w:lang w:val="en-US" w:eastAsia="zh-CN" w:bidi="ar"/>
              </w:rPr>
              <w:t>运营管理（20分）</w:t>
            </w:r>
          </w:p>
        </w:tc>
        <w:tc>
          <w:tcPr>
            <w:tcW w:w="149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b/>
                <w:bCs/>
                <w:i w:val="0"/>
                <w:iCs w:val="0"/>
                <w:color w:val="000000"/>
                <w:kern w:val="0"/>
                <w:sz w:val="24"/>
                <w:szCs w:val="24"/>
                <w:u w:val="none"/>
                <w:lang w:val="en-US" w:eastAsia="zh-CN" w:bidi="ar"/>
              </w:rPr>
              <w:t>规范运营（10分）</w:t>
            </w:r>
          </w:p>
        </w:tc>
        <w:tc>
          <w:tcPr>
            <w:tcW w:w="3568"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1.证照齐全且公示；               2.遵守图书出版发行相关法律法规，无盗版、非法出版物；          3.消防安全、环境卫生管理达标；                      4.配合经开区文明创建、安全生产检查等工作的情况。</w:t>
            </w:r>
          </w:p>
        </w:tc>
        <w:tc>
          <w:tcPr>
            <w:tcW w:w="3496"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证照齐全公示，得3分；无违规出版物，得2分，发现1次违规此项不得分；消防安全与卫生达标，得3分；积极配合经开区专项工作，得2分，配合不力酌情</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分。</w:t>
            </w:r>
          </w:p>
        </w:tc>
        <w:tc>
          <w:tcPr>
            <w:tcW w:w="2089"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营业执照、出版物经营许可证复印件；消防检查合格证明；日常卫生巡检记录；经开区专项工作配合台账</w:t>
            </w:r>
          </w:p>
        </w:tc>
        <w:tc>
          <w:tcPr>
            <w:tcW w:w="1084" w:type="dxa"/>
            <w:noWrap w:val="0"/>
            <w:vAlign w:val="center"/>
          </w:tcPr>
          <w:p>
            <w:pPr>
              <w:rPr>
                <w:rFonts w:hint="eastAsia" w:ascii="仿宋_GB2312" w:hAnsi="仿宋_GB2312" w:eastAsia="仿宋_GB2312" w:cs="仿宋_GB2312"/>
                <w:sz w:val="24"/>
                <w:szCs w:val="24"/>
                <w:vertAlign w:val="baseline"/>
              </w:rPr>
            </w:pPr>
          </w:p>
        </w:tc>
        <w:tc>
          <w:tcPr>
            <w:tcW w:w="1108" w:type="dxa"/>
            <w:noWrap w:val="0"/>
            <w:vAlign w:val="center"/>
          </w:tcPr>
          <w:p>
            <w:pP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1281" w:type="dxa"/>
            <w:vMerge w:val="continue"/>
            <w:noWrap w:val="0"/>
            <w:vAlign w:val="center"/>
          </w:tcPr>
          <w:p>
            <w:pPr>
              <w:jc w:val="center"/>
              <w:rPr>
                <w:rFonts w:hint="eastAsia" w:ascii="仿宋_GB2312" w:hAnsi="仿宋_GB2312" w:eastAsia="仿宋_GB2312" w:cs="仿宋_GB2312"/>
                <w:sz w:val="24"/>
                <w:szCs w:val="24"/>
                <w:vertAlign w:val="baseline"/>
              </w:rPr>
            </w:pPr>
          </w:p>
        </w:tc>
        <w:tc>
          <w:tcPr>
            <w:tcW w:w="149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b/>
                <w:bCs/>
                <w:i w:val="0"/>
                <w:iCs w:val="0"/>
                <w:color w:val="000000"/>
                <w:kern w:val="0"/>
                <w:sz w:val="24"/>
                <w:szCs w:val="24"/>
                <w:u w:val="none"/>
                <w:lang w:val="en-US" w:eastAsia="zh-CN" w:bidi="ar"/>
              </w:rPr>
              <w:t>人员管理（10分）</w:t>
            </w:r>
          </w:p>
        </w:tc>
        <w:tc>
          <w:tcPr>
            <w:tcW w:w="3568"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1.从业人员具备基本文化素养与服务意识；                          2.定期开展业务培训，提升服务能力；                            3.配备熟悉葛店经开区文化、产业情况的专职服务人员。</w:t>
            </w:r>
          </w:p>
        </w:tc>
        <w:tc>
          <w:tcPr>
            <w:tcW w:w="3496"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从业人员服务规范，无读者投诉，得3分；全年开展业务培训≥4次，得3分；配备专职特色服务人员且考核合格，得4分，否则酌情</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分</w:t>
            </w:r>
          </w:p>
        </w:tc>
        <w:tc>
          <w:tcPr>
            <w:tcW w:w="2089"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培训计划、培训记录、读者投诉处理台账、专职人员资质证明及考核记录</w:t>
            </w:r>
          </w:p>
        </w:tc>
        <w:tc>
          <w:tcPr>
            <w:tcW w:w="1084" w:type="dxa"/>
            <w:noWrap w:val="0"/>
            <w:vAlign w:val="center"/>
          </w:tcPr>
          <w:p>
            <w:pPr>
              <w:rPr>
                <w:rFonts w:hint="eastAsia" w:ascii="仿宋_GB2312" w:hAnsi="仿宋_GB2312" w:eastAsia="仿宋_GB2312" w:cs="仿宋_GB2312"/>
                <w:sz w:val="24"/>
                <w:szCs w:val="24"/>
                <w:vertAlign w:val="baseline"/>
              </w:rPr>
            </w:pPr>
          </w:p>
        </w:tc>
        <w:tc>
          <w:tcPr>
            <w:tcW w:w="1108" w:type="dxa"/>
            <w:noWrap w:val="0"/>
            <w:vAlign w:val="center"/>
          </w:tcPr>
          <w:p>
            <w:pP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128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b/>
                <w:bCs/>
                <w:i w:val="0"/>
                <w:iCs w:val="0"/>
                <w:color w:val="000000"/>
                <w:kern w:val="0"/>
                <w:sz w:val="24"/>
                <w:szCs w:val="24"/>
                <w:u w:val="none"/>
                <w:lang w:val="en-US" w:eastAsia="zh-CN" w:bidi="ar"/>
              </w:rPr>
              <w:t>基础服务（20分）</w:t>
            </w:r>
          </w:p>
        </w:tc>
        <w:tc>
          <w:tcPr>
            <w:tcW w:w="149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b/>
                <w:bCs/>
                <w:i w:val="0"/>
                <w:iCs w:val="0"/>
                <w:color w:val="000000"/>
                <w:kern w:val="0"/>
                <w:sz w:val="24"/>
                <w:szCs w:val="24"/>
                <w:u w:val="none"/>
                <w:lang w:val="en-US" w:eastAsia="zh-CN" w:bidi="ar"/>
              </w:rPr>
              <w:t>图书资源建设（10分）</w:t>
            </w:r>
          </w:p>
        </w:tc>
        <w:tc>
          <w:tcPr>
            <w:tcW w:w="3568"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1.图书品类丰富度，涵盖社科、文学、少儿、科技等多领域；                       2.图书更新频次，新书上架时效性；                             3.采购葛店本土作家作品、经开区产业相关专业图书。</w:t>
            </w:r>
          </w:p>
        </w:tc>
        <w:tc>
          <w:tcPr>
            <w:tcW w:w="3496"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品类覆盖≥8个核心领域，得4分；每月更新新书≥100种，得3分，每少20种</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1分；本土及产业相关图书占比≥10%，得3分，占比每降2%</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1分。</w:t>
            </w:r>
          </w:p>
        </w:tc>
        <w:tc>
          <w:tcPr>
            <w:tcW w:w="2089"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图书采购清单、新书上架记录、图书分类台账、本土及产业图书采购明细</w:t>
            </w:r>
          </w:p>
        </w:tc>
        <w:tc>
          <w:tcPr>
            <w:tcW w:w="1084" w:type="dxa"/>
            <w:noWrap w:val="0"/>
            <w:vAlign w:val="center"/>
          </w:tcPr>
          <w:p>
            <w:pPr>
              <w:rPr>
                <w:rFonts w:hint="eastAsia" w:ascii="仿宋_GB2312" w:hAnsi="仿宋_GB2312" w:eastAsia="仿宋_GB2312" w:cs="仿宋_GB2312"/>
                <w:sz w:val="24"/>
                <w:szCs w:val="24"/>
                <w:vertAlign w:val="baseline"/>
              </w:rPr>
            </w:pPr>
          </w:p>
        </w:tc>
        <w:tc>
          <w:tcPr>
            <w:tcW w:w="1108" w:type="dxa"/>
            <w:noWrap w:val="0"/>
            <w:vAlign w:val="center"/>
          </w:tcPr>
          <w:p>
            <w:pP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1281" w:type="dxa"/>
            <w:vMerge w:val="continue"/>
            <w:noWrap w:val="0"/>
            <w:vAlign w:val="center"/>
          </w:tcPr>
          <w:p>
            <w:pPr>
              <w:jc w:val="center"/>
              <w:rPr>
                <w:rFonts w:hint="eastAsia" w:ascii="仿宋_GB2312" w:hAnsi="仿宋_GB2312" w:eastAsia="仿宋_GB2312" w:cs="仿宋_GB2312"/>
                <w:sz w:val="24"/>
                <w:szCs w:val="24"/>
                <w:vertAlign w:val="baseline"/>
              </w:rPr>
            </w:pPr>
          </w:p>
        </w:tc>
        <w:tc>
          <w:tcPr>
            <w:tcW w:w="149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b/>
                <w:bCs/>
                <w:i w:val="0"/>
                <w:iCs w:val="0"/>
                <w:color w:val="000000"/>
                <w:kern w:val="0"/>
                <w:sz w:val="24"/>
                <w:szCs w:val="24"/>
                <w:u w:val="none"/>
                <w:lang w:val="en-US" w:eastAsia="zh-CN" w:bidi="ar"/>
              </w:rPr>
              <w:t>阅读空间打造（10分）</w:t>
            </w:r>
          </w:p>
        </w:tc>
        <w:tc>
          <w:tcPr>
            <w:tcW w:w="3568"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1.阅读区域布局合理，分区明确（如少儿区、成人区、自习区）；                    2.空间环境舒适，照明、通风、隔音等条件良好；                    3.设置葛店经开区文化展示角（如历史沿革、产业成果）。</w:t>
            </w:r>
          </w:p>
        </w:tc>
        <w:tc>
          <w:tcPr>
            <w:tcW w:w="3496"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分区明确且功能完善，得4分；环境舒适达标，得3分；文化展示角内容丰富、更新及时，得3分，否则酌情</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分。</w:t>
            </w:r>
          </w:p>
        </w:tc>
        <w:tc>
          <w:tcPr>
            <w:tcW w:w="2089"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书店空间布局图、现场环境照片、文化展示角设计方案及更新记录</w:t>
            </w:r>
          </w:p>
        </w:tc>
        <w:tc>
          <w:tcPr>
            <w:tcW w:w="1084" w:type="dxa"/>
            <w:noWrap w:val="0"/>
            <w:vAlign w:val="center"/>
          </w:tcPr>
          <w:p>
            <w:pPr>
              <w:rPr>
                <w:rFonts w:hint="eastAsia" w:ascii="仿宋_GB2312" w:hAnsi="仿宋_GB2312" w:eastAsia="仿宋_GB2312" w:cs="仿宋_GB2312"/>
                <w:sz w:val="24"/>
                <w:szCs w:val="24"/>
                <w:vertAlign w:val="baseline"/>
              </w:rPr>
            </w:pPr>
          </w:p>
        </w:tc>
        <w:tc>
          <w:tcPr>
            <w:tcW w:w="1108" w:type="dxa"/>
            <w:noWrap w:val="0"/>
            <w:vAlign w:val="center"/>
          </w:tcPr>
          <w:p>
            <w:pP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b/>
                <w:bCs/>
                <w:i w:val="0"/>
                <w:iCs w:val="0"/>
                <w:color w:val="000000"/>
                <w:kern w:val="0"/>
                <w:sz w:val="24"/>
                <w:szCs w:val="24"/>
                <w:u w:val="none"/>
                <w:lang w:val="en-US" w:eastAsia="zh-CN" w:bidi="ar"/>
              </w:rPr>
              <w:t>特色服务（20分）</w:t>
            </w:r>
          </w:p>
        </w:tc>
        <w:tc>
          <w:tcPr>
            <w:tcW w:w="149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b/>
                <w:bCs/>
                <w:i w:val="0"/>
                <w:iCs w:val="0"/>
                <w:color w:val="000000"/>
                <w:kern w:val="0"/>
                <w:sz w:val="24"/>
                <w:szCs w:val="24"/>
                <w:u w:val="none"/>
                <w:lang w:val="en-US" w:eastAsia="zh-CN" w:bidi="ar"/>
              </w:rPr>
              <w:t>主题特色服务（10分）</w:t>
            </w:r>
          </w:p>
        </w:tc>
        <w:tc>
          <w:tcPr>
            <w:tcW w:w="3568"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1.打造主题阅读空间（如红色文化、地方特色、古籍文创等）；                    2.开展主题化阅读活动，形成差异化服务品牌；                     3.打造葛店经开区产业主题阅读空间。</w:t>
            </w:r>
          </w:p>
        </w:tc>
        <w:tc>
          <w:tcPr>
            <w:tcW w:w="3496"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主题空间特色鲜明，得3分；全年开展主题活动≥8场，形成品牌影响力，得4分；打造产业主题阅读空间且运营良好，得3分，否则酌情</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分。</w:t>
            </w:r>
          </w:p>
        </w:tc>
        <w:tc>
          <w:tcPr>
            <w:tcW w:w="2089"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主题空间设计方案、主题活动记录、品牌宣传材料、产业主题空间运营台账</w:t>
            </w:r>
          </w:p>
        </w:tc>
        <w:tc>
          <w:tcPr>
            <w:tcW w:w="1084" w:type="dxa"/>
            <w:noWrap w:val="0"/>
            <w:vAlign w:val="center"/>
          </w:tcPr>
          <w:p>
            <w:pPr>
              <w:rPr>
                <w:rFonts w:hint="eastAsia" w:ascii="仿宋_GB2312" w:hAnsi="仿宋_GB2312" w:eastAsia="仿宋_GB2312" w:cs="仿宋_GB2312"/>
                <w:sz w:val="24"/>
                <w:szCs w:val="24"/>
                <w:vertAlign w:val="baseline"/>
              </w:rPr>
            </w:pPr>
          </w:p>
        </w:tc>
        <w:tc>
          <w:tcPr>
            <w:tcW w:w="1108" w:type="dxa"/>
            <w:noWrap w:val="0"/>
            <w:vAlign w:val="center"/>
          </w:tcPr>
          <w:p>
            <w:pP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1281" w:type="dxa"/>
            <w:vMerge w:val="continue"/>
            <w:noWrap w:val="0"/>
            <w:vAlign w:val="center"/>
          </w:tcPr>
          <w:p>
            <w:pPr>
              <w:jc w:val="center"/>
              <w:rPr>
                <w:rFonts w:hint="eastAsia" w:ascii="仿宋_GB2312" w:hAnsi="仿宋_GB2312" w:eastAsia="仿宋_GB2312" w:cs="仿宋_GB2312"/>
                <w:sz w:val="24"/>
                <w:szCs w:val="24"/>
                <w:vertAlign w:val="baseline"/>
              </w:rPr>
            </w:pPr>
          </w:p>
        </w:tc>
        <w:tc>
          <w:tcPr>
            <w:tcW w:w="149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b/>
                <w:bCs/>
                <w:i w:val="0"/>
                <w:iCs w:val="0"/>
                <w:color w:val="000000"/>
                <w:kern w:val="0"/>
                <w:sz w:val="24"/>
                <w:szCs w:val="24"/>
                <w:u w:val="none"/>
                <w:lang w:val="en-US" w:eastAsia="zh-CN" w:bidi="ar"/>
              </w:rPr>
              <w:t>延伸增值服务（10分）</w:t>
            </w:r>
          </w:p>
        </w:tc>
        <w:tc>
          <w:tcPr>
            <w:tcW w:w="3568"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1.提供文创产品销售、咖啡茶饮、文化产品定制等延伸服务；                       2.与周边社区、学校、企业开展合作服务；                        3.与经开区企业、院校开展校企共读、产业研学等合作。</w:t>
            </w:r>
          </w:p>
        </w:tc>
        <w:tc>
          <w:tcPr>
            <w:tcW w:w="3496"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延伸服务≥3项，得3分；合作服务单位≥5家，得3分；与经开区企业/院校合作开展活动≥4场，得4分，否则酌情</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分。</w:t>
            </w:r>
          </w:p>
        </w:tc>
        <w:tc>
          <w:tcPr>
            <w:tcW w:w="2089"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文创产品清单、合作协议、服务记录、校企/企店合作活动台账</w:t>
            </w:r>
          </w:p>
        </w:tc>
        <w:tc>
          <w:tcPr>
            <w:tcW w:w="1084" w:type="dxa"/>
            <w:noWrap w:val="0"/>
            <w:vAlign w:val="center"/>
          </w:tcPr>
          <w:p>
            <w:pPr>
              <w:rPr>
                <w:rFonts w:hint="eastAsia" w:ascii="仿宋_GB2312" w:hAnsi="仿宋_GB2312" w:eastAsia="仿宋_GB2312" w:cs="仿宋_GB2312"/>
                <w:sz w:val="24"/>
                <w:szCs w:val="24"/>
                <w:vertAlign w:val="baseline"/>
              </w:rPr>
            </w:pPr>
          </w:p>
        </w:tc>
        <w:tc>
          <w:tcPr>
            <w:tcW w:w="1108" w:type="dxa"/>
            <w:noWrap w:val="0"/>
            <w:vAlign w:val="center"/>
          </w:tcPr>
          <w:p>
            <w:pP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128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b/>
                <w:bCs/>
                <w:i w:val="0"/>
                <w:iCs w:val="0"/>
                <w:color w:val="000000"/>
                <w:kern w:val="0"/>
                <w:sz w:val="24"/>
                <w:szCs w:val="24"/>
                <w:u w:val="none"/>
                <w:lang w:val="en-US" w:eastAsia="zh-CN" w:bidi="ar"/>
              </w:rPr>
              <w:t>创新要素（15分）</w:t>
            </w:r>
          </w:p>
        </w:tc>
        <w:tc>
          <w:tcPr>
            <w:tcW w:w="149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b/>
                <w:bCs/>
                <w:i w:val="0"/>
                <w:iCs w:val="0"/>
                <w:color w:val="000000"/>
                <w:kern w:val="0"/>
                <w:sz w:val="24"/>
                <w:szCs w:val="24"/>
                <w:u w:val="none"/>
                <w:lang w:val="en-US" w:eastAsia="zh-CN" w:bidi="ar"/>
              </w:rPr>
              <w:t>数字化服务（10分）</w:t>
            </w:r>
          </w:p>
        </w:tc>
        <w:tc>
          <w:tcPr>
            <w:tcW w:w="3568"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1.开通线上图书查询、预订、借阅服务；                           2.利用直播、短视频开展线上读书推广活动；                      3.开发葛店经开区专属线上阅读专栏，推广本土文化。</w:t>
            </w:r>
          </w:p>
        </w:tc>
        <w:tc>
          <w:tcPr>
            <w:tcW w:w="3496"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线上服务功能齐全，得4分；全年开展线上推广活动≥6场，得3分；开通专属线上专栏且月均更新≥4篇，得3分，否则酌情</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分。</w:t>
            </w:r>
          </w:p>
        </w:tc>
        <w:tc>
          <w:tcPr>
            <w:tcW w:w="2089"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线上服务平台截图、直播/短视频记录、线上专栏运营数据</w:t>
            </w:r>
          </w:p>
        </w:tc>
        <w:tc>
          <w:tcPr>
            <w:tcW w:w="1084" w:type="dxa"/>
            <w:noWrap w:val="0"/>
            <w:vAlign w:val="center"/>
          </w:tcPr>
          <w:p>
            <w:pPr>
              <w:rPr>
                <w:rFonts w:hint="eastAsia" w:ascii="仿宋_GB2312" w:hAnsi="仿宋_GB2312" w:eastAsia="仿宋_GB2312" w:cs="仿宋_GB2312"/>
                <w:sz w:val="24"/>
                <w:szCs w:val="24"/>
                <w:vertAlign w:val="baseline"/>
              </w:rPr>
            </w:pPr>
          </w:p>
        </w:tc>
        <w:tc>
          <w:tcPr>
            <w:tcW w:w="1108" w:type="dxa"/>
            <w:noWrap w:val="0"/>
            <w:vAlign w:val="center"/>
          </w:tcPr>
          <w:p>
            <w:pP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1281" w:type="dxa"/>
            <w:vMerge w:val="continue"/>
            <w:noWrap w:val="0"/>
            <w:vAlign w:val="center"/>
          </w:tcPr>
          <w:p>
            <w:pPr>
              <w:jc w:val="center"/>
              <w:rPr>
                <w:rFonts w:hint="eastAsia" w:ascii="仿宋_GB2312" w:hAnsi="仿宋_GB2312" w:eastAsia="仿宋_GB2312" w:cs="仿宋_GB2312"/>
                <w:sz w:val="24"/>
                <w:szCs w:val="24"/>
                <w:vertAlign w:val="baseline"/>
              </w:rPr>
            </w:pPr>
          </w:p>
        </w:tc>
        <w:tc>
          <w:tcPr>
            <w:tcW w:w="149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b/>
                <w:bCs/>
                <w:i w:val="0"/>
                <w:iCs w:val="0"/>
                <w:color w:val="000000"/>
                <w:kern w:val="0"/>
                <w:sz w:val="24"/>
                <w:szCs w:val="24"/>
                <w:u w:val="none"/>
                <w:lang w:val="en-US" w:eastAsia="zh-CN" w:bidi="ar"/>
              </w:rPr>
              <w:t>模式创新（5分）</w:t>
            </w:r>
          </w:p>
        </w:tc>
        <w:tc>
          <w:tcPr>
            <w:tcW w:w="3568"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1.探索“书店+文旅”“书店+研学”等创新运营模式；              2.引入智慧化设备（如自助借阅机、智能导航屏）提升服务效率；                     3.探索“书店+经开区产业服务”融合模式。</w:t>
            </w:r>
          </w:p>
        </w:tc>
        <w:tc>
          <w:tcPr>
            <w:tcW w:w="3496"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创新模式≥1种且成效显著，得1分；引入智慧化设备≥2种，得1分；打造“书店+产业服务”模式且落地见效，得3分，否则酌情</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分。</w:t>
            </w:r>
          </w:p>
        </w:tc>
        <w:tc>
          <w:tcPr>
            <w:tcW w:w="2089"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创新模式实施方案、智慧设备采购与使用记录、产业服务融合案例材料</w:t>
            </w:r>
          </w:p>
        </w:tc>
        <w:tc>
          <w:tcPr>
            <w:tcW w:w="1084" w:type="dxa"/>
            <w:noWrap w:val="0"/>
            <w:vAlign w:val="center"/>
          </w:tcPr>
          <w:p>
            <w:pPr>
              <w:rPr>
                <w:rFonts w:hint="eastAsia" w:ascii="仿宋_GB2312" w:hAnsi="仿宋_GB2312" w:eastAsia="仿宋_GB2312" w:cs="仿宋_GB2312"/>
                <w:sz w:val="24"/>
                <w:szCs w:val="24"/>
                <w:vertAlign w:val="baseline"/>
              </w:rPr>
            </w:pPr>
          </w:p>
        </w:tc>
        <w:tc>
          <w:tcPr>
            <w:tcW w:w="1108" w:type="dxa"/>
            <w:noWrap w:val="0"/>
            <w:vAlign w:val="center"/>
          </w:tcPr>
          <w:p>
            <w:pP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778" w:type="dxa"/>
            <w:gridSpan w:val="2"/>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b/>
                <w:bCs/>
                <w:i w:val="0"/>
                <w:iCs w:val="0"/>
                <w:color w:val="000000"/>
                <w:kern w:val="0"/>
                <w:sz w:val="24"/>
                <w:szCs w:val="24"/>
                <w:u w:val="none"/>
                <w:lang w:val="en-US" w:eastAsia="zh-CN" w:bidi="ar"/>
              </w:rPr>
              <w:t>加分项（上限10分）</w:t>
            </w:r>
          </w:p>
        </w:tc>
        <w:tc>
          <w:tcPr>
            <w:tcW w:w="3568"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获评区级及以上官方评比的荣誉称号。</w:t>
            </w:r>
          </w:p>
        </w:tc>
        <w:tc>
          <w:tcPr>
            <w:tcW w:w="3496"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区级加1分，市级加2分，省级加3分，国家级加5分，累计不超过5分。</w:t>
            </w:r>
          </w:p>
        </w:tc>
        <w:tc>
          <w:tcPr>
            <w:tcW w:w="2089"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荣誉证书复印件</w:t>
            </w:r>
          </w:p>
        </w:tc>
        <w:tc>
          <w:tcPr>
            <w:tcW w:w="1084" w:type="dxa"/>
            <w:noWrap w:val="0"/>
            <w:vAlign w:val="center"/>
          </w:tcPr>
          <w:p>
            <w:pPr>
              <w:rPr>
                <w:rFonts w:hint="eastAsia" w:ascii="仿宋_GB2312" w:hAnsi="仿宋_GB2312" w:eastAsia="仿宋_GB2312" w:cs="仿宋_GB2312"/>
                <w:sz w:val="24"/>
                <w:szCs w:val="24"/>
                <w:vertAlign w:val="baseline"/>
              </w:rPr>
            </w:pPr>
          </w:p>
        </w:tc>
        <w:tc>
          <w:tcPr>
            <w:tcW w:w="1108" w:type="dxa"/>
            <w:noWrap w:val="0"/>
            <w:vAlign w:val="center"/>
          </w:tcPr>
          <w:p>
            <w:pP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gridSpan w:val="2"/>
            <w:vMerge w:val="continue"/>
            <w:noWrap w:val="0"/>
            <w:vAlign w:val="center"/>
          </w:tcPr>
          <w:p>
            <w:pPr>
              <w:jc w:val="center"/>
              <w:rPr>
                <w:rFonts w:hint="eastAsia" w:ascii="仿宋_GB2312" w:hAnsi="仿宋_GB2312" w:eastAsia="仿宋_GB2312" w:cs="仿宋_GB2312"/>
                <w:sz w:val="24"/>
                <w:szCs w:val="24"/>
                <w:vertAlign w:val="baseline"/>
              </w:rPr>
            </w:pPr>
          </w:p>
        </w:tc>
        <w:tc>
          <w:tcPr>
            <w:tcW w:w="3568"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承办葛店经开区级及以上文化阅读活动。</w:t>
            </w:r>
          </w:p>
        </w:tc>
        <w:tc>
          <w:tcPr>
            <w:tcW w:w="3496"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承办区级活动1次加1分，承办市级及以上活动1次加3分，累计不超过5分。</w:t>
            </w:r>
          </w:p>
        </w:tc>
        <w:tc>
          <w:tcPr>
            <w:tcW w:w="2089"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活动承办协议、现场材料</w:t>
            </w:r>
          </w:p>
        </w:tc>
        <w:tc>
          <w:tcPr>
            <w:tcW w:w="1084" w:type="dxa"/>
            <w:noWrap w:val="0"/>
            <w:vAlign w:val="center"/>
          </w:tcPr>
          <w:p>
            <w:pPr>
              <w:rPr>
                <w:rFonts w:hint="eastAsia" w:ascii="仿宋_GB2312" w:hAnsi="仿宋_GB2312" w:eastAsia="仿宋_GB2312" w:cs="仿宋_GB2312"/>
                <w:sz w:val="24"/>
                <w:szCs w:val="24"/>
                <w:vertAlign w:val="baseline"/>
              </w:rPr>
            </w:pPr>
          </w:p>
        </w:tc>
        <w:tc>
          <w:tcPr>
            <w:tcW w:w="1108" w:type="dxa"/>
            <w:noWrap w:val="0"/>
            <w:vAlign w:val="center"/>
          </w:tcPr>
          <w:p>
            <w:pP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778" w:type="dxa"/>
            <w:gridSpan w:val="2"/>
            <w:vMerge w:val="continue"/>
            <w:noWrap w:val="0"/>
            <w:vAlign w:val="center"/>
          </w:tcPr>
          <w:p>
            <w:pPr>
              <w:jc w:val="center"/>
              <w:rPr>
                <w:rFonts w:hint="eastAsia" w:ascii="仿宋_GB2312" w:hAnsi="仿宋_GB2312" w:eastAsia="仿宋_GB2312" w:cs="仿宋_GB2312"/>
                <w:sz w:val="24"/>
                <w:szCs w:val="24"/>
                <w:vertAlign w:val="baseline"/>
              </w:rPr>
            </w:pPr>
          </w:p>
        </w:tc>
        <w:tc>
          <w:tcPr>
            <w:tcW w:w="356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吸纳葛店经开区户籍人员就业，且签订劳动合同并缴纳社保</w:t>
            </w:r>
          </w:p>
        </w:tc>
        <w:tc>
          <w:tcPr>
            <w:tcW w:w="3496"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每吸纳1名稳定就业满1年加1分，累计不超过5分</w:t>
            </w:r>
          </w:p>
        </w:tc>
        <w:tc>
          <w:tcPr>
            <w:tcW w:w="2089"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劳动合同、社保缴纳证明</w:t>
            </w:r>
          </w:p>
        </w:tc>
        <w:tc>
          <w:tcPr>
            <w:tcW w:w="1084" w:type="dxa"/>
            <w:noWrap w:val="0"/>
            <w:vAlign w:val="center"/>
          </w:tcPr>
          <w:p>
            <w:pPr>
              <w:rPr>
                <w:rFonts w:hint="eastAsia" w:ascii="仿宋_GB2312" w:hAnsi="仿宋_GB2312" w:eastAsia="仿宋_GB2312" w:cs="仿宋_GB2312"/>
                <w:sz w:val="24"/>
                <w:szCs w:val="24"/>
                <w:vertAlign w:val="baseline"/>
              </w:rPr>
            </w:pPr>
          </w:p>
        </w:tc>
        <w:tc>
          <w:tcPr>
            <w:tcW w:w="1108" w:type="dxa"/>
            <w:noWrap w:val="0"/>
            <w:vAlign w:val="center"/>
          </w:tcPr>
          <w:p>
            <w:pP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778" w:type="dxa"/>
            <w:gridSpan w:val="2"/>
            <w:vMerge w:val="restart"/>
            <w:noWrap w:val="0"/>
            <w:vAlign w:val="center"/>
          </w:tcPr>
          <w:p>
            <w:pPr>
              <w:keepNext w:val="0"/>
              <w:keepLines w:val="0"/>
              <w:widowControl/>
              <w:suppressLineNumbers w:val="0"/>
              <w:jc w:val="center"/>
              <w:textAlignment w:val="center"/>
              <w:rPr>
                <w:rFonts w:hint="eastAsia" w:ascii="国标仿宋" w:hAnsi="国标仿宋" w:eastAsia="国标仿宋" w:cs="国标仿宋"/>
                <w:b/>
                <w:bCs/>
                <w:color w:val="000000"/>
                <w:kern w:val="0"/>
                <w:sz w:val="24"/>
                <w:szCs w:val="24"/>
                <w:vertAlign w:val="baseline"/>
                <w:lang w:bidi="ar"/>
              </w:rPr>
            </w:pPr>
            <w:r>
              <w:rPr>
                <w:rFonts w:hint="eastAsia" w:ascii="国标仿宋" w:hAnsi="国标仿宋" w:eastAsia="国标仿宋" w:cs="国标仿宋"/>
                <w:b/>
                <w:bCs/>
                <w:i w:val="0"/>
                <w:iCs w:val="0"/>
                <w:color w:val="000000"/>
                <w:kern w:val="0"/>
                <w:sz w:val="24"/>
                <w:szCs w:val="24"/>
                <w:u w:val="none"/>
                <w:lang w:val="en-US" w:eastAsia="zh-CN" w:bidi="ar"/>
              </w:rPr>
              <w:t>减分项（无下限）</w:t>
            </w:r>
          </w:p>
        </w:tc>
        <w:tc>
          <w:tcPr>
            <w:tcW w:w="3568"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被读者有效投诉，且未在规定时间内整改到位。</w:t>
            </w:r>
          </w:p>
        </w:tc>
        <w:tc>
          <w:tcPr>
            <w:tcW w:w="3496"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每发生1次</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3分</w:t>
            </w:r>
          </w:p>
        </w:tc>
        <w:tc>
          <w:tcPr>
            <w:tcW w:w="2089"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投诉记录、整改回执</w:t>
            </w:r>
          </w:p>
        </w:tc>
        <w:tc>
          <w:tcPr>
            <w:tcW w:w="1084" w:type="dxa"/>
            <w:noWrap w:val="0"/>
            <w:vAlign w:val="center"/>
          </w:tcPr>
          <w:p>
            <w:pPr>
              <w:rPr>
                <w:rFonts w:hint="eastAsia" w:ascii="仿宋_GB2312" w:hAnsi="仿宋_GB2312" w:eastAsia="仿宋_GB2312" w:cs="仿宋_GB2312"/>
                <w:sz w:val="24"/>
                <w:szCs w:val="24"/>
                <w:vertAlign w:val="baseline"/>
              </w:rPr>
            </w:pPr>
          </w:p>
        </w:tc>
        <w:tc>
          <w:tcPr>
            <w:tcW w:w="1108" w:type="dxa"/>
            <w:noWrap w:val="0"/>
            <w:vAlign w:val="center"/>
          </w:tcPr>
          <w:p>
            <w:pP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778" w:type="dxa"/>
            <w:gridSpan w:val="2"/>
            <w:vMerge w:val="continue"/>
            <w:noWrap w:val="0"/>
            <w:vAlign w:val="center"/>
          </w:tcPr>
          <w:p>
            <w:pPr>
              <w:textAlignment w:val="center"/>
              <w:rPr>
                <w:rFonts w:hint="eastAsia" w:ascii="国标仿宋" w:hAnsi="国标仿宋" w:eastAsia="国标仿宋" w:cs="国标仿宋"/>
                <w:b/>
                <w:bCs/>
                <w:color w:val="000000"/>
                <w:kern w:val="0"/>
                <w:sz w:val="24"/>
                <w:szCs w:val="24"/>
                <w:vertAlign w:val="baseline"/>
                <w:lang w:bidi="ar"/>
              </w:rPr>
            </w:pPr>
          </w:p>
        </w:tc>
        <w:tc>
          <w:tcPr>
            <w:tcW w:w="3568"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销售盗版、非法出版物，或违反相关出版发行管理规定。</w:t>
            </w:r>
          </w:p>
        </w:tc>
        <w:tc>
          <w:tcPr>
            <w:tcW w:w="3496"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每发现1次</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10分，情节严重的直接判定为不合格</w:t>
            </w:r>
          </w:p>
        </w:tc>
        <w:tc>
          <w:tcPr>
            <w:tcW w:w="2089"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相关部门查处记录</w:t>
            </w:r>
          </w:p>
        </w:tc>
        <w:tc>
          <w:tcPr>
            <w:tcW w:w="1084" w:type="dxa"/>
            <w:noWrap w:val="0"/>
            <w:vAlign w:val="center"/>
          </w:tcPr>
          <w:p>
            <w:pPr>
              <w:rPr>
                <w:rFonts w:hint="eastAsia" w:ascii="仿宋_GB2312" w:hAnsi="仿宋_GB2312" w:eastAsia="仿宋_GB2312" w:cs="仿宋_GB2312"/>
                <w:sz w:val="24"/>
                <w:szCs w:val="24"/>
                <w:vertAlign w:val="baseline"/>
              </w:rPr>
            </w:pPr>
          </w:p>
        </w:tc>
        <w:tc>
          <w:tcPr>
            <w:tcW w:w="1108" w:type="dxa"/>
            <w:noWrap w:val="0"/>
            <w:vAlign w:val="center"/>
          </w:tcPr>
          <w:p>
            <w:pP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2778" w:type="dxa"/>
            <w:gridSpan w:val="2"/>
            <w:vMerge w:val="continue"/>
            <w:noWrap w:val="0"/>
            <w:vAlign w:val="center"/>
          </w:tcPr>
          <w:p>
            <w:pPr>
              <w:textAlignment w:val="center"/>
              <w:rPr>
                <w:rFonts w:hint="eastAsia" w:ascii="国标仿宋" w:hAnsi="国标仿宋" w:eastAsia="国标仿宋" w:cs="国标仿宋"/>
                <w:b/>
                <w:bCs/>
                <w:color w:val="000000"/>
                <w:kern w:val="0"/>
                <w:sz w:val="24"/>
                <w:szCs w:val="24"/>
                <w:vertAlign w:val="baseline"/>
                <w:lang w:bidi="ar"/>
              </w:rPr>
            </w:pPr>
          </w:p>
        </w:tc>
        <w:tc>
          <w:tcPr>
            <w:tcW w:w="3568"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未配合葛店经开区主管部门部署的文化建设、公益服务等专项工作。</w:t>
            </w:r>
          </w:p>
        </w:tc>
        <w:tc>
          <w:tcPr>
            <w:tcW w:w="3496"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每出现1次不配合情况</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5分</w:t>
            </w:r>
          </w:p>
        </w:tc>
        <w:tc>
          <w:tcPr>
            <w:tcW w:w="2089"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国标仿宋" w:hAnsi="国标仿宋" w:eastAsia="国标仿宋" w:cs="国标仿宋"/>
                <w:i w:val="0"/>
                <w:iCs w:val="0"/>
                <w:color w:val="000000"/>
                <w:kern w:val="0"/>
                <w:sz w:val="24"/>
                <w:szCs w:val="24"/>
                <w:u w:val="none"/>
                <w:lang w:val="en-US" w:eastAsia="zh-CN" w:bidi="ar"/>
              </w:rPr>
              <w:t>工作督办记录、反馈材料</w:t>
            </w:r>
          </w:p>
        </w:tc>
        <w:tc>
          <w:tcPr>
            <w:tcW w:w="1084" w:type="dxa"/>
            <w:noWrap w:val="0"/>
            <w:vAlign w:val="center"/>
          </w:tcPr>
          <w:p>
            <w:pPr>
              <w:rPr>
                <w:rFonts w:hint="eastAsia" w:ascii="仿宋_GB2312" w:hAnsi="仿宋_GB2312" w:eastAsia="仿宋_GB2312" w:cs="仿宋_GB2312"/>
                <w:sz w:val="24"/>
                <w:szCs w:val="24"/>
                <w:vertAlign w:val="baseline"/>
              </w:rPr>
            </w:pPr>
          </w:p>
        </w:tc>
        <w:tc>
          <w:tcPr>
            <w:tcW w:w="1108" w:type="dxa"/>
            <w:noWrap w:val="0"/>
            <w:vAlign w:val="center"/>
          </w:tcPr>
          <w:p>
            <w:pPr>
              <w:rPr>
                <w:rFonts w:hint="eastAsia" w:ascii="仿宋_GB2312" w:hAnsi="仿宋_GB2312" w:eastAsia="仿宋_GB2312" w:cs="仿宋_GB2312"/>
                <w:sz w:val="24"/>
                <w:szCs w:val="24"/>
                <w:vertAlign w:val="baseline"/>
              </w:rPr>
            </w:pPr>
          </w:p>
        </w:tc>
      </w:tr>
    </w:tbl>
    <w:p>
      <w:pPr>
        <w:spacing w:line="580" w:lineRule="exact"/>
        <w:ind w:firstLine="0" w:firstLineChars="0"/>
        <w:rPr>
          <w:rFonts w:hint="eastAsia" w:ascii="仿宋_GB2312" w:hAnsi="仿宋_GB2312" w:eastAsia="仿宋_GB2312" w:cs="仿宋_GB2312"/>
          <w:sz w:val="32"/>
          <w:szCs w:val="32"/>
        </w:rPr>
      </w:pPr>
    </w:p>
    <w:p>
      <w:pPr>
        <w:spacing w:before="159" w:beforeLines="50" w:after="159" w:afterLines="50" w:line="6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方正小标宋简体" w:hAnsi="方正小标宋简体" w:eastAsia="方正小标宋简体" w:cs="方正小标宋简体"/>
          <w:sz w:val="36"/>
          <w:szCs w:val="36"/>
        </w:rPr>
        <w:t>葛店经开区公共阅读空间考核评价体系</w:t>
      </w:r>
    </w:p>
    <w:tbl>
      <w:tblPr>
        <w:tblStyle w:val="6"/>
        <w:tblW w:w="13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1235"/>
        <w:gridCol w:w="4627"/>
        <w:gridCol w:w="2735"/>
        <w:gridCol w:w="1834"/>
        <w:gridCol w:w="992"/>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358" w:type="dxa"/>
            <w:noWrap w:val="0"/>
            <w:vAlign w:val="center"/>
          </w:tcPr>
          <w:p>
            <w:pPr>
              <w:keepNext w:val="0"/>
              <w:keepLines w:val="0"/>
              <w:widowControl/>
              <w:suppressLineNumbers w:val="0"/>
              <w:spacing w:line="0" w:lineRule="atLeast"/>
              <w:jc w:val="center"/>
              <w:textAlignment w:val="center"/>
              <w:rPr>
                <w:rFonts w:hint="eastAsia" w:ascii="方正黑体_GBK" w:hAnsi="方正黑体_GBK" w:eastAsia="方正黑体_GBK" w:cs="方正黑体_GBK"/>
                <w:sz w:val="32"/>
                <w:szCs w:val="32"/>
                <w:vertAlign w:val="baseli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一级指标</w:t>
            </w:r>
          </w:p>
        </w:tc>
        <w:tc>
          <w:tcPr>
            <w:tcW w:w="1235" w:type="dxa"/>
            <w:noWrap w:val="0"/>
            <w:vAlign w:val="center"/>
          </w:tcPr>
          <w:p>
            <w:pPr>
              <w:keepNext w:val="0"/>
              <w:keepLines w:val="0"/>
              <w:widowControl/>
              <w:suppressLineNumbers w:val="0"/>
              <w:spacing w:line="0" w:lineRule="atLeast"/>
              <w:jc w:val="center"/>
              <w:textAlignment w:val="center"/>
              <w:rPr>
                <w:rFonts w:hint="eastAsia" w:ascii="方正黑体_GBK" w:hAnsi="方正黑体_GBK" w:eastAsia="方正黑体_GBK" w:cs="方正黑体_GBK"/>
                <w:sz w:val="32"/>
                <w:szCs w:val="32"/>
                <w:vertAlign w:val="baseli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二级指标</w:t>
            </w:r>
          </w:p>
        </w:tc>
        <w:tc>
          <w:tcPr>
            <w:tcW w:w="4627" w:type="dxa"/>
            <w:noWrap w:val="0"/>
            <w:vAlign w:val="center"/>
          </w:tcPr>
          <w:p>
            <w:pPr>
              <w:keepNext w:val="0"/>
              <w:keepLines w:val="0"/>
              <w:widowControl/>
              <w:suppressLineNumbers w:val="0"/>
              <w:spacing w:line="0" w:lineRule="atLeast"/>
              <w:jc w:val="center"/>
              <w:textAlignment w:val="center"/>
              <w:rPr>
                <w:rFonts w:hint="eastAsia" w:ascii="方正黑体_GBK" w:hAnsi="方正黑体_GBK" w:eastAsia="方正黑体_GBK" w:cs="方正黑体_GBK"/>
                <w:sz w:val="32"/>
                <w:szCs w:val="32"/>
                <w:vertAlign w:val="baseli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考核内容</w:t>
            </w:r>
          </w:p>
        </w:tc>
        <w:tc>
          <w:tcPr>
            <w:tcW w:w="2735" w:type="dxa"/>
            <w:noWrap w:val="0"/>
            <w:vAlign w:val="center"/>
          </w:tcPr>
          <w:p>
            <w:pPr>
              <w:keepNext w:val="0"/>
              <w:keepLines w:val="0"/>
              <w:widowControl/>
              <w:suppressLineNumbers w:val="0"/>
              <w:spacing w:line="0" w:lineRule="atLeast"/>
              <w:jc w:val="center"/>
              <w:textAlignment w:val="center"/>
              <w:rPr>
                <w:rFonts w:hint="eastAsia" w:ascii="方正黑体_GBK" w:hAnsi="方正黑体_GBK" w:eastAsia="方正黑体_GBK" w:cs="方正黑体_GBK"/>
                <w:sz w:val="32"/>
                <w:szCs w:val="32"/>
                <w:vertAlign w:val="baseli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评分标准</w:t>
            </w:r>
          </w:p>
        </w:tc>
        <w:tc>
          <w:tcPr>
            <w:tcW w:w="1834" w:type="dxa"/>
            <w:noWrap w:val="0"/>
            <w:vAlign w:val="center"/>
          </w:tcPr>
          <w:p>
            <w:pPr>
              <w:keepNext w:val="0"/>
              <w:keepLines w:val="0"/>
              <w:widowControl/>
              <w:suppressLineNumbers w:val="0"/>
              <w:spacing w:line="0" w:lineRule="atLeast"/>
              <w:jc w:val="center"/>
              <w:textAlignment w:val="center"/>
              <w:rPr>
                <w:rFonts w:hint="eastAsia" w:ascii="方正黑体_GBK" w:hAnsi="方正黑体_GBK" w:eastAsia="方正黑体_GBK" w:cs="方正黑体_GBK"/>
                <w:sz w:val="32"/>
                <w:szCs w:val="32"/>
                <w:vertAlign w:val="baseli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佐证材料</w:t>
            </w:r>
          </w:p>
        </w:tc>
        <w:tc>
          <w:tcPr>
            <w:tcW w:w="992" w:type="dxa"/>
            <w:noWrap w:val="0"/>
            <w:vAlign w:val="center"/>
          </w:tcPr>
          <w:p>
            <w:pPr>
              <w:keepNext w:val="0"/>
              <w:keepLines w:val="0"/>
              <w:widowControl/>
              <w:suppressLineNumbers w:val="0"/>
              <w:spacing w:line="0" w:lineRule="atLeast"/>
              <w:jc w:val="center"/>
              <w:textAlignment w:val="center"/>
              <w:rPr>
                <w:rFonts w:hint="eastAsia" w:ascii="方正黑体_GBK" w:hAnsi="方正黑体_GBK" w:eastAsia="方正黑体_GBK" w:cs="方正黑体_GBK"/>
                <w:b w:val="0"/>
                <w:bCs w:val="0"/>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自评</w:t>
            </w:r>
          </w:p>
          <w:p>
            <w:pPr>
              <w:keepNext w:val="0"/>
              <w:keepLines w:val="0"/>
              <w:widowControl/>
              <w:suppressLineNumbers w:val="0"/>
              <w:spacing w:line="0" w:lineRule="atLeast"/>
              <w:jc w:val="center"/>
              <w:textAlignment w:val="center"/>
              <w:rPr>
                <w:rFonts w:hint="eastAsia" w:ascii="方正黑体_GBK" w:hAnsi="方正黑体_GBK" w:eastAsia="方正黑体_GBK" w:cs="方正黑体_GBK"/>
                <w:sz w:val="32"/>
                <w:szCs w:val="32"/>
                <w:vertAlign w:val="baseli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得分</w:t>
            </w:r>
          </w:p>
        </w:tc>
        <w:tc>
          <w:tcPr>
            <w:tcW w:w="816" w:type="dxa"/>
            <w:noWrap w:val="0"/>
            <w:vAlign w:val="center"/>
          </w:tcPr>
          <w:p>
            <w:pPr>
              <w:keepNext w:val="0"/>
              <w:keepLines w:val="0"/>
              <w:widowControl/>
              <w:suppressLineNumbers w:val="0"/>
              <w:spacing w:line="0" w:lineRule="atLeast"/>
              <w:jc w:val="center"/>
              <w:textAlignment w:val="center"/>
              <w:rPr>
                <w:rFonts w:hint="eastAsia" w:ascii="方正黑体_GBK" w:hAnsi="方正黑体_GBK" w:eastAsia="方正黑体_GBK" w:cs="方正黑体_GBK"/>
                <w:b w:val="0"/>
                <w:bCs w:val="0"/>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考评</w:t>
            </w:r>
          </w:p>
          <w:p>
            <w:pPr>
              <w:keepNext w:val="0"/>
              <w:keepLines w:val="0"/>
              <w:widowControl/>
              <w:suppressLineNumbers w:val="0"/>
              <w:spacing w:line="0" w:lineRule="atLeast"/>
              <w:jc w:val="center"/>
              <w:textAlignment w:val="center"/>
              <w:rPr>
                <w:rFonts w:hint="eastAsia" w:ascii="方正黑体_GBK" w:hAnsi="方正黑体_GBK" w:eastAsia="方正黑体_GBK" w:cs="方正黑体_GBK"/>
                <w:sz w:val="32"/>
                <w:szCs w:val="32"/>
                <w:vertAlign w:val="baseli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358"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基础设施建设（15分）</w:t>
            </w:r>
          </w:p>
        </w:tc>
        <w:tc>
          <w:tcPr>
            <w:tcW w:w="12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空间布局（4分）</w:t>
            </w:r>
          </w:p>
        </w:tc>
        <w:tc>
          <w:tcPr>
            <w:tcW w:w="4627" w:type="dxa"/>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u w:val="none"/>
                <w:lang w:val="en-US" w:eastAsia="zh-CN" w:bidi="ar"/>
              </w:rPr>
              <w:t>1. 基本公共服务区域面积≥200㎡；</w:t>
            </w:r>
          </w:p>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2. 功能分区明确（阅览区、借阅区、活动区等），布局合理。</w:t>
            </w:r>
          </w:p>
        </w:tc>
        <w:tc>
          <w:tcPr>
            <w:tcW w:w="27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面积达标得2分，功能分区清晰得2分；未达标按比例</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分</w:t>
            </w:r>
          </w:p>
        </w:tc>
        <w:tc>
          <w:tcPr>
            <w:tcW w:w="1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空间平面图、实地照片</w:t>
            </w:r>
          </w:p>
        </w:tc>
        <w:tc>
          <w:tcPr>
            <w:tcW w:w="992" w:type="dxa"/>
            <w:noWrap w:val="0"/>
            <w:vAlign w:val="center"/>
          </w:tcPr>
          <w:p>
            <w:pPr>
              <w:jc w:val="center"/>
              <w:rPr>
                <w:rFonts w:hint="eastAsia" w:ascii="仿宋_GB2312" w:hAnsi="仿宋_GB2312" w:eastAsia="仿宋_GB2312" w:cs="仿宋_GB2312"/>
                <w:sz w:val="32"/>
                <w:szCs w:val="32"/>
                <w:vertAlign w:val="baseline"/>
              </w:rPr>
            </w:pPr>
          </w:p>
        </w:tc>
        <w:tc>
          <w:tcPr>
            <w:tcW w:w="816" w:type="dxa"/>
            <w:noWrap w:val="0"/>
            <w:vAlign w:val="center"/>
          </w:tcPr>
          <w:p>
            <w:pPr>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continue"/>
            <w:noWrap w:val="0"/>
            <w:vAlign w:val="center"/>
          </w:tcPr>
          <w:p>
            <w:pPr>
              <w:jc w:val="center"/>
              <w:rPr>
                <w:rFonts w:hint="eastAsia" w:ascii="仿宋_GB2312" w:hAnsi="仿宋_GB2312" w:eastAsia="仿宋_GB2312" w:cs="仿宋_GB2312"/>
                <w:sz w:val="32"/>
                <w:szCs w:val="32"/>
                <w:vertAlign w:val="baseline"/>
              </w:rPr>
            </w:pPr>
          </w:p>
        </w:tc>
        <w:tc>
          <w:tcPr>
            <w:tcW w:w="12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标识标牌（3分）</w:t>
            </w:r>
          </w:p>
        </w:tc>
        <w:tc>
          <w:tcPr>
            <w:tcW w:w="4627" w:type="dxa"/>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u w:val="none"/>
                <w:lang w:val="en-US" w:eastAsia="zh-CN" w:bidi="ar"/>
              </w:rPr>
              <w:t>1. 统一规范的公共阅读空间标识；</w:t>
            </w:r>
          </w:p>
          <w:p>
            <w:pPr>
              <w:keepNext w:val="0"/>
              <w:keepLines w:val="0"/>
              <w:widowControl/>
              <w:suppressLineNumbers w:val="0"/>
              <w:jc w:val="left"/>
              <w:textAlignment w:val="center"/>
              <w:rPr>
                <w:rFonts w:hint="eastAsia" w:ascii="国标仿宋" w:hAnsi="国标仿宋" w:eastAsia="国标仿宋" w:cs="国标仿宋"/>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u w:val="none"/>
                <w:lang w:val="en-US" w:eastAsia="zh-CN" w:bidi="ar"/>
              </w:rPr>
              <w:t>2. 显著位置张贴开放时间、服务指南、监督电话等；</w:t>
            </w:r>
          </w:p>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3. 配备消防、无障碍等警示标识。</w:t>
            </w:r>
          </w:p>
        </w:tc>
        <w:tc>
          <w:tcPr>
            <w:tcW w:w="27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缺1项核心标识</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1分，</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完为止</w:t>
            </w:r>
          </w:p>
        </w:tc>
        <w:tc>
          <w:tcPr>
            <w:tcW w:w="1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现场照片、标识清单</w:t>
            </w:r>
          </w:p>
        </w:tc>
        <w:tc>
          <w:tcPr>
            <w:tcW w:w="992" w:type="dxa"/>
            <w:noWrap w:val="0"/>
            <w:vAlign w:val="center"/>
          </w:tcPr>
          <w:p>
            <w:pPr>
              <w:jc w:val="center"/>
              <w:rPr>
                <w:rFonts w:hint="eastAsia" w:ascii="仿宋_GB2312" w:hAnsi="仿宋_GB2312" w:eastAsia="仿宋_GB2312" w:cs="仿宋_GB2312"/>
                <w:sz w:val="32"/>
                <w:szCs w:val="32"/>
                <w:vertAlign w:val="baseline"/>
              </w:rPr>
            </w:pPr>
          </w:p>
        </w:tc>
        <w:tc>
          <w:tcPr>
            <w:tcW w:w="816" w:type="dxa"/>
            <w:noWrap w:val="0"/>
            <w:vAlign w:val="center"/>
          </w:tcPr>
          <w:p>
            <w:pPr>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continue"/>
            <w:noWrap w:val="0"/>
            <w:vAlign w:val="center"/>
          </w:tcPr>
          <w:p>
            <w:pPr>
              <w:jc w:val="center"/>
              <w:rPr>
                <w:rFonts w:hint="eastAsia" w:ascii="仿宋_GB2312" w:hAnsi="仿宋_GB2312" w:eastAsia="仿宋_GB2312" w:cs="仿宋_GB2312"/>
                <w:sz w:val="32"/>
                <w:szCs w:val="32"/>
                <w:vertAlign w:val="baseline"/>
              </w:rPr>
            </w:pPr>
          </w:p>
        </w:tc>
        <w:tc>
          <w:tcPr>
            <w:tcW w:w="12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设施配置（4）分</w:t>
            </w:r>
          </w:p>
        </w:tc>
        <w:tc>
          <w:tcPr>
            <w:tcW w:w="4627" w:type="dxa"/>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u w:val="none"/>
                <w:lang w:val="en-US" w:eastAsia="zh-CN" w:bidi="ar"/>
              </w:rPr>
              <w:t>1. 网络全覆盖（100M以上互联网专线）；</w:t>
            </w:r>
          </w:p>
          <w:p>
            <w:pPr>
              <w:keepNext w:val="0"/>
              <w:keepLines w:val="0"/>
              <w:widowControl/>
              <w:suppressLineNumbers w:val="0"/>
              <w:jc w:val="left"/>
              <w:textAlignment w:val="center"/>
              <w:rPr>
                <w:rFonts w:hint="eastAsia" w:ascii="国标仿宋" w:hAnsi="国标仿宋" w:eastAsia="国标仿宋" w:cs="国标仿宋"/>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u w:val="none"/>
                <w:lang w:val="en-US" w:eastAsia="zh-CN" w:bidi="ar"/>
              </w:rPr>
              <w:t>2. 配备消防、监控设备；</w:t>
            </w:r>
          </w:p>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3. 有无障碍设施（坡道、盲道等）。</w:t>
            </w:r>
          </w:p>
        </w:tc>
        <w:tc>
          <w:tcPr>
            <w:tcW w:w="27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网络达标得1分，安全设施齐全得2分，无障碍设施完备得1分</w:t>
            </w:r>
          </w:p>
        </w:tc>
        <w:tc>
          <w:tcPr>
            <w:tcW w:w="1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网络检测报告、设施台账</w:t>
            </w:r>
          </w:p>
        </w:tc>
        <w:tc>
          <w:tcPr>
            <w:tcW w:w="992" w:type="dxa"/>
            <w:noWrap w:val="0"/>
            <w:vAlign w:val="center"/>
          </w:tcPr>
          <w:p>
            <w:pPr>
              <w:jc w:val="center"/>
              <w:rPr>
                <w:rFonts w:hint="eastAsia" w:ascii="仿宋_GB2312" w:hAnsi="仿宋_GB2312" w:eastAsia="仿宋_GB2312" w:cs="仿宋_GB2312"/>
                <w:sz w:val="32"/>
                <w:szCs w:val="32"/>
                <w:vertAlign w:val="baseline"/>
              </w:rPr>
            </w:pPr>
          </w:p>
        </w:tc>
        <w:tc>
          <w:tcPr>
            <w:tcW w:w="816" w:type="dxa"/>
            <w:noWrap w:val="0"/>
            <w:vAlign w:val="center"/>
          </w:tcPr>
          <w:p>
            <w:pPr>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continue"/>
            <w:noWrap w:val="0"/>
            <w:vAlign w:val="center"/>
          </w:tcPr>
          <w:p>
            <w:pPr>
              <w:jc w:val="center"/>
              <w:rPr>
                <w:rFonts w:hint="eastAsia" w:ascii="仿宋_GB2312" w:hAnsi="仿宋_GB2312" w:eastAsia="仿宋_GB2312" w:cs="仿宋_GB2312"/>
                <w:sz w:val="32"/>
                <w:szCs w:val="32"/>
                <w:vertAlign w:val="baseline"/>
              </w:rPr>
            </w:pPr>
          </w:p>
        </w:tc>
        <w:tc>
          <w:tcPr>
            <w:tcW w:w="12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信息化设备（4分）</w:t>
            </w:r>
          </w:p>
        </w:tc>
        <w:tc>
          <w:tcPr>
            <w:tcW w:w="4627" w:type="dxa"/>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u w:val="none"/>
                <w:lang w:val="en-US" w:eastAsia="zh-CN" w:bidi="ar"/>
              </w:rPr>
              <w:t>1. 接入区图书馆管理系统，支持一证通用；</w:t>
            </w:r>
          </w:p>
          <w:p>
            <w:pPr>
              <w:keepNext w:val="0"/>
              <w:keepLines w:val="0"/>
              <w:widowControl/>
              <w:suppressLineNumbers w:val="0"/>
              <w:jc w:val="left"/>
              <w:textAlignment w:val="center"/>
              <w:rPr>
                <w:rFonts w:hint="eastAsia" w:ascii="国标仿宋" w:hAnsi="国标仿宋" w:eastAsia="国标仿宋" w:cs="国标仿宋"/>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u w:val="none"/>
                <w:lang w:val="en-US" w:eastAsia="zh-CN" w:bidi="ar"/>
              </w:rPr>
              <w:t>2. 配备自助办证、借还书设备；</w:t>
            </w:r>
          </w:p>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3. 有信息发布及流量统计设备。</w:t>
            </w:r>
          </w:p>
        </w:tc>
        <w:tc>
          <w:tcPr>
            <w:tcW w:w="27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系统接入得1分，自助设备齐全得2分，统计设备正常得1分</w:t>
            </w:r>
          </w:p>
        </w:tc>
        <w:tc>
          <w:tcPr>
            <w:tcW w:w="1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系统对接证明、设备清单</w:t>
            </w:r>
          </w:p>
        </w:tc>
        <w:tc>
          <w:tcPr>
            <w:tcW w:w="992" w:type="dxa"/>
            <w:noWrap w:val="0"/>
            <w:vAlign w:val="center"/>
          </w:tcPr>
          <w:p>
            <w:pPr>
              <w:jc w:val="center"/>
              <w:rPr>
                <w:rFonts w:hint="eastAsia" w:ascii="仿宋_GB2312" w:hAnsi="仿宋_GB2312" w:eastAsia="仿宋_GB2312" w:cs="仿宋_GB2312"/>
                <w:sz w:val="32"/>
                <w:szCs w:val="32"/>
                <w:vertAlign w:val="baseline"/>
              </w:rPr>
            </w:pPr>
          </w:p>
        </w:tc>
        <w:tc>
          <w:tcPr>
            <w:tcW w:w="816" w:type="dxa"/>
            <w:noWrap w:val="0"/>
            <w:vAlign w:val="center"/>
          </w:tcPr>
          <w:p>
            <w:pPr>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8"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文献资源保障（12分）</w:t>
            </w:r>
          </w:p>
        </w:tc>
        <w:tc>
          <w:tcPr>
            <w:tcW w:w="12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馆藏数量（5分）</w:t>
            </w:r>
          </w:p>
        </w:tc>
        <w:tc>
          <w:tcPr>
            <w:tcW w:w="4627" w:type="dxa"/>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u w:val="none"/>
                <w:lang w:val="en-US" w:eastAsia="zh-CN" w:bidi="ar"/>
              </w:rPr>
              <w:t>1. 纸质图书馆藏量≥5000册，年更新率≥10%；</w:t>
            </w:r>
          </w:p>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2. 配备报刊、数字资源（数据库、电子图书）。</w:t>
            </w:r>
          </w:p>
        </w:tc>
        <w:tc>
          <w:tcPr>
            <w:tcW w:w="27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馆藏量达标得2分，更新率达标得1分，数字资源完备得2分</w:t>
            </w:r>
          </w:p>
        </w:tc>
        <w:tc>
          <w:tcPr>
            <w:tcW w:w="1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馆藏清单、采购合同</w:t>
            </w:r>
          </w:p>
        </w:tc>
        <w:tc>
          <w:tcPr>
            <w:tcW w:w="992" w:type="dxa"/>
            <w:noWrap w:val="0"/>
            <w:vAlign w:val="center"/>
          </w:tcPr>
          <w:p>
            <w:pPr>
              <w:jc w:val="center"/>
              <w:rPr>
                <w:rFonts w:hint="eastAsia" w:ascii="仿宋_GB2312" w:hAnsi="仿宋_GB2312" w:eastAsia="仿宋_GB2312" w:cs="仿宋_GB2312"/>
                <w:sz w:val="32"/>
                <w:szCs w:val="32"/>
                <w:vertAlign w:val="baseline"/>
              </w:rPr>
            </w:pPr>
          </w:p>
        </w:tc>
        <w:tc>
          <w:tcPr>
            <w:tcW w:w="816" w:type="dxa"/>
            <w:noWrap w:val="0"/>
            <w:vAlign w:val="center"/>
          </w:tcPr>
          <w:p>
            <w:pPr>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continue"/>
            <w:noWrap w:val="0"/>
            <w:vAlign w:val="center"/>
          </w:tcPr>
          <w:p>
            <w:pPr>
              <w:jc w:val="center"/>
              <w:rPr>
                <w:rFonts w:hint="eastAsia" w:ascii="仿宋_GB2312" w:hAnsi="仿宋_GB2312" w:eastAsia="仿宋_GB2312" w:cs="仿宋_GB2312"/>
                <w:sz w:val="32"/>
                <w:szCs w:val="32"/>
                <w:vertAlign w:val="baseline"/>
              </w:rPr>
            </w:pPr>
          </w:p>
        </w:tc>
        <w:tc>
          <w:tcPr>
            <w:tcW w:w="12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资源管理（4分）</w:t>
            </w:r>
          </w:p>
        </w:tc>
        <w:tc>
          <w:tcPr>
            <w:tcW w:w="4627" w:type="dxa"/>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u w:val="none"/>
                <w:lang w:val="en-US" w:eastAsia="zh-CN" w:bidi="ar"/>
              </w:rPr>
              <w:t>1. 图书按中图法分类排架，上架率100%；</w:t>
            </w:r>
          </w:p>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2. 建立图书交接、签收规范台账。</w:t>
            </w:r>
          </w:p>
        </w:tc>
        <w:tc>
          <w:tcPr>
            <w:tcW w:w="27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分类排架规范得2分，台账齐全得2分</w:t>
            </w:r>
          </w:p>
        </w:tc>
        <w:tc>
          <w:tcPr>
            <w:tcW w:w="1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实地检查记录、管理台账</w:t>
            </w:r>
          </w:p>
        </w:tc>
        <w:tc>
          <w:tcPr>
            <w:tcW w:w="992" w:type="dxa"/>
            <w:noWrap w:val="0"/>
            <w:vAlign w:val="center"/>
          </w:tcPr>
          <w:p>
            <w:pPr>
              <w:jc w:val="center"/>
              <w:rPr>
                <w:rFonts w:hint="eastAsia" w:ascii="仿宋_GB2312" w:hAnsi="仿宋_GB2312" w:eastAsia="仿宋_GB2312" w:cs="仿宋_GB2312"/>
                <w:sz w:val="32"/>
                <w:szCs w:val="32"/>
                <w:vertAlign w:val="baseline"/>
              </w:rPr>
            </w:pPr>
          </w:p>
        </w:tc>
        <w:tc>
          <w:tcPr>
            <w:tcW w:w="816" w:type="dxa"/>
            <w:noWrap w:val="0"/>
            <w:vAlign w:val="center"/>
          </w:tcPr>
          <w:p>
            <w:pPr>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continue"/>
            <w:noWrap w:val="0"/>
            <w:vAlign w:val="center"/>
          </w:tcPr>
          <w:p>
            <w:pPr>
              <w:jc w:val="center"/>
              <w:rPr>
                <w:rFonts w:hint="eastAsia" w:ascii="仿宋_GB2312" w:hAnsi="仿宋_GB2312" w:eastAsia="仿宋_GB2312" w:cs="仿宋_GB2312"/>
                <w:sz w:val="32"/>
                <w:szCs w:val="32"/>
                <w:vertAlign w:val="baseline"/>
              </w:rPr>
            </w:pPr>
          </w:p>
        </w:tc>
        <w:tc>
          <w:tcPr>
            <w:tcW w:w="12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资源适配性（3分）</w:t>
            </w:r>
          </w:p>
        </w:tc>
        <w:tc>
          <w:tcPr>
            <w:tcW w:w="4627"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馆藏资源贴合区域产业特色、居民需求，含科普、技能、少儿等类别。</w:t>
            </w:r>
          </w:p>
        </w:tc>
        <w:tc>
          <w:tcPr>
            <w:tcW w:w="27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资源针对性强得3分，一般得1-2分，无特色得0分</w:t>
            </w:r>
          </w:p>
        </w:tc>
        <w:tc>
          <w:tcPr>
            <w:tcW w:w="1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馆藏分类清单、读者需求调研记录</w:t>
            </w:r>
          </w:p>
        </w:tc>
        <w:tc>
          <w:tcPr>
            <w:tcW w:w="992" w:type="dxa"/>
            <w:noWrap w:val="0"/>
            <w:vAlign w:val="center"/>
          </w:tcPr>
          <w:p>
            <w:pPr>
              <w:jc w:val="center"/>
              <w:rPr>
                <w:rFonts w:hint="eastAsia" w:ascii="仿宋_GB2312" w:hAnsi="仿宋_GB2312" w:eastAsia="仿宋_GB2312" w:cs="仿宋_GB2312"/>
                <w:sz w:val="32"/>
                <w:szCs w:val="32"/>
                <w:vertAlign w:val="baseline"/>
              </w:rPr>
            </w:pPr>
          </w:p>
        </w:tc>
        <w:tc>
          <w:tcPr>
            <w:tcW w:w="816" w:type="dxa"/>
            <w:noWrap w:val="0"/>
            <w:vAlign w:val="center"/>
          </w:tcPr>
          <w:p>
            <w:pPr>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读者服务效能（40分）</w:t>
            </w:r>
          </w:p>
        </w:tc>
        <w:tc>
          <w:tcPr>
            <w:tcW w:w="12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开放时间（5分）</w:t>
            </w:r>
          </w:p>
        </w:tc>
        <w:tc>
          <w:tcPr>
            <w:tcW w:w="4627"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每周开放时间≥70小时，按时开放无无故闭馆。</w:t>
            </w:r>
          </w:p>
        </w:tc>
        <w:tc>
          <w:tcPr>
            <w:tcW w:w="27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达标得5分，每少1小时</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0.5分，</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完为止</w:t>
            </w:r>
          </w:p>
        </w:tc>
        <w:tc>
          <w:tcPr>
            <w:tcW w:w="1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开放日志、值班记录</w:t>
            </w:r>
          </w:p>
        </w:tc>
        <w:tc>
          <w:tcPr>
            <w:tcW w:w="992" w:type="dxa"/>
            <w:noWrap w:val="0"/>
            <w:vAlign w:val="center"/>
          </w:tcPr>
          <w:p>
            <w:pPr>
              <w:jc w:val="center"/>
              <w:rPr>
                <w:rFonts w:hint="eastAsia" w:ascii="仿宋_GB2312" w:hAnsi="仿宋_GB2312" w:eastAsia="仿宋_GB2312" w:cs="仿宋_GB2312"/>
                <w:sz w:val="32"/>
                <w:szCs w:val="32"/>
                <w:vertAlign w:val="baseline"/>
              </w:rPr>
            </w:pPr>
          </w:p>
        </w:tc>
        <w:tc>
          <w:tcPr>
            <w:tcW w:w="816" w:type="dxa"/>
            <w:noWrap w:val="0"/>
            <w:vAlign w:val="center"/>
          </w:tcPr>
          <w:p>
            <w:pPr>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continue"/>
            <w:noWrap w:val="0"/>
            <w:vAlign w:val="center"/>
          </w:tcPr>
          <w:p>
            <w:pPr>
              <w:jc w:val="center"/>
              <w:rPr>
                <w:rFonts w:hint="eastAsia" w:ascii="仿宋_GB2312" w:hAnsi="仿宋_GB2312" w:eastAsia="仿宋_GB2312" w:cs="仿宋_GB2312"/>
                <w:sz w:val="32"/>
                <w:szCs w:val="32"/>
                <w:vertAlign w:val="baseline"/>
              </w:rPr>
            </w:pPr>
          </w:p>
        </w:tc>
        <w:tc>
          <w:tcPr>
            <w:tcW w:w="12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服务规模（12分）</w:t>
            </w:r>
          </w:p>
        </w:tc>
        <w:tc>
          <w:tcPr>
            <w:tcW w:w="4627"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1. 年度新增读者证≥100个；                  2. 年读者接待量≥2万人次；                   3. 年图书外借册次≥5000册次。</w:t>
            </w:r>
          </w:p>
        </w:tc>
        <w:tc>
          <w:tcPr>
            <w:tcW w:w="27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新增读者证达标得3分，接待量达标得4分，外借册次达标得5分；超额部分可酌情加分（最高2分）</w:t>
            </w:r>
          </w:p>
        </w:tc>
        <w:tc>
          <w:tcPr>
            <w:tcW w:w="1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借阅系统统计数据、办证记录</w:t>
            </w:r>
          </w:p>
        </w:tc>
        <w:tc>
          <w:tcPr>
            <w:tcW w:w="992" w:type="dxa"/>
            <w:noWrap w:val="0"/>
            <w:vAlign w:val="center"/>
          </w:tcPr>
          <w:p>
            <w:pPr>
              <w:jc w:val="center"/>
              <w:rPr>
                <w:rFonts w:hint="eastAsia" w:ascii="仿宋_GB2312" w:hAnsi="仿宋_GB2312" w:eastAsia="仿宋_GB2312" w:cs="仿宋_GB2312"/>
                <w:sz w:val="32"/>
                <w:szCs w:val="32"/>
                <w:vertAlign w:val="baseline"/>
              </w:rPr>
            </w:pPr>
          </w:p>
        </w:tc>
        <w:tc>
          <w:tcPr>
            <w:tcW w:w="816" w:type="dxa"/>
            <w:noWrap w:val="0"/>
            <w:vAlign w:val="center"/>
          </w:tcPr>
          <w:p>
            <w:pPr>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continue"/>
            <w:noWrap w:val="0"/>
            <w:vAlign w:val="center"/>
          </w:tcPr>
          <w:p>
            <w:pPr>
              <w:jc w:val="center"/>
              <w:rPr>
                <w:rFonts w:hint="eastAsia" w:ascii="仿宋_GB2312" w:hAnsi="仿宋_GB2312" w:eastAsia="仿宋_GB2312" w:cs="仿宋_GB2312"/>
                <w:sz w:val="32"/>
                <w:szCs w:val="32"/>
                <w:vertAlign w:val="baseline"/>
              </w:rPr>
            </w:pPr>
          </w:p>
        </w:tc>
        <w:tc>
          <w:tcPr>
            <w:tcW w:w="12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公益活动（13分）</w:t>
            </w:r>
          </w:p>
        </w:tc>
        <w:tc>
          <w:tcPr>
            <w:tcW w:w="4627"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1. 年开展公益性阅读活动≥12次；               2. 联合街道、社区开展特色活动≥4次（如产业科普、亲子阅读等）。</w:t>
            </w:r>
          </w:p>
        </w:tc>
        <w:tc>
          <w:tcPr>
            <w:tcW w:w="27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基础活动达标得8分，特色活动达标得5分；超次数按1次0.2分加分（最高3分）</w:t>
            </w:r>
          </w:p>
        </w:tc>
        <w:tc>
          <w:tcPr>
            <w:tcW w:w="1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活动方案、签到表、照片</w:t>
            </w:r>
          </w:p>
        </w:tc>
        <w:tc>
          <w:tcPr>
            <w:tcW w:w="992" w:type="dxa"/>
            <w:noWrap w:val="0"/>
            <w:vAlign w:val="center"/>
          </w:tcPr>
          <w:p>
            <w:pPr>
              <w:jc w:val="center"/>
              <w:rPr>
                <w:rFonts w:hint="eastAsia" w:ascii="仿宋_GB2312" w:hAnsi="仿宋_GB2312" w:eastAsia="仿宋_GB2312" w:cs="仿宋_GB2312"/>
                <w:sz w:val="32"/>
                <w:szCs w:val="32"/>
                <w:vertAlign w:val="baseline"/>
              </w:rPr>
            </w:pPr>
          </w:p>
        </w:tc>
        <w:tc>
          <w:tcPr>
            <w:tcW w:w="816" w:type="dxa"/>
            <w:noWrap w:val="0"/>
            <w:vAlign w:val="center"/>
          </w:tcPr>
          <w:p>
            <w:pPr>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continue"/>
            <w:noWrap w:val="0"/>
            <w:vAlign w:val="center"/>
          </w:tcPr>
          <w:p>
            <w:pPr>
              <w:jc w:val="center"/>
              <w:rPr>
                <w:rFonts w:hint="eastAsia" w:ascii="仿宋_GB2312" w:hAnsi="仿宋_GB2312" w:eastAsia="仿宋_GB2312" w:cs="仿宋_GB2312"/>
                <w:sz w:val="32"/>
                <w:szCs w:val="32"/>
                <w:vertAlign w:val="baseline"/>
              </w:rPr>
            </w:pPr>
          </w:p>
        </w:tc>
        <w:tc>
          <w:tcPr>
            <w:tcW w:w="12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服务质量（4分）</w:t>
            </w:r>
          </w:p>
        </w:tc>
        <w:tc>
          <w:tcPr>
            <w:tcW w:w="4627"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1. 工作人员持证上岗，统一着装佩戴胸牌；       2. 服务态度热情，使用规范服务用语。</w:t>
            </w:r>
          </w:p>
        </w:tc>
        <w:tc>
          <w:tcPr>
            <w:tcW w:w="27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人员规范得2分，服务态度良好得2分；投诉查实1次</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1分</w:t>
            </w:r>
          </w:p>
        </w:tc>
        <w:tc>
          <w:tcPr>
            <w:tcW w:w="1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培训证书、读者评价记录</w:t>
            </w:r>
          </w:p>
        </w:tc>
        <w:tc>
          <w:tcPr>
            <w:tcW w:w="992" w:type="dxa"/>
            <w:noWrap w:val="0"/>
            <w:vAlign w:val="center"/>
          </w:tcPr>
          <w:p>
            <w:pPr>
              <w:jc w:val="center"/>
              <w:rPr>
                <w:rFonts w:hint="eastAsia" w:ascii="仿宋_GB2312" w:hAnsi="仿宋_GB2312" w:eastAsia="仿宋_GB2312" w:cs="仿宋_GB2312"/>
                <w:sz w:val="32"/>
                <w:szCs w:val="32"/>
                <w:vertAlign w:val="baseline"/>
              </w:rPr>
            </w:pPr>
          </w:p>
        </w:tc>
        <w:tc>
          <w:tcPr>
            <w:tcW w:w="816" w:type="dxa"/>
            <w:noWrap w:val="0"/>
            <w:vAlign w:val="center"/>
          </w:tcPr>
          <w:p>
            <w:pPr>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continue"/>
            <w:noWrap w:val="0"/>
            <w:vAlign w:val="center"/>
          </w:tcPr>
          <w:p>
            <w:pPr>
              <w:jc w:val="center"/>
              <w:rPr>
                <w:rFonts w:hint="eastAsia" w:ascii="仿宋_GB2312" w:hAnsi="仿宋_GB2312" w:eastAsia="仿宋_GB2312" w:cs="仿宋_GB2312"/>
                <w:sz w:val="32"/>
                <w:szCs w:val="32"/>
                <w:vertAlign w:val="baseline"/>
              </w:rPr>
            </w:pPr>
          </w:p>
        </w:tc>
        <w:tc>
          <w:tcPr>
            <w:tcW w:w="12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反馈与投诉（6分）</w:t>
            </w:r>
          </w:p>
        </w:tc>
        <w:tc>
          <w:tcPr>
            <w:tcW w:w="4627"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1. 设立意见箱、监督电话、线上反馈渠道；       2. 24小时内响应反馈，全年无重大投诉。</w:t>
            </w:r>
          </w:p>
        </w:tc>
        <w:tc>
          <w:tcPr>
            <w:tcW w:w="27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反馈渠道齐全得3分，响应及时得2分，无重大投诉得1分</w:t>
            </w:r>
          </w:p>
        </w:tc>
        <w:tc>
          <w:tcPr>
            <w:tcW w:w="1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反馈记录、投诉处理台账</w:t>
            </w:r>
          </w:p>
        </w:tc>
        <w:tc>
          <w:tcPr>
            <w:tcW w:w="992" w:type="dxa"/>
            <w:noWrap w:val="0"/>
            <w:vAlign w:val="center"/>
          </w:tcPr>
          <w:p>
            <w:pPr>
              <w:jc w:val="center"/>
              <w:rPr>
                <w:rFonts w:hint="eastAsia" w:ascii="仿宋_GB2312" w:hAnsi="仿宋_GB2312" w:eastAsia="仿宋_GB2312" w:cs="仿宋_GB2312"/>
                <w:sz w:val="32"/>
                <w:szCs w:val="32"/>
                <w:vertAlign w:val="baseline"/>
              </w:rPr>
            </w:pPr>
          </w:p>
        </w:tc>
        <w:tc>
          <w:tcPr>
            <w:tcW w:w="816" w:type="dxa"/>
            <w:noWrap w:val="0"/>
            <w:vAlign w:val="center"/>
          </w:tcPr>
          <w:p>
            <w:pPr>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组织管理规范（18分）</w:t>
            </w:r>
          </w:p>
        </w:tc>
        <w:tc>
          <w:tcPr>
            <w:tcW w:w="12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人员管理（4分）</w:t>
            </w:r>
          </w:p>
        </w:tc>
        <w:tc>
          <w:tcPr>
            <w:tcW w:w="4627"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1. 同一班次在岗人员≥2人；                  2. 负责人及业务骨干年培训≥2人次并考核合格。</w:t>
            </w:r>
          </w:p>
        </w:tc>
        <w:tc>
          <w:tcPr>
            <w:tcW w:w="27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人员配备达标得2分，培训合格得2分</w:t>
            </w:r>
          </w:p>
        </w:tc>
        <w:tc>
          <w:tcPr>
            <w:tcW w:w="1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值班表、培训证书</w:t>
            </w:r>
          </w:p>
        </w:tc>
        <w:tc>
          <w:tcPr>
            <w:tcW w:w="992" w:type="dxa"/>
            <w:noWrap w:val="0"/>
            <w:vAlign w:val="center"/>
          </w:tcPr>
          <w:p>
            <w:pPr>
              <w:jc w:val="center"/>
              <w:rPr>
                <w:rFonts w:hint="eastAsia" w:ascii="仿宋_GB2312" w:hAnsi="仿宋_GB2312" w:eastAsia="仿宋_GB2312" w:cs="仿宋_GB2312"/>
                <w:sz w:val="32"/>
                <w:szCs w:val="32"/>
                <w:vertAlign w:val="baseline"/>
              </w:rPr>
            </w:pPr>
          </w:p>
        </w:tc>
        <w:tc>
          <w:tcPr>
            <w:tcW w:w="816" w:type="dxa"/>
            <w:noWrap w:val="0"/>
            <w:vAlign w:val="center"/>
          </w:tcPr>
          <w:p>
            <w:pPr>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continue"/>
            <w:noWrap w:val="0"/>
            <w:vAlign w:val="center"/>
          </w:tcPr>
          <w:p>
            <w:pPr>
              <w:jc w:val="center"/>
              <w:rPr>
                <w:rFonts w:hint="eastAsia" w:ascii="仿宋_GB2312" w:hAnsi="仿宋_GB2312" w:eastAsia="仿宋_GB2312" w:cs="仿宋_GB2312"/>
                <w:sz w:val="32"/>
                <w:szCs w:val="32"/>
                <w:vertAlign w:val="baseline"/>
              </w:rPr>
            </w:pPr>
          </w:p>
        </w:tc>
        <w:tc>
          <w:tcPr>
            <w:tcW w:w="12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制度建设（4分）</w:t>
            </w:r>
          </w:p>
        </w:tc>
        <w:tc>
          <w:tcPr>
            <w:tcW w:w="4627"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建立健全图书管理、设备维护、安全管理、应急预案等制度。</w:t>
            </w:r>
          </w:p>
        </w:tc>
        <w:tc>
          <w:tcPr>
            <w:tcW w:w="27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核心制度齐全得4分，缺1项</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1分</w:t>
            </w:r>
          </w:p>
        </w:tc>
        <w:tc>
          <w:tcPr>
            <w:tcW w:w="1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制度汇编文件</w:t>
            </w:r>
          </w:p>
        </w:tc>
        <w:tc>
          <w:tcPr>
            <w:tcW w:w="992" w:type="dxa"/>
            <w:noWrap w:val="0"/>
            <w:vAlign w:val="center"/>
          </w:tcPr>
          <w:p>
            <w:pPr>
              <w:jc w:val="center"/>
              <w:rPr>
                <w:rFonts w:hint="eastAsia" w:ascii="仿宋_GB2312" w:hAnsi="仿宋_GB2312" w:eastAsia="仿宋_GB2312" w:cs="仿宋_GB2312"/>
                <w:sz w:val="32"/>
                <w:szCs w:val="32"/>
                <w:vertAlign w:val="baseline"/>
              </w:rPr>
            </w:pPr>
          </w:p>
        </w:tc>
        <w:tc>
          <w:tcPr>
            <w:tcW w:w="816" w:type="dxa"/>
            <w:noWrap w:val="0"/>
            <w:vAlign w:val="center"/>
          </w:tcPr>
          <w:p>
            <w:pPr>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continue"/>
            <w:noWrap w:val="0"/>
            <w:vAlign w:val="center"/>
          </w:tcPr>
          <w:p>
            <w:pPr>
              <w:jc w:val="center"/>
              <w:rPr>
                <w:rFonts w:hint="eastAsia" w:ascii="仿宋_GB2312" w:hAnsi="仿宋_GB2312" w:eastAsia="仿宋_GB2312" w:cs="仿宋_GB2312"/>
                <w:sz w:val="32"/>
                <w:szCs w:val="32"/>
                <w:vertAlign w:val="baseline"/>
              </w:rPr>
            </w:pPr>
          </w:p>
        </w:tc>
        <w:tc>
          <w:tcPr>
            <w:tcW w:w="12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台账档案（4分）</w:t>
            </w:r>
          </w:p>
        </w:tc>
        <w:tc>
          <w:tcPr>
            <w:tcW w:w="4627"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1. 业务台账（借阅、活动、培训等）规范；        2. 人员信息、档案资料完整有序。</w:t>
            </w:r>
          </w:p>
        </w:tc>
        <w:tc>
          <w:tcPr>
            <w:tcW w:w="27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台账齐全得2分，档案规范得2分</w:t>
            </w:r>
          </w:p>
        </w:tc>
        <w:tc>
          <w:tcPr>
            <w:tcW w:w="1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各类台账、档案目录</w:t>
            </w:r>
          </w:p>
        </w:tc>
        <w:tc>
          <w:tcPr>
            <w:tcW w:w="992" w:type="dxa"/>
            <w:noWrap w:val="0"/>
            <w:vAlign w:val="center"/>
          </w:tcPr>
          <w:p>
            <w:pPr>
              <w:jc w:val="center"/>
              <w:rPr>
                <w:rFonts w:hint="eastAsia" w:ascii="仿宋_GB2312" w:hAnsi="仿宋_GB2312" w:eastAsia="仿宋_GB2312" w:cs="仿宋_GB2312"/>
                <w:sz w:val="32"/>
                <w:szCs w:val="32"/>
                <w:vertAlign w:val="baseline"/>
              </w:rPr>
            </w:pPr>
          </w:p>
        </w:tc>
        <w:tc>
          <w:tcPr>
            <w:tcW w:w="816" w:type="dxa"/>
            <w:noWrap w:val="0"/>
            <w:vAlign w:val="center"/>
          </w:tcPr>
          <w:p>
            <w:pPr>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continue"/>
            <w:noWrap w:val="0"/>
            <w:vAlign w:val="center"/>
          </w:tcPr>
          <w:p>
            <w:pPr>
              <w:jc w:val="center"/>
              <w:rPr>
                <w:rFonts w:hint="eastAsia" w:ascii="仿宋_GB2312" w:hAnsi="仿宋_GB2312" w:eastAsia="仿宋_GB2312" w:cs="仿宋_GB2312"/>
                <w:sz w:val="32"/>
                <w:szCs w:val="32"/>
                <w:vertAlign w:val="baseline"/>
              </w:rPr>
            </w:pPr>
          </w:p>
        </w:tc>
        <w:tc>
          <w:tcPr>
            <w:tcW w:w="12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安全管理（6分）</w:t>
            </w:r>
          </w:p>
        </w:tc>
        <w:tc>
          <w:tcPr>
            <w:tcW w:w="4627"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1. 定期开展安全检查、消防演练；                2. 图书及场所消毒记录完整；                    3. =无安全责任事故。</w:t>
            </w:r>
          </w:p>
        </w:tc>
        <w:tc>
          <w:tcPr>
            <w:tcW w:w="27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检查演练达标得2分，消毒记录完整得2分，无事故得2分</w:t>
            </w:r>
          </w:p>
        </w:tc>
        <w:tc>
          <w:tcPr>
            <w:tcW w:w="1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检查记录、演练照片、消毒台账</w:t>
            </w:r>
          </w:p>
        </w:tc>
        <w:tc>
          <w:tcPr>
            <w:tcW w:w="992" w:type="dxa"/>
            <w:noWrap w:val="0"/>
            <w:vAlign w:val="center"/>
          </w:tcPr>
          <w:p>
            <w:pPr>
              <w:jc w:val="center"/>
              <w:rPr>
                <w:rFonts w:hint="eastAsia" w:ascii="仿宋_GB2312" w:hAnsi="仿宋_GB2312" w:eastAsia="仿宋_GB2312" w:cs="仿宋_GB2312"/>
                <w:sz w:val="32"/>
                <w:szCs w:val="32"/>
                <w:vertAlign w:val="baseline"/>
              </w:rPr>
            </w:pPr>
          </w:p>
        </w:tc>
        <w:tc>
          <w:tcPr>
            <w:tcW w:w="816" w:type="dxa"/>
            <w:noWrap w:val="0"/>
            <w:vAlign w:val="center"/>
          </w:tcPr>
          <w:p>
            <w:pPr>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五、宣传推广与特色（15分）</w:t>
            </w:r>
          </w:p>
        </w:tc>
        <w:tc>
          <w:tcPr>
            <w:tcW w:w="12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宣传推广（5分）</w:t>
            </w:r>
          </w:p>
        </w:tc>
        <w:tc>
          <w:tcPr>
            <w:tcW w:w="4627" w:type="dxa"/>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u w:val="none"/>
                <w:lang w:val="en-US" w:eastAsia="zh-CN" w:bidi="ar"/>
              </w:rPr>
              <w:t>1. 通过新媒体、社区公告等渠道宣传服务及活动；</w:t>
            </w:r>
          </w:p>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2. 年度宣传报道≥6次。</w:t>
            </w:r>
          </w:p>
        </w:tc>
        <w:tc>
          <w:tcPr>
            <w:tcW w:w="27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宣传渠道多样得2分，报道达标得3分</w:t>
            </w:r>
          </w:p>
        </w:tc>
        <w:tc>
          <w:tcPr>
            <w:tcW w:w="1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宣传截图、报道凭证</w:t>
            </w:r>
          </w:p>
        </w:tc>
        <w:tc>
          <w:tcPr>
            <w:tcW w:w="992" w:type="dxa"/>
            <w:noWrap w:val="0"/>
            <w:vAlign w:val="center"/>
          </w:tcPr>
          <w:p>
            <w:pPr>
              <w:jc w:val="center"/>
              <w:rPr>
                <w:rFonts w:hint="eastAsia" w:ascii="仿宋_GB2312" w:hAnsi="仿宋_GB2312" w:eastAsia="仿宋_GB2312" w:cs="仿宋_GB2312"/>
                <w:sz w:val="32"/>
                <w:szCs w:val="32"/>
                <w:vertAlign w:val="baseline"/>
              </w:rPr>
            </w:pPr>
          </w:p>
        </w:tc>
        <w:tc>
          <w:tcPr>
            <w:tcW w:w="816" w:type="dxa"/>
            <w:noWrap w:val="0"/>
            <w:vAlign w:val="center"/>
          </w:tcPr>
          <w:p>
            <w:pPr>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continue"/>
            <w:noWrap w:val="0"/>
            <w:vAlign w:val="center"/>
          </w:tcPr>
          <w:p>
            <w:pPr>
              <w:jc w:val="center"/>
              <w:rPr>
                <w:rFonts w:hint="eastAsia" w:ascii="仿宋_GB2312" w:hAnsi="仿宋_GB2312" w:eastAsia="仿宋_GB2312" w:cs="仿宋_GB2312"/>
                <w:sz w:val="32"/>
                <w:szCs w:val="32"/>
                <w:vertAlign w:val="baseline"/>
              </w:rPr>
            </w:pPr>
          </w:p>
        </w:tc>
        <w:tc>
          <w:tcPr>
            <w:tcW w:w="12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b/>
                <w:bCs/>
                <w:i w:val="0"/>
                <w:iCs w:val="0"/>
                <w:color w:val="000000"/>
                <w:kern w:val="0"/>
                <w:sz w:val="24"/>
                <w:szCs w:val="24"/>
                <w:u w:val="none"/>
                <w:lang w:val="en-US" w:eastAsia="zh-CN" w:bidi="ar"/>
              </w:rPr>
              <w:t>特色服务（5分）</w:t>
            </w:r>
          </w:p>
        </w:tc>
        <w:tc>
          <w:tcPr>
            <w:tcW w:w="4627"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打造1-2个特色服务品牌（如产业阅读沙龙、少儿阅读成长计划等）。</w:t>
            </w:r>
          </w:p>
        </w:tc>
        <w:tc>
          <w:tcPr>
            <w:tcW w:w="27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有成熟特色品牌得5分，初步形成得2-3分</w:t>
            </w:r>
          </w:p>
        </w:tc>
        <w:tc>
          <w:tcPr>
            <w:tcW w:w="1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国标仿宋" w:hAnsi="国标仿宋" w:eastAsia="国标仿宋" w:cs="国标仿宋"/>
                <w:i w:val="0"/>
                <w:iCs w:val="0"/>
                <w:color w:val="000000"/>
                <w:kern w:val="0"/>
                <w:sz w:val="24"/>
                <w:szCs w:val="24"/>
                <w:u w:val="none"/>
                <w:lang w:val="en-US" w:eastAsia="zh-CN" w:bidi="ar"/>
              </w:rPr>
              <w:t>品牌方案、活动成果</w:t>
            </w:r>
          </w:p>
        </w:tc>
        <w:tc>
          <w:tcPr>
            <w:tcW w:w="992" w:type="dxa"/>
            <w:noWrap w:val="0"/>
            <w:vAlign w:val="center"/>
          </w:tcPr>
          <w:p>
            <w:pPr>
              <w:jc w:val="center"/>
              <w:rPr>
                <w:rFonts w:hint="eastAsia" w:ascii="仿宋_GB2312" w:hAnsi="仿宋_GB2312" w:eastAsia="仿宋_GB2312" w:cs="仿宋_GB2312"/>
                <w:sz w:val="32"/>
                <w:szCs w:val="32"/>
                <w:vertAlign w:val="baseline"/>
              </w:rPr>
            </w:pPr>
          </w:p>
        </w:tc>
        <w:tc>
          <w:tcPr>
            <w:tcW w:w="816" w:type="dxa"/>
            <w:noWrap w:val="0"/>
            <w:vAlign w:val="center"/>
          </w:tcPr>
          <w:p>
            <w:pPr>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continue"/>
            <w:noWrap w:val="0"/>
            <w:vAlign w:val="center"/>
          </w:tcPr>
          <w:p>
            <w:pPr>
              <w:jc w:val="center"/>
              <w:rPr>
                <w:rFonts w:hint="eastAsia" w:ascii="仿宋_GB2312" w:hAnsi="仿宋_GB2312" w:eastAsia="仿宋_GB2312" w:cs="仿宋_GB2312"/>
                <w:sz w:val="32"/>
                <w:szCs w:val="32"/>
                <w:vertAlign w:val="baseline"/>
              </w:rPr>
            </w:pPr>
          </w:p>
        </w:tc>
        <w:tc>
          <w:tcPr>
            <w:tcW w:w="1235" w:type="dxa"/>
            <w:noWrap w:val="0"/>
            <w:vAlign w:val="center"/>
          </w:tcPr>
          <w:p>
            <w:pPr>
              <w:keepNext w:val="0"/>
              <w:keepLines w:val="0"/>
              <w:widowControl/>
              <w:suppressLineNumbers w:val="0"/>
              <w:jc w:val="center"/>
              <w:textAlignment w:val="center"/>
              <w:rPr>
                <w:rFonts w:hint="eastAsia" w:ascii="国标仿宋" w:hAnsi="国标仿宋" w:eastAsia="国标仿宋" w:cs="国标仿宋"/>
                <w:b/>
                <w:bCs/>
                <w:i w:val="0"/>
                <w:iCs w:val="0"/>
                <w:color w:val="000000"/>
                <w:kern w:val="0"/>
                <w:sz w:val="24"/>
                <w:szCs w:val="24"/>
                <w:u w:val="none"/>
                <w:lang w:val="en-US" w:eastAsia="zh-CN" w:bidi="ar"/>
              </w:rPr>
            </w:pPr>
            <w:r>
              <w:rPr>
                <w:rFonts w:hint="eastAsia" w:ascii="国标仿宋" w:hAnsi="国标仿宋" w:eastAsia="国标仿宋" w:cs="国标仿宋"/>
                <w:b/>
                <w:bCs/>
                <w:i w:val="0"/>
                <w:iCs w:val="0"/>
                <w:color w:val="000000"/>
                <w:kern w:val="0"/>
                <w:sz w:val="24"/>
                <w:szCs w:val="24"/>
                <w:u w:val="none"/>
                <w:lang w:val="en-US" w:eastAsia="zh-CN" w:bidi="ar"/>
              </w:rPr>
              <w:t>读者满意度（5分）</w:t>
            </w:r>
          </w:p>
        </w:tc>
        <w:tc>
          <w:tcPr>
            <w:tcW w:w="4627" w:type="dxa"/>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u w:val="none"/>
                <w:lang w:val="en-US" w:eastAsia="zh-CN" w:bidi="ar"/>
              </w:rPr>
              <w:t>开展读者满意度调查，满意度≥90%。</w:t>
            </w:r>
          </w:p>
        </w:tc>
        <w:tc>
          <w:tcPr>
            <w:tcW w:w="2735" w:type="dxa"/>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u w:val="none"/>
                <w:lang w:val="en-US" w:eastAsia="zh-CN" w:bidi="ar"/>
              </w:rPr>
              <w:t>95%以上得5分，90%-95%得3分，80%-90%得1分，80%以下得0分</w:t>
            </w:r>
          </w:p>
        </w:tc>
        <w:tc>
          <w:tcPr>
            <w:tcW w:w="1834" w:type="dxa"/>
            <w:noWrap w:val="0"/>
            <w:vAlign w:val="center"/>
          </w:tcPr>
          <w:p>
            <w:pPr>
              <w:keepNext w:val="0"/>
              <w:keepLines w:val="0"/>
              <w:widowControl/>
              <w:suppressLineNumbers w:val="0"/>
              <w:jc w:val="center"/>
              <w:textAlignment w:val="center"/>
              <w:rPr>
                <w:rFonts w:hint="eastAsia" w:ascii="国标仿宋" w:hAnsi="国标仿宋" w:eastAsia="国标仿宋" w:cs="国标仿宋"/>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u w:val="none"/>
                <w:lang w:val="en-US" w:eastAsia="zh-CN" w:bidi="ar"/>
              </w:rPr>
              <w:t>满意度调查报告</w:t>
            </w:r>
          </w:p>
        </w:tc>
        <w:tc>
          <w:tcPr>
            <w:tcW w:w="992" w:type="dxa"/>
            <w:noWrap w:val="0"/>
            <w:vAlign w:val="center"/>
          </w:tcPr>
          <w:p>
            <w:pPr>
              <w:jc w:val="center"/>
              <w:rPr>
                <w:rFonts w:hint="eastAsia" w:ascii="仿宋_GB2312" w:hAnsi="仿宋_GB2312" w:eastAsia="仿宋_GB2312" w:cs="仿宋_GB2312"/>
                <w:sz w:val="32"/>
                <w:szCs w:val="32"/>
                <w:vertAlign w:val="baseline"/>
              </w:rPr>
            </w:pPr>
          </w:p>
        </w:tc>
        <w:tc>
          <w:tcPr>
            <w:tcW w:w="816" w:type="dxa"/>
            <w:noWrap w:val="0"/>
            <w:vAlign w:val="center"/>
          </w:tcPr>
          <w:p>
            <w:pPr>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3" w:type="dxa"/>
            <w:gridSpan w:val="2"/>
            <w:noWrap w:val="0"/>
            <w:vAlign w:val="center"/>
          </w:tcPr>
          <w:p>
            <w:pPr>
              <w:keepNext w:val="0"/>
              <w:keepLines w:val="0"/>
              <w:widowControl/>
              <w:suppressLineNumbers w:val="0"/>
              <w:jc w:val="center"/>
              <w:textAlignment w:val="center"/>
              <w:rPr>
                <w:rFonts w:hint="eastAsia" w:ascii="国标仿宋" w:hAnsi="国标仿宋" w:eastAsia="国标仿宋" w:cs="国标仿宋"/>
                <w:b/>
                <w:bCs/>
                <w:i w:val="0"/>
                <w:iCs w:val="0"/>
                <w:color w:val="000000"/>
                <w:kern w:val="0"/>
                <w:sz w:val="24"/>
                <w:szCs w:val="24"/>
                <w:u w:val="none"/>
                <w:lang w:val="en-US" w:eastAsia="zh-CN" w:bidi="ar"/>
              </w:rPr>
            </w:pPr>
            <w:r>
              <w:rPr>
                <w:rFonts w:hint="eastAsia" w:ascii="国标仿宋" w:hAnsi="国标仿宋" w:eastAsia="国标仿宋" w:cs="国标仿宋"/>
                <w:b/>
                <w:bCs/>
                <w:i w:val="0"/>
                <w:iCs w:val="0"/>
                <w:color w:val="000000"/>
                <w:kern w:val="0"/>
                <w:sz w:val="24"/>
                <w:szCs w:val="24"/>
                <w:u w:val="none"/>
                <w:lang w:val="en-US" w:eastAsia="zh-CN" w:bidi="ar"/>
              </w:rPr>
              <w:t>加分项（最高5分）</w:t>
            </w:r>
          </w:p>
        </w:tc>
        <w:tc>
          <w:tcPr>
            <w:tcW w:w="7362" w:type="dxa"/>
            <w:gridSpan w:val="2"/>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u w:val="none"/>
                <w:lang w:val="en-US" w:eastAsia="zh-CN" w:bidi="ar"/>
              </w:rPr>
              <w:t>1. 获得区级及以上荣誉表彰；</w:t>
            </w:r>
          </w:p>
          <w:p>
            <w:pPr>
              <w:keepNext w:val="0"/>
              <w:keepLines w:val="0"/>
              <w:widowControl/>
              <w:suppressLineNumbers w:val="0"/>
              <w:jc w:val="left"/>
              <w:textAlignment w:val="center"/>
              <w:rPr>
                <w:rFonts w:hint="eastAsia" w:ascii="国标仿宋" w:hAnsi="国标仿宋" w:eastAsia="国标仿宋" w:cs="国标仿宋"/>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u w:val="none"/>
                <w:lang w:val="en-US" w:eastAsia="zh-CN" w:bidi="ar"/>
              </w:rPr>
              <w:t>2. 创新服务模式（如24小时自助服务、流动阅读点）；</w:t>
            </w:r>
          </w:p>
          <w:p>
            <w:pPr>
              <w:keepNext w:val="0"/>
              <w:keepLines w:val="0"/>
              <w:widowControl/>
              <w:suppressLineNumbers w:val="0"/>
              <w:jc w:val="left"/>
              <w:textAlignment w:val="center"/>
              <w:rPr>
                <w:rFonts w:hint="eastAsia" w:ascii="国标仿宋" w:hAnsi="国标仿宋" w:eastAsia="国标仿宋" w:cs="国标仿宋"/>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u w:val="none"/>
                <w:lang w:val="en-US" w:eastAsia="zh-CN" w:bidi="ar"/>
              </w:rPr>
              <w:t>3. 志愿者服务体系完善（年服务时长≥500小时）。</w:t>
            </w:r>
          </w:p>
        </w:tc>
        <w:tc>
          <w:tcPr>
            <w:tcW w:w="1834" w:type="dxa"/>
            <w:noWrap w:val="0"/>
            <w:vAlign w:val="center"/>
          </w:tcPr>
          <w:p>
            <w:pPr>
              <w:keepNext w:val="0"/>
              <w:keepLines w:val="0"/>
              <w:widowControl/>
              <w:suppressLineNumbers w:val="0"/>
              <w:jc w:val="center"/>
              <w:textAlignment w:val="center"/>
              <w:rPr>
                <w:rFonts w:hint="eastAsia" w:ascii="国标仿宋" w:hAnsi="国标仿宋" w:eastAsia="国标仿宋" w:cs="国标仿宋"/>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u w:val="none"/>
                <w:lang w:val="en-US" w:eastAsia="zh-CN" w:bidi="ar"/>
              </w:rPr>
              <w:t>荣誉证书、创新方案、志愿者台账</w:t>
            </w:r>
          </w:p>
        </w:tc>
        <w:tc>
          <w:tcPr>
            <w:tcW w:w="992" w:type="dxa"/>
            <w:noWrap w:val="0"/>
            <w:vAlign w:val="center"/>
          </w:tcPr>
          <w:p>
            <w:pPr>
              <w:jc w:val="center"/>
              <w:rPr>
                <w:rFonts w:hint="eastAsia" w:ascii="仿宋_GB2312" w:hAnsi="仿宋_GB2312" w:eastAsia="仿宋_GB2312" w:cs="仿宋_GB2312"/>
                <w:sz w:val="32"/>
                <w:szCs w:val="32"/>
                <w:vertAlign w:val="baseline"/>
              </w:rPr>
            </w:pPr>
          </w:p>
        </w:tc>
        <w:tc>
          <w:tcPr>
            <w:tcW w:w="816" w:type="dxa"/>
            <w:noWrap w:val="0"/>
            <w:vAlign w:val="center"/>
          </w:tcPr>
          <w:p>
            <w:pPr>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3" w:type="dxa"/>
            <w:gridSpan w:val="2"/>
            <w:noWrap w:val="0"/>
            <w:vAlign w:val="center"/>
          </w:tcPr>
          <w:p>
            <w:pPr>
              <w:keepNext w:val="0"/>
              <w:keepLines w:val="0"/>
              <w:widowControl/>
              <w:suppressLineNumbers w:val="0"/>
              <w:jc w:val="center"/>
              <w:textAlignment w:val="center"/>
              <w:rPr>
                <w:rFonts w:hint="eastAsia" w:ascii="国标仿宋" w:hAnsi="国标仿宋" w:eastAsia="国标仿宋" w:cs="国标仿宋"/>
                <w:b/>
                <w:bCs/>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b/>
                <w:bCs/>
                <w:i w:val="0"/>
                <w:iCs w:val="0"/>
                <w:color w:val="000000"/>
                <w:kern w:val="0"/>
                <w:sz w:val="24"/>
                <w:szCs w:val="24"/>
                <w:u w:val="none"/>
                <w:lang w:val="en-US" w:eastAsia="zh-CN" w:bidi="ar"/>
              </w:rPr>
              <w:t>分项（可</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b/>
                <w:bCs/>
                <w:i w:val="0"/>
                <w:iCs w:val="0"/>
                <w:color w:val="000000"/>
                <w:kern w:val="0"/>
                <w:sz w:val="24"/>
                <w:szCs w:val="24"/>
                <w:u w:val="none"/>
                <w:lang w:val="en-US" w:eastAsia="zh-CN" w:bidi="ar"/>
              </w:rPr>
              <w:t>完）</w:t>
            </w:r>
          </w:p>
        </w:tc>
        <w:tc>
          <w:tcPr>
            <w:tcW w:w="7362" w:type="dxa"/>
            <w:gridSpan w:val="2"/>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u w:val="none"/>
                <w:lang w:val="en-US" w:eastAsia="zh-CN" w:bidi="ar"/>
              </w:rPr>
              <w:t>1. 无故闭馆1次</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 xml:space="preserve">2分； </w:t>
            </w:r>
          </w:p>
          <w:p>
            <w:pPr>
              <w:keepNext w:val="0"/>
              <w:keepLines w:val="0"/>
              <w:widowControl/>
              <w:suppressLineNumbers w:val="0"/>
              <w:jc w:val="left"/>
              <w:textAlignment w:val="center"/>
              <w:rPr>
                <w:rFonts w:hint="eastAsia" w:ascii="国标仿宋" w:hAnsi="国标仿宋" w:eastAsia="国标仿宋" w:cs="国标仿宋"/>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u w:val="none"/>
                <w:lang w:val="en-US" w:eastAsia="zh-CN" w:bidi="ar"/>
              </w:rPr>
              <w:t>2. 发生安全责任事故</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10-20分；</w:t>
            </w:r>
          </w:p>
          <w:p>
            <w:pPr>
              <w:keepNext w:val="0"/>
              <w:keepLines w:val="0"/>
              <w:widowControl/>
              <w:suppressLineNumbers w:val="0"/>
              <w:jc w:val="left"/>
              <w:textAlignment w:val="center"/>
              <w:rPr>
                <w:rFonts w:hint="eastAsia" w:ascii="国标仿宋" w:hAnsi="国标仿宋" w:eastAsia="国标仿宋" w:cs="国标仿宋"/>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u w:val="none"/>
                <w:lang w:val="en-US" w:eastAsia="zh-CN" w:bidi="ar"/>
              </w:rPr>
              <w:t>3. 读者有效投诉未处理1次</w:t>
            </w:r>
            <w:r>
              <w:rPr>
                <w:rFonts w:hint="eastAsia" w:ascii="国标仿宋" w:hAnsi="国标仿宋" w:eastAsia="国标仿宋" w:cs="国标仿宋"/>
                <w:i w:val="0"/>
                <w:iCs w:val="0"/>
                <w:color w:val="000000"/>
                <w:kern w:val="0"/>
                <w:sz w:val="24"/>
                <w:szCs w:val="24"/>
                <w:highlight w:val="none"/>
                <w:u w:val="none"/>
                <w:lang w:val="en-US" w:eastAsia="zh-CN" w:bidi="ar"/>
              </w:rPr>
              <w:t>减</w:t>
            </w:r>
            <w:r>
              <w:rPr>
                <w:rFonts w:hint="eastAsia" w:ascii="国标仿宋" w:hAnsi="国标仿宋" w:eastAsia="国标仿宋" w:cs="国标仿宋"/>
                <w:i w:val="0"/>
                <w:iCs w:val="0"/>
                <w:color w:val="000000"/>
                <w:kern w:val="0"/>
                <w:sz w:val="24"/>
                <w:szCs w:val="24"/>
                <w:u w:val="none"/>
                <w:lang w:val="en-US" w:eastAsia="zh-CN" w:bidi="ar"/>
              </w:rPr>
              <w:t>3分</w:t>
            </w:r>
          </w:p>
        </w:tc>
        <w:tc>
          <w:tcPr>
            <w:tcW w:w="1834" w:type="dxa"/>
            <w:noWrap w:val="0"/>
            <w:vAlign w:val="center"/>
          </w:tcPr>
          <w:p>
            <w:pPr>
              <w:keepNext w:val="0"/>
              <w:keepLines w:val="0"/>
              <w:widowControl/>
              <w:suppressLineNumbers w:val="0"/>
              <w:jc w:val="center"/>
              <w:textAlignment w:val="center"/>
              <w:rPr>
                <w:rFonts w:hint="eastAsia" w:ascii="国标仿宋" w:hAnsi="国标仿宋" w:eastAsia="国标仿宋" w:cs="国标仿宋"/>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u w:val="none"/>
                <w:lang w:val="en-US" w:eastAsia="zh-CN" w:bidi="ar"/>
              </w:rPr>
              <w:t>相关核查记录</w:t>
            </w:r>
          </w:p>
        </w:tc>
        <w:tc>
          <w:tcPr>
            <w:tcW w:w="992" w:type="dxa"/>
            <w:noWrap w:val="0"/>
            <w:vAlign w:val="center"/>
          </w:tcPr>
          <w:p>
            <w:pPr>
              <w:jc w:val="center"/>
              <w:rPr>
                <w:rFonts w:hint="eastAsia" w:ascii="仿宋_GB2312" w:hAnsi="仿宋_GB2312" w:eastAsia="仿宋_GB2312" w:cs="仿宋_GB2312"/>
                <w:sz w:val="32"/>
                <w:szCs w:val="32"/>
                <w:vertAlign w:val="baseline"/>
              </w:rPr>
            </w:pPr>
          </w:p>
        </w:tc>
        <w:tc>
          <w:tcPr>
            <w:tcW w:w="816" w:type="dxa"/>
            <w:noWrap w:val="0"/>
            <w:vAlign w:val="center"/>
          </w:tcPr>
          <w:p>
            <w:pPr>
              <w:jc w:val="center"/>
              <w:rPr>
                <w:rFonts w:hint="eastAsia" w:ascii="仿宋_GB2312" w:hAnsi="仿宋_GB2312" w:eastAsia="仿宋_GB2312" w:cs="仿宋_GB2312"/>
                <w:sz w:val="32"/>
                <w:szCs w:val="32"/>
                <w:vertAlign w:val="baseline"/>
              </w:rPr>
            </w:pPr>
          </w:p>
        </w:tc>
      </w:tr>
    </w:tbl>
    <w:p>
      <w:pPr>
        <w:spacing w:line="580" w:lineRule="exact"/>
        <w:rPr>
          <w:rFonts w:hint="eastAsia" w:ascii="仿宋_GB2312" w:hAnsi="仿宋_GB2312" w:eastAsia="仿宋_GB2312" w:cs="仿宋_GB2312"/>
          <w:sz w:val="32"/>
          <w:szCs w:val="32"/>
        </w:rPr>
      </w:pPr>
    </w:p>
    <w:sectPr>
      <w:pgSz w:w="16838" w:h="11906" w:orient="landscape"/>
      <w:pgMar w:top="1587" w:right="2098" w:bottom="1474" w:left="1984" w:header="851" w:footer="992" w:gutter="0"/>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CESI仿宋-GB2312">
    <w:altName w:val="方正仿宋_GBK"/>
    <w:panose1 w:val="02000500000000000000"/>
    <w:charset w:val="86"/>
    <w:family w:val="auto"/>
    <w:pitch w:val="default"/>
    <w:sig w:usb0="00000000" w:usb1="00000000"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国标仿宋">
    <w:panose1 w:val="02000500000000000000"/>
    <w:charset w:val="86"/>
    <w:family w:val="auto"/>
    <w:pitch w:val="default"/>
    <w:sig w:usb0="A00002BF" w:usb1="38C77CFA" w:usb2="00000016" w:usb3="00000000" w:csb0="00060007"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sz w:val="21"/>
                              <w:szCs w:val="32"/>
                              <w:lang w:val="en-US" w:eastAsia="zh-CN"/>
                            </w:rPr>
                          </w:pPr>
                          <w:r>
                            <w:rPr>
                              <w:rFonts w:hint="eastAsia"/>
                              <w:sz w:val="21"/>
                              <w:szCs w:val="32"/>
                              <w:lang w:eastAsia="zh-CN"/>
                            </w:rPr>
                            <w:t>—</w:t>
                          </w:r>
                          <w:r>
                            <w:rPr>
                              <w:rFonts w:hint="eastAsia"/>
                              <w:sz w:val="21"/>
                              <w:szCs w:val="32"/>
                              <w:lang w:val="en-US" w:eastAsia="zh-CN"/>
                            </w:rPr>
                            <w:t xml:space="preserve">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rFonts w:hint="eastAsia"/>
                              <w:sz w:val="21"/>
                              <w:szCs w:val="3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eastAsia" w:eastAsia="宋体"/>
                        <w:sz w:val="21"/>
                        <w:szCs w:val="32"/>
                        <w:lang w:val="en-US" w:eastAsia="zh-CN"/>
                      </w:rPr>
                    </w:pPr>
                    <w:r>
                      <w:rPr>
                        <w:rFonts w:hint="eastAsia"/>
                        <w:sz w:val="21"/>
                        <w:szCs w:val="32"/>
                        <w:lang w:eastAsia="zh-CN"/>
                      </w:rPr>
                      <w:t>—</w:t>
                    </w:r>
                    <w:r>
                      <w:rPr>
                        <w:rFonts w:hint="eastAsia"/>
                        <w:sz w:val="21"/>
                        <w:szCs w:val="32"/>
                        <w:lang w:val="en-US" w:eastAsia="zh-CN"/>
                      </w:rPr>
                      <w:t xml:space="preserve">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rFonts w:hint="eastAsia"/>
                        <w:sz w:val="21"/>
                        <w:szCs w:val="32"/>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A034B"/>
    <w:multiLevelType w:val="singleLevel"/>
    <w:tmpl w:val="AFEA034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iNjQ4NzcwMmIwNDQ2NGYyMjAwZjI3ZDNjNTViZWQifQ=="/>
  </w:docVars>
  <w:rsids>
    <w:rsidRoot w:val="FF4F388F"/>
    <w:rsid w:val="0CF595D1"/>
    <w:rsid w:val="15C00A3E"/>
    <w:rsid w:val="1A6FBA85"/>
    <w:rsid w:val="1D4788E0"/>
    <w:rsid w:val="1E0E2891"/>
    <w:rsid w:val="253F4657"/>
    <w:rsid w:val="25AC3881"/>
    <w:rsid w:val="27A9AAE9"/>
    <w:rsid w:val="27D7C19A"/>
    <w:rsid w:val="27FD6931"/>
    <w:rsid w:val="294A7F44"/>
    <w:rsid w:val="2BFFA242"/>
    <w:rsid w:val="2EF9261C"/>
    <w:rsid w:val="2F94493E"/>
    <w:rsid w:val="2FE907FD"/>
    <w:rsid w:val="2FFE0038"/>
    <w:rsid w:val="30F7851E"/>
    <w:rsid w:val="3F7F05BC"/>
    <w:rsid w:val="3FCFFFC7"/>
    <w:rsid w:val="3FD7B6B5"/>
    <w:rsid w:val="41BF1594"/>
    <w:rsid w:val="469D46E9"/>
    <w:rsid w:val="4751A962"/>
    <w:rsid w:val="47B790B7"/>
    <w:rsid w:val="4877302A"/>
    <w:rsid w:val="499FE40A"/>
    <w:rsid w:val="49DF14F9"/>
    <w:rsid w:val="4D8E1DD7"/>
    <w:rsid w:val="4EE7EFAF"/>
    <w:rsid w:val="4FFB28B5"/>
    <w:rsid w:val="4FFF2176"/>
    <w:rsid w:val="52691BF6"/>
    <w:rsid w:val="52EED185"/>
    <w:rsid w:val="53FF3FF9"/>
    <w:rsid w:val="55A6E3B9"/>
    <w:rsid w:val="55BE4124"/>
    <w:rsid w:val="563F688B"/>
    <w:rsid w:val="565FFF30"/>
    <w:rsid w:val="56FDF688"/>
    <w:rsid w:val="577F7240"/>
    <w:rsid w:val="577FC82B"/>
    <w:rsid w:val="591C41D0"/>
    <w:rsid w:val="5A13A8E3"/>
    <w:rsid w:val="5CCF894A"/>
    <w:rsid w:val="5CDBB820"/>
    <w:rsid w:val="5E0B50A0"/>
    <w:rsid w:val="5EE7D0A8"/>
    <w:rsid w:val="5EF274AE"/>
    <w:rsid w:val="5FAF3CDB"/>
    <w:rsid w:val="5FB45618"/>
    <w:rsid w:val="5FFFA7F2"/>
    <w:rsid w:val="62477A27"/>
    <w:rsid w:val="657B1338"/>
    <w:rsid w:val="65BD69A4"/>
    <w:rsid w:val="67BB176D"/>
    <w:rsid w:val="67D5EB0C"/>
    <w:rsid w:val="67FA01B2"/>
    <w:rsid w:val="67FB5EFF"/>
    <w:rsid w:val="6B6DB4D2"/>
    <w:rsid w:val="6BD9F94D"/>
    <w:rsid w:val="6CCC0AE0"/>
    <w:rsid w:val="6CEFDE0B"/>
    <w:rsid w:val="6DE77711"/>
    <w:rsid w:val="6F7CD8BC"/>
    <w:rsid w:val="6FCF5686"/>
    <w:rsid w:val="6FD62670"/>
    <w:rsid w:val="6FEF3029"/>
    <w:rsid w:val="6FF75F89"/>
    <w:rsid w:val="6FFB7CFD"/>
    <w:rsid w:val="6FFDEBA2"/>
    <w:rsid w:val="6FFF00CC"/>
    <w:rsid w:val="700B0193"/>
    <w:rsid w:val="70401392"/>
    <w:rsid w:val="70F70D18"/>
    <w:rsid w:val="715F8A48"/>
    <w:rsid w:val="72A008B4"/>
    <w:rsid w:val="72BB4119"/>
    <w:rsid w:val="72FE147F"/>
    <w:rsid w:val="73ED09C1"/>
    <w:rsid w:val="75F72402"/>
    <w:rsid w:val="75FBB189"/>
    <w:rsid w:val="76FF1D82"/>
    <w:rsid w:val="76FF2AA4"/>
    <w:rsid w:val="776F02F8"/>
    <w:rsid w:val="7777ECB1"/>
    <w:rsid w:val="77CB7B42"/>
    <w:rsid w:val="77DAAE1A"/>
    <w:rsid w:val="77FB825F"/>
    <w:rsid w:val="77FE5AF8"/>
    <w:rsid w:val="79AF9A0D"/>
    <w:rsid w:val="79FCCE51"/>
    <w:rsid w:val="7B770CD9"/>
    <w:rsid w:val="7B7F1A7C"/>
    <w:rsid w:val="7BC67F6E"/>
    <w:rsid w:val="7CFC4893"/>
    <w:rsid w:val="7DDB6A7A"/>
    <w:rsid w:val="7DE7CD65"/>
    <w:rsid w:val="7DFD2D8D"/>
    <w:rsid w:val="7EF60A6B"/>
    <w:rsid w:val="7F5FCDF2"/>
    <w:rsid w:val="7F6B6AB1"/>
    <w:rsid w:val="7F760B21"/>
    <w:rsid w:val="7F767E97"/>
    <w:rsid w:val="7F781C50"/>
    <w:rsid w:val="7F87CDA2"/>
    <w:rsid w:val="7FB74E26"/>
    <w:rsid w:val="7FBD07A7"/>
    <w:rsid w:val="7FED95A7"/>
    <w:rsid w:val="7FF4FD7B"/>
    <w:rsid w:val="7FFB2F28"/>
    <w:rsid w:val="8DFF0E17"/>
    <w:rsid w:val="8F7607B7"/>
    <w:rsid w:val="93F7478E"/>
    <w:rsid w:val="97D9F268"/>
    <w:rsid w:val="9E1F7E30"/>
    <w:rsid w:val="9EFFAAAF"/>
    <w:rsid w:val="9F3F581A"/>
    <w:rsid w:val="AB1F4719"/>
    <w:rsid w:val="ADBFD76A"/>
    <w:rsid w:val="AEF11A43"/>
    <w:rsid w:val="AFCD733F"/>
    <w:rsid w:val="B6CF8338"/>
    <w:rsid w:val="B6FDD269"/>
    <w:rsid w:val="B79FE647"/>
    <w:rsid w:val="B7DFAAB6"/>
    <w:rsid w:val="B8FF1B5B"/>
    <w:rsid w:val="BAFFC532"/>
    <w:rsid w:val="BB7FF94E"/>
    <w:rsid w:val="BBB69513"/>
    <w:rsid w:val="BBBFAC05"/>
    <w:rsid w:val="BDF0767A"/>
    <w:rsid w:val="BDFF0192"/>
    <w:rsid w:val="BFE57C84"/>
    <w:rsid w:val="C7ADC41A"/>
    <w:rsid w:val="CBB73A4E"/>
    <w:rsid w:val="CF5F363E"/>
    <w:rsid w:val="CFA790CA"/>
    <w:rsid w:val="D4F7475F"/>
    <w:rsid w:val="D7E9D6BD"/>
    <w:rsid w:val="D8BF117F"/>
    <w:rsid w:val="D8FBDEEC"/>
    <w:rsid w:val="D9FDF811"/>
    <w:rsid w:val="DE7EE395"/>
    <w:rsid w:val="DEDDC376"/>
    <w:rsid w:val="DEFD2664"/>
    <w:rsid w:val="DF66DD91"/>
    <w:rsid w:val="DFAC2161"/>
    <w:rsid w:val="DFAD859E"/>
    <w:rsid w:val="DFE79745"/>
    <w:rsid w:val="DFEF36E0"/>
    <w:rsid w:val="DFFB9CA9"/>
    <w:rsid w:val="DFFBEC31"/>
    <w:rsid w:val="DFFF73AF"/>
    <w:rsid w:val="E59D401A"/>
    <w:rsid w:val="E7BA5547"/>
    <w:rsid w:val="E99D5C5B"/>
    <w:rsid w:val="E99F3C88"/>
    <w:rsid w:val="E9C43FA0"/>
    <w:rsid w:val="EAEF680F"/>
    <w:rsid w:val="EB7768B8"/>
    <w:rsid w:val="EBFFB916"/>
    <w:rsid w:val="ECF6B1DF"/>
    <w:rsid w:val="ED7E16F6"/>
    <w:rsid w:val="EDEBD536"/>
    <w:rsid w:val="EF172C8A"/>
    <w:rsid w:val="EF4FF913"/>
    <w:rsid w:val="F24D1329"/>
    <w:rsid w:val="F3F781EC"/>
    <w:rsid w:val="F7B710C0"/>
    <w:rsid w:val="F7DEEF59"/>
    <w:rsid w:val="F7F58198"/>
    <w:rsid w:val="F89F56C9"/>
    <w:rsid w:val="FADEA66F"/>
    <w:rsid w:val="FAFDC0E5"/>
    <w:rsid w:val="FBFE84E1"/>
    <w:rsid w:val="FDAB1A62"/>
    <w:rsid w:val="FDBF8210"/>
    <w:rsid w:val="FDFBFADC"/>
    <w:rsid w:val="FE6995E6"/>
    <w:rsid w:val="FE69F7AE"/>
    <w:rsid w:val="FF2F46C0"/>
    <w:rsid w:val="FF4F388F"/>
    <w:rsid w:val="FF6FC056"/>
    <w:rsid w:val="FF74D366"/>
    <w:rsid w:val="FF931DE2"/>
    <w:rsid w:val="FFABD1DC"/>
    <w:rsid w:val="FFBD0C2F"/>
    <w:rsid w:val="FFBFC364"/>
    <w:rsid w:val="FFC36113"/>
    <w:rsid w:val="FFCACC05"/>
    <w:rsid w:val="FFCBB478"/>
    <w:rsid w:val="FFD74F81"/>
    <w:rsid w:val="FFD7529C"/>
    <w:rsid w:val="FFF3A9B4"/>
    <w:rsid w:val="FFF79EF6"/>
    <w:rsid w:val="FFFA6871"/>
    <w:rsid w:val="FFFD20A1"/>
    <w:rsid w:val="FFFE22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admin/Desktop/2026&#24180;01&#26376;08&#26085;&#8212;&#8212;&#33883;&#24215;&#32463;&#24320;&#21306;&#25903;&#25345;&#25991;&#21270;&#26053;&#28216;&#20135;&#19994;&#21457;&#23637;&#30340;&#33509;&#24178;&#25514;&#2604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2026年01月08日——葛店经开区支持文化旅游产业发展的若干措施.dot</Template>
  <Pages>21</Pages>
  <Words>3753</Words>
  <Characters>3834</Characters>
  <Lines>0</Lines>
  <Paragraphs>0</Paragraphs>
  <TotalTime>7</TotalTime>
  <ScaleCrop>false</ScaleCrop>
  <LinksUpToDate>false</LinksUpToDate>
  <CharactersWithSpaces>3838</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2026-01-11T16:54:00Z</dcterms:created>
  <dc:creator>admin</dc:creator>
  <cp:lastModifiedBy>cx518</cp:lastModifiedBy>
  <cp:lastPrinted>2026-01-22T01:33:00Z</cp:lastPrinted>
  <dcterms:modified xsi:type="dcterms:W3CDTF">2026-03-13T13:52:22Z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2BD0A6E17F09E517F8496069FB3A6974_43</vt:lpwstr>
  </property>
</Properties>
</file>