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700E2">
      <w:pPr>
        <w:rPr>
          <w:rFonts w:hint="eastAsia"/>
          <w:color w:val="auto"/>
        </w:rPr>
      </w:pPr>
    </w:p>
    <w:p w14:paraId="5C188FBE">
      <w:pPr>
        <w:jc w:val="right"/>
        <w:rPr>
          <w:rFonts w:hint="eastAsia" w:ascii="宋体" w:hAnsi="宋体"/>
          <w:b/>
          <w:bCs/>
          <w:color w:val="auto"/>
          <w:sz w:val="32"/>
          <w:szCs w:val="32"/>
        </w:rPr>
      </w:pPr>
    </w:p>
    <w:p w14:paraId="7CA17DA3">
      <w:pPr>
        <w:jc w:val="right"/>
        <w:rPr>
          <w:rFonts w:ascii="宋体"/>
          <w:color w:val="auto"/>
        </w:rPr>
      </w:pPr>
      <w:r>
        <w:rPr>
          <w:rFonts w:hint="eastAsia" w:ascii="宋体" w:hAnsi="宋体"/>
          <w:b/>
          <w:bCs/>
          <w:color w:val="auto"/>
          <w:sz w:val="32"/>
          <w:szCs w:val="32"/>
        </w:rPr>
        <w:t>国环评证乙字第</w:t>
      </w:r>
      <w:r>
        <w:rPr>
          <w:rFonts w:hint="eastAsia" w:ascii="宋体" w:hAnsi="宋体"/>
          <w:b/>
          <w:bCs/>
          <w:color w:val="auto"/>
          <w:sz w:val="32"/>
          <w:szCs w:val="32"/>
          <w:lang w:val="en-US" w:eastAsia="zh-CN"/>
        </w:rPr>
        <w:t>1836</w:t>
      </w:r>
      <w:r>
        <w:rPr>
          <w:rFonts w:hint="eastAsia" w:ascii="宋体" w:hAnsi="宋体"/>
          <w:b/>
          <w:bCs/>
          <w:color w:val="auto"/>
          <w:sz w:val="32"/>
          <w:szCs w:val="32"/>
        </w:rPr>
        <w:t>号</w:t>
      </w:r>
    </w:p>
    <w:p w14:paraId="5BADA58A">
      <w:pPr>
        <w:rPr>
          <w:color w:val="auto"/>
        </w:rPr>
      </w:pPr>
      <w:r>
        <w:rPr>
          <w:color w:val="auto"/>
        </w:rPr>
        <w:drawing>
          <wp:inline distT="0" distB="0" distL="114300" distR="114300">
            <wp:extent cx="5781675" cy="28575"/>
            <wp:effectExtent l="0" t="0" r="952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r:link="rId7"/>
                    <a:stretch>
                      <a:fillRect/>
                    </a:stretch>
                  </pic:blipFill>
                  <pic:spPr>
                    <a:xfrm>
                      <a:off x="0" y="0"/>
                      <a:ext cx="5781675" cy="28575"/>
                    </a:xfrm>
                    <a:prstGeom prst="rect">
                      <a:avLst/>
                    </a:prstGeom>
                    <a:noFill/>
                    <a:ln w="9525">
                      <a:noFill/>
                    </a:ln>
                  </pic:spPr>
                </pic:pic>
              </a:graphicData>
            </a:graphic>
          </wp:inline>
        </w:drawing>
      </w:r>
    </w:p>
    <w:p w14:paraId="1F958BD3">
      <w:pPr>
        <w:rPr>
          <w:color w:val="auto"/>
        </w:rPr>
      </w:pPr>
    </w:p>
    <w:p w14:paraId="18D70578">
      <w:pPr>
        <w:rPr>
          <w:color w:val="auto"/>
        </w:rPr>
      </w:pPr>
    </w:p>
    <w:p w14:paraId="75A31063">
      <w:pPr>
        <w:rPr>
          <w:color w:val="auto"/>
        </w:rPr>
      </w:pPr>
      <w:r>
        <w:rPr>
          <w:color w:val="auto"/>
        </w:rPr>
        <w:t xml:space="preserve"> </w:t>
      </w:r>
    </w:p>
    <w:p w14:paraId="224784FD">
      <w:pPr>
        <w:rPr>
          <w:color w:val="auto"/>
        </w:rPr>
      </w:pPr>
    </w:p>
    <w:p w14:paraId="3BB58BEC">
      <w:pPr>
        <w:rPr>
          <w:color w:val="auto"/>
        </w:rPr>
      </w:pPr>
    </w:p>
    <w:p w14:paraId="572B3619">
      <w:pPr>
        <w:spacing w:afterLines="70" w:line="360" w:lineRule="auto"/>
        <w:ind w:left="210" w:leftChars="100"/>
        <w:jc w:val="center"/>
        <w:rPr>
          <w:rFonts w:hint="eastAsia" w:ascii="宋体" w:hAnsi="宋体"/>
          <w:b/>
          <w:bCs/>
          <w:color w:val="auto"/>
          <w:spacing w:val="66"/>
          <w:sz w:val="72"/>
          <w:szCs w:val="72"/>
          <w:lang w:eastAsia="zh-CN"/>
        </w:rPr>
      </w:pPr>
      <w:r>
        <w:rPr>
          <w:rFonts w:hint="eastAsia" w:ascii="宋体" w:hAnsi="宋体"/>
          <w:b/>
          <w:bCs/>
          <w:color w:val="auto"/>
          <w:spacing w:val="66"/>
          <w:sz w:val="72"/>
          <w:szCs w:val="72"/>
          <w:lang w:eastAsia="zh-CN"/>
        </w:rPr>
        <w:t>维纳春天</w:t>
      </w:r>
    </w:p>
    <w:p w14:paraId="1C05557E">
      <w:pPr>
        <w:spacing w:afterLines="70" w:line="360" w:lineRule="auto"/>
        <w:ind w:left="210" w:leftChars="100"/>
        <w:jc w:val="center"/>
        <w:rPr>
          <w:rFonts w:ascii="宋体"/>
          <w:b/>
          <w:bCs/>
          <w:color w:val="auto"/>
          <w:spacing w:val="66"/>
          <w:sz w:val="72"/>
          <w:szCs w:val="72"/>
        </w:rPr>
      </w:pPr>
      <w:r>
        <w:rPr>
          <w:rFonts w:hint="eastAsia" w:ascii="宋体" w:hAnsi="宋体"/>
          <w:b/>
          <w:bCs/>
          <w:color w:val="auto"/>
          <w:spacing w:val="66"/>
          <w:sz w:val="72"/>
          <w:szCs w:val="72"/>
        </w:rPr>
        <w:t>环境影响报告表</w:t>
      </w:r>
    </w:p>
    <w:p w14:paraId="2D7CF680">
      <w:pPr>
        <w:rPr>
          <w:color w:val="auto"/>
        </w:rPr>
      </w:pPr>
    </w:p>
    <w:p w14:paraId="580FDE57">
      <w:pPr>
        <w:rPr>
          <w:color w:val="auto"/>
        </w:rPr>
      </w:pPr>
    </w:p>
    <w:p w14:paraId="5C563803">
      <w:pPr>
        <w:rPr>
          <w:color w:val="auto"/>
        </w:rPr>
      </w:pPr>
    </w:p>
    <w:p w14:paraId="3817DBA6">
      <w:pPr>
        <w:rPr>
          <w:color w:val="auto"/>
        </w:rPr>
      </w:pPr>
    </w:p>
    <w:p w14:paraId="32678D3B">
      <w:pPr>
        <w:rPr>
          <w:color w:val="auto"/>
        </w:rPr>
      </w:pPr>
    </w:p>
    <w:p w14:paraId="728E760B">
      <w:pPr>
        <w:rPr>
          <w:color w:val="auto"/>
        </w:rPr>
      </w:pPr>
    </w:p>
    <w:p w14:paraId="46D4BACE">
      <w:pPr>
        <w:rPr>
          <w:color w:val="auto"/>
        </w:rPr>
      </w:pPr>
    </w:p>
    <w:p w14:paraId="3CBCD11E">
      <w:pPr>
        <w:rPr>
          <w:color w:val="auto"/>
        </w:rPr>
      </w:pPr>
    </w:p>
    <w:p w14:paraId="424FA8B2">
      <w:pPr>
        <w:rPr>
          <w:color w:val="auto"/>
        </w:rPr>
      </w:pPr>
    </w:p>
    <w:p w14:paraId="27D0E1B2">
      <w:pPr>
        <w:rPr>
          <w:color w:val="auto"/>
        </w:rPr>
      </w:pPr>
    </w:p>
    <w:p w14:paraId="2E5D196E">
      <w:pPr>
        <w:rPr>
          <w:color w:val="auto"/>
        </w:rPr>
      </w:pPr>
    </w:p>
    <w:p w14:paraId="2EEC7898">
      <w:pPr>
        <w:rPr>
          <w:color w:val="auto"/>
        </w:rPr>
      </w:pPr>
    </w:p>
    <w:p w14:paraId="18178CF2">
      <w:pPr>
        <w:rPr>
          <w:color w:val="auto"/>
        </w:rPr>
      </w:pPr>
    </w:p>
    <w:p w14:paraId="3FE2E1CA">
      <w:pPr>
        <w:rPr>
          <w:color w:val="auto"/>
        </w:rPr>
      </w:pPr>
    </w:p>
    <w:p w14:paraId="46254090">
      <w:pPr>
        <w:rPr>
          <w:color w:val="auto"/>
        </w:rPr>
      </w:pPr>
    </w:p>
    <w:p w14:paraId="2A1E1EB0">
      <w:pPr>
        <w:rPr>
          <w:color w:val="auto"/>
        </w:rPr>
      </w:pPr>
    </w:p>
    <w:p w14:paraId="08641DA5">
      <w:pPr>
        <w:keepNext w:val="0"/>
        <w:keepLines w:val="0"/>
        <w:pageBreakBefore w:val="0"/>
        <w:widowControl w:val="0"/>
        <w:kinsoku/>
        <w:wordWrap/>
        <w:overflowPunct/>
        <w:topLinePunct w:val="0"/>
        <w:autoSpaceDE/>
        <w:autoSpaceDN/>
        <w:bidi w:val="0"/>
        <w:adjustRightInd/>
        <w:snapToGrid/>
        <w:spacing w:line="700" w:lineRule="exact"/>
        <w:ind w:right="0" w:rightChars="0"/>
        <w:textAlignment w:val="auto"/>
        <w:outlineLvl w:val="9"/>
        <w:rPr>
          <w:rFonts w:hint="eastAsia"/>
          <w:b w:val="0"/>
          <w:bCs/>
          <w:color w:val="auto"/>
          <w:sz w:val="36"/>
          <w:szCs w:val="36"/>
          <w:u w:val="single"/>
          <w:lang w:eastAsia="zh-CN"/>
        </w:rPr>
      </w:pPr>
      <w:r>
        <w:rPr>
          <w:rFonts w:hint="eastAsia"/>
          <w:b/>
          <w:color w:val="auto"/>
          <w:sz w:val="36"/>
          <w:szCs w:val="36"/>
        </w:rPr>
        <w:t>建设单位：</w:t>
      </w:r>
      <w:r>
        <w:rPr>
          <w:rFonts w:hint="eastAsia"/>
          <w:b/>
          <w:color w:val="auto"/>
          <w:sz w:val="36"/>
          <w:szCs w:val="36"/>
          <w:u w:val="thick"/>
          <w:lang w:eastAsia="zh-CN"/>
        </w:rPr>
        <w:t>湖北巨能</w:t>
      </w:r>
      <w:r>
        <w:rPr>
          <w:rFonts w:hint="eastAsia"/>
          <w:b/>
          <w:bCs w:val="0"/>
          <w:color w:val="auto"/>
          <w:sz w:val="36"/>
          <w:szCs w:val="36"/>
          <w:u w:val="thick"/>
          <w:lang w:eastAsia="zh-CN"/>
        </w:rPr>
        <w:t>房地产开发有限公司</w:t>
      </w:r>
      <w:r>
        <w:rPr>
          <w:rFonts w:hint="eastAsia"/>
          <w:b/>
          <w:bCs w:val="0"/>
          <w:color w:val="auto"/>
          <w:sz w:val="36"/>
          <w:szCs w:val="36"/>
          <w:u w:val="single"/>
          <w:lang w:val="en-US" w:eastAsia="zh-CN"/>
        </w:rPr>
        <w:t xml:space="preserve">     </w:t>
      </w:r>
    </w:p>
    <w:p w14:paraId="3ACA0F4E">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left"/>
        <w:textAlignment w:val="auto"/>
        <w:outlineLvl w:val="9"/>
        <w:rPr>
          <w:rFonts w:hint="eastAsia" w:ascii="宋体" w:hAnsi="宋体" w:eastAsia="宋体" w:cs="宋体"/>
          <w:b/>
          <w:color w:val="auto"/>
          <w:spacing w:val="-23"/>
          <w:w w:val="90"/>
          <w:sz w:val="44"/>
          <w:szCs w:val="44"/>
          <w:u w:val="single"/>
        </w:rPr>
      </w:pPr>
      <w:r>
        <w:rPr>
          <w:rFonts w:hint="eastAsia"/>
          <w:b/>
          <w:color w:val="auto"/>
          <w:sz w:val="36"/>
          <w:szCs w:val="36"/>
        </w:rPr>
        <w:t>评价单位：</w:t>
      </w:r>
      <w:r>
        <w:rPr>
          <w:rFonts w:hint="eastAsia"/>
          <w:b/>
          <w:color w:val="auto"/>
          <w:sz w:val="36"/>
          <w:szCs w:val="36"/>
          <w:u w:val="thick"/>
          <w:lang w:eastAsia="zh-CN"/>
        </w:rPr>
        <w:t>英勒斐特环境科技发展（上海）有限公司</w:t>
      </w:r>
    </w:p>
    <w:p w14:paraId="1A6C7EED">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885" w:firstLineChars="245"/>
        <w:textAlignment w:val="auto"/>
        <w:outlineLvl w:val="9"/>
        <w:rPr>
          <w:b/>
          <w:color w:val="auto"/>
          <w:sz w:val="36"/>
          <w:szCs w:val="36"/>
        </w:rPr>
      </w:pPr>
    </w:p>
    <w:p w14:paraId="7857A3DE">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jc w:val="center"/>
        <w:textAlignment w:val="auto"/>
        <w:outlineLvl w:val="9"/>
        <w:rPr>
          <w:b/>
          <w:color w:val="auto"/>
          <w:sz w:val="36"/>
          <w:szCs w:val="36"/>
        </w:rPr>
      </w:pPr>
      <w:r>
        <w:rPr>
          <w:b/>
          <w:color w:val="auto"/>
          <w:sz w:val="36"/>
          <w:szCs w:val="36"/>
        </w:rPr>
        <w:t>201</w:t>
      </w:r>
      <w:r>
        <w:rPr>
          <w:rFonts w:hint="eastAsia"/>
          <w:b/>
          <w:color w:val="auto"/>
          <w:sz w:val="36"/>
          <w:szCs w:val="36"/>
          <w:lang w:val="en-US" w:eastAsia="zh-CN"/>
        </w:rPr>
        <w:t>8</w:t>
      </w:r>
      <w:r>
        <w:rPr>
          <w:rFonts w:hint="eastAsia"/>
          <w:b/>
          <w:color w:val="auto"/>
          <w:sz w:val="36"/>
          <w:szCs w:val="36"/>
        </w:rPr>
        <w:t>年</w:t>
      </w:r>
      <w:r>
        <w:rPr>
          <w:rFonts w:hint="eastAsia"/>
          <w:b/>
          <w:color w:val="auto"/>
          <w:sz w:val="36"/>
          <w:szCs w:val="36"/>
          <w:lang w:val="en-US" w:eastAsia="zh-CN"/>
        </w:rPr>
        <w:t>1</w:t>
      </w:r>
      <w:r>
        <w:rPr>
          <w:rFonts w:hint="eastAsia"/>
          <w:b/>
          <w:color w:val="auto"/>
          <w:sz w:val="36"/>
          <w:szCs w:val="36"/>
        </w:rPr>
        <w:t>月</w:t>
      </w:r>
    </w:p>
    <w:p w14:paraId="477B546A">
      <w:pPr>
        <w:jc w:val="both"/>
        <w:rPr>
          <w:rFonts w:hAnsi="宋体"/>
          <w:b/>
          <w:bCs/>
          <w:color w:val="auto"/>
          <w:sz w:val="32"/>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14:paraId="010B232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b/>
          <w:bCs/>
          <w:color w:val="auto"/>
          <w:sz w:val="32"/>
        </w:rPr>
      </w:pPr>
      <w:r>
        <w:rPr>
          <w:rFonts w:hAnsi="宋体"/>
          <w:b/>
          <w:bCs/>
          <w:color w:val="auto"/>
          <w:sz w:val="32"/>
        </w:rPr>
        <w:t>《建设项目环境影响报告表》编制说明</w:t>
      </w:r>
    </w:p>
    <w:p w14:paraId="772AC1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color w:val="auto"/>
          <w:sz w:val="28"/>
        </w:rPr>
      </w:pPr>
      <w:r>
        <w:rPr>
          <w:rFonts w:hAnsi="宋体"/>
          <w:color w:val="auto"/>
          <w:sz w:val="28"/>
        </w:rPr>
        <w:t>《建设项目环境影响报告表》由具有环境影响评价资质的单位编制。</w:t>
      </w:r>
    </w:p>
    <w:p w14:paraId="48EFFEF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cs="Times New Roman"/>
          <w:color w:val="auto"/>
          <w:sz w:val="28"/>
        </w:rPr>
      </w:pPr>
      <w:r>
        <w:rPr>
          <w:rFonts w:hint="default" w:ascii="Times New Roman" w:hAnsi="Times New Roman" w:cs="Times New Roman"/>
          <w:color w:val="auto"/>
          <w:sz w:val="28"/>
        </w:rPr>
        <w:t>1、项目名称——指项目立项批复时的名称，应不超过30个字（两个英文字段作一个汉字）。</w:t>
      </w:r>
    </w:p>
    <w:p w14:paraId="384B397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cs="Times New Roman"/>
          <w:color w:val="auto"/>
          <w:sz w:val="28"/>
        </w:rPr>
      </w:pPr>
      <w:r>
        <w:rPr>
          <w:rFonts w:hint="default" w:ascii="Times New Roman" w:hAnsi="Times New Roman" w:cs="Times New Roman"/>
          <w:color w:val="auto"/>
          <w:sz w:val="28"/>
        </w:rPr>
        <w:t>2、建设地点——指项目所在地详细地址，公路、铁路应写明起止地点。</w:t>
      </w:r>
    </w:p>
    <w:p w14:paraId="20D7C1B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cs="Times New Roman"/>
          <w:color w:val="auto"/>
          <w:sz w:val="28"/>
        </w:rPr>
      </w:pPr>
      <w:r>
        <w:rPr>
          <w:rFonts w:hint="default" w:ascii="Times New Roman" w:hAnsi="Times New Roman" w:cs="Times New Roman"/>
          <w:color w:val="auto"/>
          <w:sz w:val="28"/>
        </w:rPr>
        <w:t>3、行业类别——按国标填写。</w:t>
      </w:r>
    </w:p>
    <w:p w14:paraId="268BF11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cs="Times New Roman"/>
          <w:color w:val="auto"/>
          <w:sz w:val="28"/>
        </w:rPr>
      </w:pPr>
      <w:r>
        <w:rPr>
          <w:rFonts w:hint="default" w:ascii="Times New Roman" w:hAnsi="Times New Roman" w:cs="Times New Roman"/>
          <w:color w:val="auto"/>
          <w:sz w:val="28"/>
        </w:rPr>
        <w:t>4、总投资——指项目投资总额。</w:t>
      </w:r>
    </w:p>
    <w:p w14:paraId="73B42AB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cs="Times New Roman"/>
          <w:color w:val="auto"/>
          <w:sz w:val="28"/>
        </w:rPr>
      </w:pPr>
      <w:r>
        <w:rPr>
          <w:rFonts w:hint="default" w:ascii="Times New Roman" w:hAnsi="Times New Roman" w:cs="Times New Roman"/>
          <w:color w:val="auto"/>
          <w:sz w:val="28"/>
        </w:rPr>
        <w:t>5、主要环境保护目标——指项目区周围一定范围内集中居民住宅区、学校、医院、保护文物、风景名胜区、水源地和生态敏感点等，应尽可能给出保护目标性质、规模和距厂界距离等。</w:t>
      </w:r>
    </w:p>
    <w:p w14:paraId="6B8CBCA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cs="Times New Roman"/>
          <w:color w:val="auto"/>
          <w:sz w:val="28"/>
        </w:rPr>
      </w:pPr>
      <w:r>
        <w:rPr>
          <w:rFonts w:hint="default" w:ascii="Times New Roman" w:hAnsi="Times New Roman" w:cs="Times New Roman"/>
          <w:color w:val="auto"/>
          <w:sz w:val="28"/>
        </w:rPr>
        <w:t>6、结论与建议——给出本项目清洁生产、达标排放和总量控制的分析结论，确定污染防治措施的有效性，说明本项目对环境造成的影响，给出建设项目环境可行性的明确结论。同时提出减少环境影响的其他建议。</w:t>
      </w:r>
    </w:p>
    <w:p w14:paraId="2A6480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cs="Times New Roman"/>
          <w:color w:val="auto"/>
          <w:sz w:val="28"/>
        </w:rPr>
      </w:pPr>
      <w:r>
        <w:rPr>
          <w:rFonts w:hint="default" w:ascii="Times New Roman" w:hAnsi="Times New Roman" w:cs="Times New Roman"/>
          <w:color w:val="auto"/>
          <w:sz w:val="28"/>
        </w:rPr>
        <w:t>7、预审意见——由行业主管部门填写答复意见，无主管部门项目，可不填。</w:t>
      </w:r>
    </w:p>
    <w:p w14:paraId="231016F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cs="Times New Roman"/>
          <w:color w:val="auto"/>
          <w:sz w:val="28"/>
        </w:rPr>
      </w:pPr>
      <w:r>
        <w:rPr>
          <w:rFonts w:hint="default" w:ascii="Times New Roman" w:hAnsi="Times New Roman" w:cs="Times New Roman"/>
          <w:color w:val="auto"/>
          <w:sz w:val="28"/>
        </w:rPr>
        <w:t>8、审批意见——由负责审批该项目的环境保护行政主管部门批复。</w:t>
      </w:r>
    </w:p>
    <w:p w14:paraId="71E1693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default" w:ascii="Times New Roman" w:hAnsi="Times New Roman" w:cs="Times New Roman"/>
          <w:color w:val="auto"/>
          <w:sz w:val="28"/>
        </w:rPr>
      </w:pPr>
    </w:p>
    <w:p w14:paraId="21784A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default" w:ascii="Times New Roman" w:hAnsi="Times New Roman" w:cs="Times New Roman"/>
          <w:color w:val="auto"/>
          <w:sz w:val="28"/>
        </w:rPr>
      </w:pPr>
    </w:p>
    <w:p w14:paraId="7CCAB84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黑体" w:eastAsia="黑体"/>
          <w:color w:val="auto"/>
          <w:sz w:val="32"/>
          <w:szCs w:val="32"/>
        </w:rPr>
      </w:pPr>
    </w:p>
    <w:p w14:paraId="69ED40A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b/>
          <w:color w:val="auto"/>
          <w:sz w:val="24"/>
        </w:rPr>
      </w:pPr>
      <w:r>
        <w:rPr>
          <w:rFonts w:hint="eastAsia" w:ascii="黑体" w:eastAsia="黑体"/>
          <w:color w:val="auto"/>
          <w:sz w:val="32"/>
          <w:szCs w:val="32"/>
        </w:rPr>
        <w:t>目</w:t>
      </w:r>
      <w:r>
        <w:rPr>
          <w:rFonts w:hint="eastAsia" w:ascii="黑体" w:eastAsia="黑体"/>
          <w:color w:val="auto"/>
          <w:sz w:val="32"/>
          <w:szCs w:val="32"/>
          <w:lang w:val="en-US" w:eastAsia="zh-CN"/>
        </w:rPr>
        <w:t xml:space="preserve">    </w:t>
      </w:r>
      <w:r>
        <w:rPr>
          <w:rFonts w:hint="eastAsia" w:ascii="黑体" w:eastAsia="黑体"/>
          <w:color w:val="auto"/>
          <w:sz w:val="32"/>
          <w:szCs w:val="32"/>
        </w:rPr>
        <w:t>录</w:t>
      </w:r>
    </w:p>
    <w:p w14:paraId="0E0DFC67">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leftChars="0" w:right="0" w:rightChars="0"/>
        <w:jc w:val="both"/>
        <w:textAlignment w:val="auto"/>
        <w:outlineLvl w:val="9"/>
        <w:rPr>
          <w:rFonts w:hint="default" w:ascii="Times New Roman" w:hAnsi="Times New Roman" w:cs="Times New Roman"/>
          <w:bCs w:val="0"/>
          <w:color w:val="auto"/>
          <w:sz w:val="24"/>
          <w:szCs w:val="24"/>
          <w:lang w:eastAsia="zh-CN"/>
        </w:rPr>
      </w:pPr>
      <w:r>
        <w:rPr>
          <w:b/>
          <w:color w:val="auto"/>
          <w:sz w:val="24"/>
        </w:rPr>
        <w:t>环境影响报告表</w:t>
      </w:r>
    </w:p>
    <w:p w14:paraId="7E47D879">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both"/>
        <w:textAlignment w:val="auto"/>
        <w:rPr>
          <w:color w:val="auto"/>
          <w:sz w:val="24"/>
          <w:szCs w:val="24"/>
        </w:rPr>
      </w:pPr>
      <w:r>
        <w:rPr>
          <w:rFonts w:hint="default" w:ascii="Times New Roman" w:hAnsi="Times New Roman" w:cs="Times New Roman"/>
          <w:bCs w:val="0"/>
          <w:color w:val="auto"/>
          <w:sz w:val="24"/>
          <w:szCs w:val="24"/>
          <w:lang w:eastAsia="zh-CN"/>
        </w:rPr>
        <w:fldChar w:fldCharType="begin"/>
      </w:r>
      <w:r>
        <w:rPr>
          <w:rFonts w:hint="default" w:ascii="Times New Roman" w:hAnsi="Times New Roman" w:cs="Times New Roman"/>
          <w:bCs w:val="0"/>
          <w:color w:val="auto"/>
          <w:sz w:val="24"/>
          <w:szCs w:val="24"/>
          <w:lang w:eastAsia="zh-CN"/>
        </w:rPr>
        <w:instrText xml:space="preserve"> TOC \* MERGEFORMAT </w:instrText>
      </w:r>
      <w:r>
        <w:rPr>
          <w:rFonts w:hint="default" w:ascii="Times New Roman" w:hAnsi="Times New Roman" w:cs="Times New Roman"/>
          <w:bCs w:val="0"/>
          <w:color w:val="auto"/>
          <w:sz w:val="24"/>
          <w:szCs w:val="24"/>
          <w:lang w:eastAsia="zh-CN"/>
        </w:rPr>
        <w:fldChar w:fldCharType="separate"/>
      </w:r>
      <w:r>
        <w:rPr>
          <w:rFonts w:hint="eastAsia"/>
          <w:color w:val="auto"/>
          <w:sz w:val="24"/>
          <w:szCs w:val="24"/>
          <w:lang w:eastAsia="zh-CN"/>
        </w:rPr>
        <w:t>一、</w:t>
      </w:r>
      <w:r>
        <w:rPr>
          <w:color w:val="auto"/>
          <w:sz w:val="24"/>
          <w:szCs w:val="24"/>
        </w:rPr>
        <w:t>建设项目基本情况</w:t>
      </w:r>
      <w:r>
        <w:rPr>
          <w:color w:val="auto"/>
          <w:sz w:val="24"/>
          <w:szCs w:val="24"/>
        </w:rPr>
        <w:tab/>
      </w:r>
      <w:r>
        <w:rPr>
          <w:color w:val="auto"/>
          <w:sz w:val="24"/>
          <w:szCs w:val="24"/>
        </w:rPr>
        <w:fldChar w:fldCharType="begin"/>
      </w:r>
      <w:r>
        <w:rPr>
          <w:color w:val="auto"/>
          <w:sz w:val="24"/>
          <w:szCs w:val="24"/>
        </w:rPr>
        <w:instrText xml:space="preserve"> PAGEREF _Toc9114 </w:instrText>
      </w:r>
      <w:r>
        <w:rPr>
          <w:color w:val="auto"/>
          <w:sz w:val="24"/>
          <w:szCs w:val="24"/>
        </w:rPr>
        <w:fldChar w:fldCharType="separate"/>
      </w:r>
      <w:r>
        <w:rPr>
          <w:color w:val="auto"/>
          <w:sz w:val="24"/>
          <w:szCs w:val="24"/>
        </w:rPr>
        <w:t>- 1 -</w:t>
      </w:r>
      <w:r>
        <w:rPr>
          <w:color w:val="auto"/>
          <w:sz w:val="24"/>
          <w:szCs w:val="24"/>
        </w:rPr>
        <w:fldChar w:fldCharType="end"/>
      </w:r>
    </w:p>
    <w:p w14:paraId="431D72D2">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both"/>
        <w:textAlignment w:val="auto"/>
        <w:rPr>
          <w:color w:val="auto"/>
          <w:sz w:val="24"/>
          <w:szCs w:val="24"/>
        </w:rPr>
      </w:pPr>
      <w:r>
        <w:rPr>
          <w:rFonts w:hint="eastAsia"/>
          <w:color w:val="auto"/>
          <w:sz w:val="24"/>
          <w:szCs w:val="24"/>
          <w:lang w:eastAsia="zh-CN"/>
        </w:rPr>
        <w:t>二、建设项目所在地自然环境社会环境简况</w:t>
      </w:r>
      <w:r>
        <w:rPr>
          <w:color w:val="auto"/>
          <w:sz w:val="24"/>
          <w:szCs w:val="24"/>
        </w:rPr>
        <w:tab/>
      </w:r>
      <w:r>
        <w:rPr>
          <w:color w:val="auto"/>
          <w:sz w:val="24"/>
          <w:szCs w:val="24"/>
        </w:rPr>
        <w:fldChar w:fldCharType="begin"/>
      </w:r>
      <w:r>
        <w:rPr>
          <w:color w:val="auto"/>
          <w:sz w:val="24"/>
          <w:szCs w:val="24"/>
        </w:rPr>
        <w:instrText xml:space="preserve"> PAGEREF _Toc28855 </w:instrText>
      </w:r>
      <w:r>
        <w:rPr>
          <w:color w:val="auto"/>
          <w:sz w:val="24"/>
          <w:szCs w:val="24"/>
        </w:rPr>
        <w:fldChar w:fldCharType="separate"/>
      </w:r>
      <w:r>
        <w:rPr>
          <w:color w:val="auto"/>
          <w:sz w:val="24"/>
          <w:szCs w:val="24"/>
        </w:rPr>
        <w:t>- 13 -</w:t>
      </w:r>
      <w:r>
        <w:rPr>
          <w:color w:val="auto"/>
          <w:sz w:val="24"/>
          <w:szCs w:val="24"/>
        </w:rPr>
        <w:fldChar w:fldCharType="end"/>
      </w:r>
    </w:p>
    <w:p w14:paraId="694C931F">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both"/>
        <w:textAlignment w:val="auto"/>
        <w:rPr>
          <w:color w:val="auto"/>
          <w:sz w:val="24"/>
          <w:szCs w:val="24"/>
        </w:rPr>
      </w:pPr>
      <w:r>
        <w:rPr>
          <w:rFonts w:hint="eastAsia"/>
          <w:color w:val="auto"/>
          <w:sz w:val="24"/>
          <w:szCs w:val="24"/>
          <w:lang w:eastAsia="zh-CN"/>
        </w:rPr>
        <w:t>三、环境质量状况</w:t>
      </w:r>
      <w:r>
        <w:rPr>
          <w:color w:val="auto"/>
          <w:sz w:val="24"/>
          <w:szCs w:val="24"/>
        </w:rPr>
        <w:tab/>
      </w:r>
      <w:r>
        <w:rPr>
          <w:color w:val="auto"/>
          <w:sz w:val="24"/>
          <w:szCs w:val="24"/>
        </w:rPr>
        <w:fldChar w:fldCharType="begin"/>
      </w:r>
      <w:r>
        <w:rPr>
          <w:color w:val="auto"/>
          <w:sz w:val="24"/>
          <w:szCs w:val="24"/>
        </w:rPr>
        <w:instrText xml:space="preserve"> PAGEREF _Toc13321 </w:instrText>
      </w:r>
      <w:r>
        <w:rPr>
          <w:color w:val="auto"/>
          <w:sz w:val="24"/>
          <w:szCs w:val="24"/>
        </w:rPr>
        <w:fldChar w:fldCharType="separate"/>
      </w:r>
      <w:r>
        <w:rPr>
          <w:color w:val="auto"/>
          <w:sz w:val="24"/>
          <w:szCs w:val="24"/>
        </w:rPr>
        <w:t>- 18 -</w:t>
      </w:r>
      <w:r>
        <w:rPr>
          <w:color w:val="auto"/>
          <w:sz w:val="24"/>
          <w:szCs w:val="24"/>
        </w:rPr>
        <w:fldChar w:fldCharType="end"/>
      </w:r>
    </w:p>
    <w:p w14:paraId="5DD0FE9E">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both"/>
        <w:textAlignment w:val="auto"/>
        <w:rPr>
          <w:color w:val="auto"/>
          <w:sz w:val="24"/>
          <w:szCs w:val="24"/>
        </w:rPr>
      </w:pPr>
      <w:r>
        <w:rPr>
          <w:rFonts w:hint="eastAsia"/>
          <w:color w:val="auto"/>
          <w:sz w:val="24"/>
          <w:szCs w:val="24"/>
          <w:lang w:eastAsia="zh-CN"/>
        </w:rPr>
        <w:t>四、</w:t>
      </w:r>
      <w:r>
        <w:rPr>
          <w:color w:val="auto"/>
          <w:sz w:val="24"/>
          <w:szCs w:val="24"/>
        </w:rPr>
        <w:t>评价适用标准</w:t>
      </w:r>
      <w:r>
        <w:rPr>
          <w:color w:val="auto"/>
          <w:sz w:val="24"/>
          <w:szCs w:val="24"/>
        </w:rPr>
        <w:tab/>
      </w:r>
      <w:r>
        <w:rPr>
          <w:color w:val="auto"/>
          <w:sz w:val="24"/>
          <w:szCs w:val="24"/>
        </w:rPr>
        <w:fldChar w:fldCharType="begin"/>
      </w:r>
      <w:r>
        <w:rPr>
          <w:color w:val="auto"/>
          <w:sz w:val="24"/>
          <w:szCs w:val="24"/>
        </w:rPr>
        <w:instrText xml:space="preserve"> PAGEREF _Toc16396 </w:instrText>
      </w:r>
      <w:r>
        <w:rPr>
          <w:color w:val="auto"/>
          <w:sz w:val="24"/>
          <w:szCs w:val="24"/>
        </w:rPr>
        <w:fldChar w:fldCharType="separate"/>
      </w:r>
      <w:r>
        <w:rPr>
          <w:color w:val="auto"/>
          <w:sz w:val="24"/>
          <w:szCs w:val="24"/>
        </w:rPr>
        <w:t>- 22 -</w:t>
      </w:r>
      <w:r>
        <w:rPr>
          <w:color w:val="auto"/>
          <w:sz w:val="24"/>
          <w:szCs w:val="24"/>
        </w:rPr>
        <w:fldChar w:fldCharType="end"/>
      </w:r>
    </w:p>
    <w:p w14:paraId="4E318CFB">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both"/>
        <w:textAlignment w:val="auto"/>
        <w:rPr>
          <w:color w:val="auto"/>
          <w:sz w:val="24"/>
          <w:szCs w:val="24"/>
        </w:rPr>
      </w:pPr>
      <w:r>
        <w:rPr>
          <w:color w:val="auto"/>
          <w:sz w:val="24"/>
          <w:szCs w:val="24"/>
        </w:rPr>
        <w:t>五、建设项目工程分析</w:t>
      </w:r>
      <w:r>
        <w:rPr>
          <w:color w:val="auto"/>
          <w:sz w:val="24"/>
          <w:szCs w:val="24"/>
        </w:rPr>
        <w:tab/>
      </w:r>
      <w:r>
        <w:rPr>
          <w:color w:val="auto"/>
          <w:sz w:val="24"/>
          <w:szCs w:val="24"/>
        </w:rPr>
        <w:fldChar w:fldCharType="begin"/>
      </w:r>
      <w:r>
        <w:rPr>
          <w:color w:val="auto"/>
          <w:sz w:val="24"/>
          <w:szCs w:val="24"/>
        </w:rPr>
        <w:instrText xml:space="preserve"> PAGEREF _Toc23803 </w:instrText>
      </w:r>
      <w:r>
        <w:rPr>
          <w:color w:val="auto"/>
          <w:sz w:val="24"/>
          <w:szCs w:val="24"/>
        </w:rPr>
        <w:fldChar w:fldCharType="separate"/>
      </w:r>
      <w:r>
        <w:rPr>
          <w:color w:val="auto"/>
          <w:sz w:val="24"/>
          <w:szCs w:val="24"/>
        </w:rPr>
        <w:t>- 26 -</w:t>
      </w:r>
      <w:r>
        <w:rPr>
          <w:color w:val="auto"/>
          <w:sz w:val="24"/>
          <w:szCs w:val="24"/>
        </w:rPr>
        <w:fldChar w:fldCharType="end"/>
      </w:r>
    </w:p>
    <w:p w14:paraId="207CFE06">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both"/>
        <w:textAlignment w:val="auto"/>
        <w:rPr>
          <w:color w:val="auto"/>
          <w:sz w:val="24"/>
          <w:szCs w:val="24"/>
        </w:rPr>
      </w:pPr>
      <w:r>
        <w:rPr>
          <w:color w:val="auto"/>
          <w:sz w:val="24"/>
          <w:szCs w:val="24"/>
        </w:rPr>
        <w:t>六、项目主要污染物产生及预计排放情况</w:t>
      </w:r>
      <w:r>
        <w:rPr>
          <w:color w:val="auto"/>
          <w:sz w:val="24"/>
          <w:szCs w:val="24"/>
        </w:rPr>
        <w:tab/>
      </w:r>
      <w:r>
        <w:rPr>
          <w:color w:val="auto"/>
          <w:sz w:val="24"/>
          <w:szCs w:val="24"/>
        </w:rPr>
        <w:fldChar w:fldCharType="begin"/>
      </w:r>
      <w:r>
        <w:rPr>
          <w:color w:val="auto"/>
          <w:sz w:val="24"/>
          <w:szCs w:val="24"/>
        </w:rPr>
        <w:instrText xml:space="preserve"> PAGEREF _Toc9018 </w:instrText>
      </w:r>
      <w:r>
        <w:rPr>
          <w:color w:val="auto"/>
          <w:sz w:val="24"/>
          <w:szCs w:val="24"/>
        </w:rPr>
        <w:fldChar w:fldCharType="separate"/>
      </w:r>
      <w:r>
        <w:rPr>
          <w:color w:val="auto"/>
          <w:sz w:val="24"/>
          <w:szCs w:val="24"/>
        </w:rPr>
        <w:t>- 37 -</w:t>
      </w:r>
      <w:r>
        <w:rPr>
          <w:color w:val="auto"/>
          <w:sz w:val="24"/>
          <w:szCs w:val="24"/>
        </w:rPr>
        <w:fldChar w:fldCharType="end"/>
      </w:r>
    </w:p>
    <w:p w14:paraId="5E2525AB">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both"/>
        <w:textAlignment w:val="auto"/>
        <w:rPr>
          <w:color w:val="auto"/>
          <w:sz w:val="24"/>
          <w:szCs w:val="24"/>
        </w:rPr>
      </w:pPr>
      <w:r>
        <w:rPr>
          <w:color w:val="auto"/>
          <w:sz w:val="24"/>
          <w:szCs w:val="24"/>
        </w:rPr>
        <w:t>七、环境影响分析</w:t>
      </w:r>
      <w:r>
        <w:rPr>
          <w:color w:val="auto"/>
          <w:sz w:val="24"/>
          <w:szCs w:val="24"/>
        </w:rPr>
        <w:tab/>
      </w:r>
      <w:r>
        <w:rPr>
          <w:color w:val="auto"/>
          <w:sz w:val="24"/>
          <w:szCs w:val="24"/>
        </w:rPr>
        <w:fldChar w:fldCharType="begin"/>
      </w:r>
      <w:r>
        <w:rPr>
          <w:color w:val="auto"/>
          <w:sz w:val="24"/>
          <w:szCs w:val="24"/>
        </w:rPr>
        <w:instrText xml:space="preserve"> PAGEREF _Toc6541 </w:instrText>
      </w:r>
      <w:r>
        <w:rPr>
          <w:color w:val="auto"/>
          <w:sz w:val="24"/>
          <w:szCs w:val="24"/>
        </w:rPr>
        <w:fldChar w:fldCharType="separate"/>
      </w:r>
      <w:r>
        <w:rPr>
          <w:color w:val="auto"/>
          <w:sz w:val="24"/>
          <w:szCs w:val="24"/>
        </w:rPr>
        <w:t>- 40 -</w:t>
      </w:r>
      <w:r>
        <w:rPr>
          <w:color w:val="auto"/>
          <w:sz w:val="24"/>
          <w:szCs w:val="24"/>
        </w:rPr>
        <w:fldChar w:fldCharType="end"/>
      </w:r>
    </w:p>
    <w:p w14:paraId="2E0893B4">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both"/>
        <w:textAlignment w:val="auto"/>
        <w:rPr>
          <w:color w:val="auto"/>
          <w:sz w:val="24"/>
          <w:szCs w:val="24"/>
        </w:rPr>
      </w:pPr>
      <w:r>
        <w:rPr>
          <w:color w:val="auto"/>
          <w:sz w:val="24"/>
          <w:szCs w:val="24"/>
        </w:rPr>
        <w:t>八、建设项目拟采取的防治措施及预期治理效果</w:t>
      </w:r>
      <w:r>
        <w:rPr>
          <w:color w:val="auto"/>
          <w:sz w:val="24"/>
          <w:szCs w:val="24"/>
        </w:rPr>
        <w:tab/>
      </w:r>
      <w:r>
        <w:rPr>
          <w:color w:val="auto"/>
          <w:sz w:val="24"/>
          <w:szCs w:val="24"/>
        </w:rPr>
        <w:fldChar w:fldCharType="begin"/>
      </w:r>
      <w:r>
        <w:rPr>
          <w:color w:val="auto"/>
          <w:sz w:val="24"/>
          <w:szCs w:val="24"/>
        </w:rPr>
        <w:instrText xml:space="preserve"> PAGEREF _Toc15057 </w:instrText>
      </w:r>
      <w:r>
        <w:rPr>
          <w:color w:val="auto"/>
          <w:sz w:val="24"/>
          <w:szCs w:val="24"/>
        </w:rPr>
        <w:fldChar w:fldCharType="separate"/>
      </w:r>
      <w:r>
        <w:rPr>
          <w:color w:val="auto"/>
          <w:sz w:val="24"/>
          <w:szCs w:val="24"/>
        </w:rPr>
        <w:t>- 56 -</w:t>
      </w:r>
      <w:r>
        <w:rPr>
          <w:color w:val="auto"/>
          <w:sz w:val="24"/>
          <w:szCs w:val="24"/>
        </w:rPr>
        <w:fldChar w:fldCharType="end"/>
      </w:r>
    </w:p>
    <w:p w14:paraId="20DFC91A">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both"/>
        <w:textAlignment w:val="auto"/>
        <w:rPr>
          <w:color w:val="auto"/>
          <w:sz w:val="24"/>
          <w:szCs w:val="24"/>
        </w:rPr>
      </w:pPr>
      <w:r>
        <w:rPr>
          <w:rFonts w:hint="eastAsia"/>
          <w:color w:val="auto"/>
          <w:sz w:val="24"/>
          <w:szCs w:val="24"/>
          <w:lang w:eastAsia="zh-CN"/>
        </w:rPr>
        <w:t>九、</w:t>
      </w:r>
      <w:r>
        <w:rPr>
          <w:rFonts w:hint="eastAsia"/>
          <w:color w:val="auto"/>
          <w:sz w:val="24"/>
          <w:szCs w:val="24"/>
        </w:rPr>
        <w:t>结论与建议</w:t>
      </w:r>
      <w:r>
        <w:rPr>
          <w:color w:val="auto"/>
          <w:sz w:val="24"/>
          <w:szCs w:val="24"/>
        </w:rPr>
        <w:tab/>
      </w:r>
      <w:r>
        <w:rPr>
          <w:color w:val="auto"/>
          <w:sz w:val="24"/>
          <w:szCs w:val="24"/>
        </w:rPr>
        <w:fldChar w:fldCharType="begin"/>
      </w:r>
      <w:r>
        <w:rPr>
          <w:color w:val="auto"/>
          <w:sz w:val="24"/>
          <w:szCs w:val="24"/>
        </w:rPr>
        <w:instrText xml:space="preserve"> PAGEREF _Toc27645 </w:instrText>
      </w:r>
      <w:r>
        <w:rPr>
          <w:color w:val="auto"/>
          <w:sz w:val="24"/>
          <w:szCs w:val="24"/>
        </w:rPr>
        <w:fldChar w:fldCharType="separate"/>
      </w:r>
      <w:r>
        <w:rPr>
          <w:color w:val="auto"/>
          <w:sz w:val="24"/>
          <w:szCs w:val="24"/>
        </w:rPr>
        <w:t>- 60 -</w:t>
      </w:r>
      <w:r>
        <w:rPr>
          <w:color w:val="auto"/>
          <w:sz w:val="24"/>
          <w:szCs w:val="24"/>
        </w:rPr>
        <w:fldChar w:fldCharType="end"/>
      </w:r>
    </w:p>
    <w:p w14:paraId="3F919D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b/>
          <w:bCs/>
          <w:color w:val="auto"/>
          <w:sz w:val="24"/>
          <w:szCs w:val="24"/>
          <w:lang w:eastAsia="zh-CN"/>
        </w:rPr>
      </w:pPr>
      <w:r>
        <w:rPr>
          <w:rFonts w:hint="default" w:ascii="Times New Roman" w:hAnsi="Times New Roman" w:cs="Times New Roman"/>
          <w:bCs w:val="0"/>
          <w:color w:val="auto"/>
          <w:sz w:val="24"/>
          <w:szCs w:val="24"/>
          <w:lang w:eastAsia="zh-CN"/>
        </w:rPr>
        <w:fldChar w:fldCharType="end"/>
      </w:r>
      <w:r>
        <w:rPr>
          <w:rFonts w:hint="eastAsia" w:cs="Times New Roman"/>
          <w:b/>
          <w:bCs/>
          <w:color w:val="auto"/>
          <w:sz w:val="24"/>
          <w:szCs w:val="24"/>
          <w:lang w:eastAsia="zh-CN"/>
        </w:rPr>
        <w:t>二、附件与附图</w:t>
      </w:r>
    </w:p>
    <w:p w14:paraId="17618F5F">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附图1 项目地理位置图</w:t>
      </w:r>
    </w:p>
    <w:p w14:paraId="259889DD">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imes New Roman" w:hAnsi="Times New Roman" w:eastAsia="宋体" w:cs="Times New Roman"/>
          <w:color w:val="auto"/>
          <w:sz w:val="24"/>
          <w:lang w:eastAsia="zh-CN"/>
        </w:rPr>
      </w:pPr>
      <w:r>
        <w:rPr>
          <w:rFonts w:hint="eastAsia" w:cs="Times New Roman"/>
          <w:color w:val="auto"/>
          <w:sz w:val="24"/>
          <w:lang w:eastAsia="zh-CN"/>
        </w:rPr>
        <w:t>附图</w:t>
      </w:r>
      <w:r>
        <w:rPr>
          <w:rFonts w:hint="eastAsia" w:cs="Times New Roman"/>
          <w:color w:val="auto"/>
          <w:sz w:val="24"/>
          <w:lang w:val="en-US" w:eastAsia="zh-CN"/>
        </w:rPr>
        <w:t>2 项目区域位置图</w:t>
      </w:r>
    </w:p>
    <w:p w14:paraId="6BE1DE34">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ascii="Times New Roman" w:hAnsi="Times New Roman" w:cs="Times New Roman"/>
          <w:color w:val="auto"/>
          <w:sz w:val="24"/>
          <w:lang w:eastAsia="zh-CN"/>
        </w:rPr>
      </w:pPr>
      <w:r>
        <w:rPr>
          <w:rFonts w:hint="default" w:ascii="Times New Roman" w:hAnsi="Times New Roman" w:cs="Times New Roman"/>
          <w:color w:val="auto"/>
          <w:sz w:val="24"/>
        </w:rPr>
        <w:t>附图</w:t>
      </w:r>
      <w:r>
        <w:rPr>
          <w:rFonts w:hint="eastAsia" w:cs="Times New Roman"/>
          <w:color w:val="auto"/>
          <w:sz w:val="24"/>
          <w:lang w:val="en-US" w:eastAsia="zh-CN"/>
        </w:rPr>
        <w:t>3</w:t>
      </w:r>
      <w:r>
        <w:rPr>
          <w:rFonts w:hint="default" w:ascii="Times New Roman" w:hAnsi="Times New Roman" w:cs="Times New Roman"/>
          <w:color w:val="auto"/>
          <w:sz w:val="24"/>
        </w:rPr>
        <w:t xml:space="preserve"> </w:t>
      </w:r>
      <w:r>
        <w:rPr>
          <w:rFonts w:hint="default" w:ascii="Times New Roman" w:hAnsi="Times New Roman" w:cs="Times New Roman"/>
          <w:color w:val="auto"/>
          <w:sz w:val="24"/>
          <w:lang w:eastAsia="zh-CN"/>
        </w:rPr>
        <w:t>项目周边关系图</w:t>
      </w:r>
    </w:p>
    <w:p w14:paraId="4DFC78F9">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cs="Times New Roman"/>
          <w:color w:val="auto"/>
          <w:sz w:val="24"/>
          <w:lang w:val="en-US" w:eastAsia="zh-CN"/>
        </w:rPr>
      </w:pPr>
      <w:r>
        <w:rPr>
          <w:rFonts w:hint="default" w:ascii="Times New Roman" w:hAnsi="Times New Roman" w:cs="Times New Roman"/>
          <w:color w:val="auto"/>
          <w:sz w:val="24"/>
        </w:rPr>
        <w:t>附图</w:t>
      </w:r>
      <w:r>
        <w:rPr>
          <w:rFonts w:hint="eastAsia" w:cs="Times New Roman"/>
          <w:color w:val="auto"/>
          <w:sz w:val="24"/>
          <w:lang w:val="en-US" w:eastAsia="zh-CN"/>
        </w:rPr>
        <w:t>4</w:t>
      </w:r>
      <w:r>
        <w:rPr>
          <w:rFonts w:hint="default" w:ascii="Times New Roman" w:hAnsi="Times New Roman" w:cs="Times New Roman"/>
          <w:color w:val="auto"/>
          <w:sz w:val="24"/>
        </w:rPr>
        <w:t xml:space="preserve"> </w:t>
      </w:r>
      <w:r>
        <w:rPr>
          <w:rFonts w:hint="eastAsia" w:cs="Times New Roman"/>
          <w:color w:val="auto"/>
          <w:sz w:val="24"/>
          <w:lang w:eastAsia="zh-CN"/>
        </w:rPr>
        <w:t>项目噪声</w:t>
      </w:r>
      <w:r>
        <w:rPr>
          <w:rFonts w:hint="eastAsia" w:cs="Times New Roman"/>
          <w:color w:val="auto"/>
          <w:sz w:val="24"/>
          <w:lang w:val="en-US" w:eastAsia="zh-CN"/>
        </w:rPr>
        <w:t>监测点位示意图</w:t>
      </w:r>
    </w:p>
    <w:p w14:paraId="2B3FDE9A">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附图</w:t>
      </w:r>
      <w:r>
        <w:rPr>
          <w:rFonts w:hint="eastAsia" w:cs="Times New Roman"/>
          <w:color w:val="auto"/>
          <w:sz w:val="24"/>
          <w:lang w:val="en-US" w:eastAsia="zh-CN"/>
        </w:rPr>
        <w:t>5</w:t>
      </w:r>
      <w:r>
        <w:rPr>
          <w:rFonts w:hint="eastAsia" w:ascii="Times New Roman" w:hAnsi="Times New Roman" w:cs="Times New Roman"/>
          <w:color w:val="auto"/>
          <w:sz w:val="24"/>
          <w:lang w:val="en-US" w:eastAsia="zh-CN"/>
        </w:rPr>
        <w:t xml:space="preserve"> </w:t>
      </w:r>
      <w:r>
        <w:rPr>
          <w:rFonts w:hint="eastAsia" w:cs="Times New Roman"/>
          <w:color w:val="auto"/>
          <w:sz w:val="24"/>
          <w:lang w:val="en-US" w:eastAsia="zh-CN"/>
        </w:rPr>
        <w:t>鄂州市城乡总体规划图</w:t>
      </w:r>
    </w:p>
    <w:p w14:paraId="109CFC2C">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附图</w:t>
      </w:r>
      <w:r>
        <w:rPr>
          <w:rFonts w:hint="eastAsia" w:cs="Times New Roman"/>
          <w:color w:val="auto"/>
          <w:sz w:val="24"/>
          <w:lang w:val="en-US" w:eastAsia="zh-CN"/>
        </w:rPr>
        <w:t>6</w:t>
      </w:r>
      <w:r>
        <w:rPr>
          <w:rFonts w:hint="eastAsia" w:ascii="Times New Roman" w:hAnsi="Times New Roman" w:cs="Times New Roman"/>
          <w:color w:val="auto"/>
          <w:sz w:val="24"/>
          <w:lang w:val="en-US" w:eastAsia="zh-CN"/>
        </w:rPr>
        <w:t xml:space="preserve"> 项目</w:t>
      </w:r>
      <w:r>
        <w:rPr>
          <w:rFonts w:hint="eastAsia" w:cs="Times New Roman"/>
          <w:color w:val="auto"/>
          <w:sz w:val="24"/>
          <w:lang w:val="en-US" w:eastAsia="zh-CN"/>
        </w:rPr>
        <w:t>总平面布置</w:t>
      </w:r>
      <w:r>
        <w:rPr>
          <w:rFonts w:hint="eastAsia" w:ascii="Times New Roman" w:hAnsi="Times New Roman" w:cs="Times New Roman"/>
          <w:color w:val="auto"/>
          <w:sz w:val="24"/>
          <w:lang w:val="en-US" w:eastAsia="zh-CN"/>
        </w:rPr>
        <w:t>图</w:t>
      </w:r>
    </w:p>
    <w:p w14:paraId="61021854">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附件</w:t>
      </w:r>
      <w:r>
        <w:rPr>
          <w:rFonts w:hint="eastAsia" w:cs="Times New Roman"/>
          <w:color w:val="auto"/>
          <w:sz w:val="24"/>
          <w:lang w:val="en-US" w:eastAsia="zh-CN"/>
        </w:rPr>
        <w:t>1</w:t>
      </w:r>
      <w:r>
        <w:rPr>
          <w:rFonts w:hint="default" w:ascii="Times New Roman" w:hAnsi="Times New Roman" w:cs="Times New Roman"/>
          <w:color w:val="auto"/>
          <w:sz w:val="24"/>
        </w:rPr>
        <w:t xml:space="preserve"> </w:t>
      </w:r>
      <w:r>
        <w:rPr>
          <w:rFonts w:hint="eastAsia" w:cs="Times New Roman"/>
          <w:color w:val="auto"/>
          <w:sz w:val="24"/>
          <w:lang w:eastAsia="zh-CN"/>
        </w:rPr>
        <w:t>项目营业执照</w:t>
      </w:r>
    </w:p>
    <w:p w14:paraId="2DCA3D00">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cs="Times New Roman"/>
          <w:color w:val="auto"/>
          <w:sz w:val="24"/>
          <w:lang w:eastAsia="zh-CN"/>
        </w:rPr>
      </w:pPr>
      <w:r>
        <w:rPr>
          <w:rFonts w:hint="default" w:ascii="Times New Roman" w:hAnsi="Times New Roman" w:cs="Times New Roman"/>
          <w:color w:val="auto"/>
          <w:sz w:val="24"/>
        </w:rPr>
        <w:t>附件</w:t>
      </w:r>
      <w:r>
        <w:rPr>
          <w:rFonts w:hint="eastAsia" w:cs="Times New Roman"/>
          <w:color w:val="auto"/>
          <w:sz w:val="24"/>
          <w:lang w:val="en-US" w:eastAsia="zh-CN"/>
        </w:rPr>
        <w:t>2</w:t>
      </w:r>
      <w:r>
        <w:rPr>
          <w:rFonts w:hint="default" w:ascii="Times New Roman" w:hAnsi="Times New Roman" w:cs="Times New Roman"/>
          <w:color w:val="auto"/>
          <w:sz w:val="24"/>
        </w:rPr>
        <w:t xml:space="preserve"> </w:t>
      </w:r>
      <w:r>
        <w:rPr>
          <w:rFonts w:hint="eastAsia" w:cs="Times New Roman"/>
          <w:color w:val="auto"/>
          <w:sz w:val="24"/>
          <w:lang w:eastAsia="zh-CN"/>
        </w:rPr>
        <w:t>项目土地成交确认书</w:t>
      </w:r>
    </w:p>
    <w:p w14:paraId="560B2C93">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imes New Roman" w:hAnsi="Times New Roman" w:cs="Times New Roman"/>
          <w:color w:val="auto"/>
          <w:sz w:val="24"/>
          <w:lang w:eastAsia="zh-CN"/>
        </w:rPr>
      </w:pPr>
      <w:r>
        <w:rPr>
          <w:rFonts w:hint="eastAsia" w:ascii="Times New Roman" w:hAnsi="Times New Roman" w:cs="Times New Roman"/>
          <w:color w:val="auto"/>
          <w:sz w:val="24"/>
          <w:lang w:eastAsia="zh-CN"/>
        </w:rPr>
        <w:t>附件</w:t>
      </w:r>
      <w:r>
        <w:rPr>
          <w:rFonts w:hint="eastAsia" w:ascii="Times New Roman" w:hAnsi="Times New Roman" w:cs="Times New Roman"/>
          <w:color w:val="auto"/>
          <w:sz w:val="24"/>
          <w:lang w:val="en-US" w:eastAsia="zh-CN"/>
        </w:rPr>
        <w:t>4 环境影响评价委托书</w:t>
      </w:r>
    </w:p>
    <w:p w14:paraId="00CD9DC8">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附件</w:t>
      </w:r>
      <w:r>
        <w:rPr>
          <w:rFonts w:hint="eastAsia" w:cs="Times New Roman"/>
          <w:color w:val="auto"/>
          <w:sz w:val="24"/>
          <w:lang w:val="en-US" w:eastAsia="zh-CN"/>
        </w:rPr>
        <w:t>5</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真实性承诺</w:t>
      </w:r>
      <w:r>
        <w:rPr>
          <w:rFonts w:hint="default" w:ascii="Times New Roman" w:hAnsi="Times New Roman" w:cs="Times New Roman"/>
          <w:color w:val="auto"/>
          <w:sz w:val="24"/>
          <w:lang w:eastAsia="zh-CN"/>
        </w:rPr>
        <w:t>函</w:t>
      </w:r>
    </w:p>
    <w:p w14:paraId="4A679A0F">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cs="Times New Roman"/>
          <w:color w:val="auto"/>
          <w:sz w:val="24"/>
          <w:lang w:val="en-US" w:eastAsia="zh-CN"/>
        </w:rPr>
      </w:pPr>
      <w:r>
        <w:rPr>
          <w:rFonts w:hint="default" w:ascii="Times New Roman" w:hAnsi="Times New Roman" w:cs="Times New Roman"/>
          <w:color w:val="auto"/>
          <w:sz w:val="24"/>
        </w:rPr>
        <w:t>附件</w:t>
      </w:r>
      <w:r>
        <w:rPr>
          <w:rFonts w:hint="eastAsia" w:cs="Times New Roman"/>
          <w:color w:val="auto"/>
          <w:sz w:val="24"/>
          <w:lang w:val="en-US" w:eastAsia="zh-CN"/>
        </w:rPr>
        <w:t>6</w:t>
      </w:r>
      <w:r>
        <w:rPr>
          <w:rFonts w:hint="default" w:ascii="Times New Roman" w:hAnsi="Times New Roman" w:cs="Times New Roman"/>
          <w:color w:val="auto"/>
          <w:sz w:val="24"/>
          <w:lang w:val="en-US" w:eastAsia="zh-CN"/>
        </w:rPr>
        <w:t xml:space="preserve"> </w:t>
      </w:r>
      <w:r>
        <w:rPr>
          <w:rFonts w:hint="eastAsia" w:ascii="Times New Roman" w:hAnsi="Times New Roman" w:cs="Times New Roman"/>
          <w:color w:val="auto"/>
          <w:sz w:val="24"/>
          <w:lang w:val="en-US" w:eastAsia="zh-CN"/>
        </w:rPr>
        <w:t>全本信息公开确认函</w:t>
      </w:r>
    </w:p>
    <w:p w14:paraId="06574FA9">
      <w:pPr>
        <w:pStyle w:val="13"/>
        <w:keepNext w:val="0"/>
        <w:keepLines w:val="0"/>
        <w:pageBreakBefore w:val="0"/>
        <w:widowControl w:val="0"/>
        <w:tabs>
          <w:tab w:val="right" w:leader="dot" w:pos="8296"/>
        </w:tabs>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附件</w:t>
      </w:r>
      <w:r>
        <w:rPr>
          <w:rFonts w:hint="eastAsia" w:cs="Times New Roman"/>
          <w:color w:val="auto"/>
          <w:sz w:val="24"/>
          <w:lang w:val="en-US" w:eastAsia="zh-CN"/>
        </w:rPr>
        <w:t>7</w:t>
      </w:r>
      <w:r>
        <w:rPr>
          <w:rFonts w:hint="default" w:ascii="Times New Roman" w:hAnsi="Times New Roman" w:cs="Times New Roman"/>
          <w:color w:val="auto"/>
          <w:sz w:val="24"/>
          <w:lang w:val="en-US" w:eastAsia="zh-CN"/>
        </w:rPr>
        <w:t xml:space="preserve"> </w:t>
      </w:r>
      <w:r>
        <w:rPr>
          <w:rFonts w:hint="eastAsia" w:ascii="Times New Roman" w:hAnsi="Times New Roman" w:cs="Times New Roman"/>
          <w:color w:val="auto"/>
          <w:sz w:val="24"/>
          <w:lang w:val="en-US" w:eastAsia="zh-CN"/>
        </w:rPr>
        <w:t>项目噪声</w:t>
      </w:r>
      <w:r>
        <w:rPr>
          <w:rFonts w:hint="default" w:ascii="Times New Roman" w:hAnsi="Times New Roman" w:cs="Times New Roman"/>
          <w:color w:val="auto"/>
          <w:sz w:val="24"/>
          <w:lang w:val="en-US" w:eastAsia="zh-CN"/>
        </w:rPr>
        <w:t>检测报告</w:t>
      </w:r>
    </w:p>
    <w:p w14:paraId="22113A0B">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b/>
          <w:color w:val="auto"/>
          <w:sz w:val="24"/>
        </w:rPr>
      </w:pPr>
      <w:r>
        <w:rPr>
          <w:rFonts w:hint="eastAsia"/>
          <w:b/>
          <w:color w:val="auto"/>
          <w:sz w:val="24"/>
          <w:lang w:eastAsia="zh-CN"/>
        </w:rPr>
        <w:t>三</w:t>
      </w:r>
      <w:r>
        <w:rPr>
          <w:rFonts w:hint="eastAsia"/>
          <w:b/>
          <w:color w:val="auto"/>
          <w:sz w:val="24"/>
        </w:rPr>
        <w:t>、建设项目环境保护审批基础信息表</w:t>
      </w:r>
    </w:p>
    <w:p w14:paraId="0878E8C5">
      <w:pPr>
        <w:jc w:val="both"/>
        <w:rPr>
          <w:rFonts w:hint="eastAsia" w:ascii="宋体" w:hAnsi="宋体" w:eastAsia="宋体" w:cs="宋体"/>
          <w:b/>
          <w:bCs/>
          <w:color w:val="auto"/>
          <w:sz w:val="32"/>
          <w:szCs w:val="32"/>
          <w:lang w:eastAsia="zh-CN"/>
        </w:rPr>
        <w:sectPr>
          <w:footerReference r:id="rId3" w:type="default"/>
          <w:pgSz w:w="11906" w:h="16838"/>
          <w:pgMar w:top="1134" w:right="1800" w:bottom="1134" w:left="1800" w:header="851" w:footer="992" w:gutter="0"/>
          <w:pgBorders>
            <w:top w:val="none" w:sz="0" w:space="0"/>
            <w:left w:val="none" w:sz="0" w:space="0"/>
            <w:bottom w:val="none" w:sz="0" w:space="0"/>
            <w:right w:val="none" w:sz="0" w:space="0"/>
          </w:pgBorders>
          <w:pgNumType w:fmt="numberInDash" w:start="1"/>
          <w:cols w:space="0" w:num="1"/>
          <w:rtlGutter w:val="0"/>
          <w:docGrid w:type="lines" w:linePitch="312" w:charSpace="0"/>
        </w:sectPr>
      </w:pPr>
    </w:p>
    <w:p w14:paraId="06D868FC">
      <w:pPr>
        <w:pStyle w:val="2"/>
        <w:rPr>
          <w:color w:val="auto"/>
        </w:rPr>
      </w:pPr>
      <w:bookmarkStart w:id="0" w:name="_Toc4317"/>
      <w:bookmarkStart w:id="1" w:name="_Toc9114"/>
      <w:bookmarkStart w:id="2" w:name="_Toc23178"/>
      <w:r>
        <w:rPr>
          <w:rFonts w:hint="eastAsia"/>
          <w:color w:val="auto"/>
          <w:lang w:eastAsia="zh-CN"/>
        </w:rPr>
        <w:t>一、</w:t>
      </w:r>
      <w:r>
        <w:rPr>
          <w:color w:val="auto"/>
        </w:rPr>
        <w:t>建设项目基本情况</w:t>
      </w:r>
      <w:bookmarkEnd w:id="0"/>
      <w:bookmarkEnd w:id="1"/>
      <w:bookmarkEnd w:id="2"/>
    </w:p>
    <w:tbl>
      <w:tblPr>
        <w:tblStyle w:val="16"/>
        <w:tblW w:w="9071"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1294"/>
        <w:gridCol w:w="512"/>
        <w:gridCol w:w="1494"/>
        <w:gridCol w:w="1629"/>
        <w:gridCol w:w="1306"/>
        <w:gridCol w:w="1229"/>
        <w:gridCol w:w="1607"/>
      </w:tblGrid>
      <w:tr w14:paraId="27FDBE1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806" w:type="dxa"/>
            <w:gridSpan w:val="2"/>
            <w:tcBorders>
              <w:right w:val="single" w:color="auto" w:sz="4" w:space="0"/>
            </w:tcBorders>
            <w:vAlign w:val="center"/>
          </w:tcPr>
          <w:p w14:paraId="3C5D25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项目名称</w:t>
            </w:r>
          </w:p>
        </w:tc>
        <w:tc>
          <w:tcPr>
            <w:tcW w:w="7265" w:type="dxa"/>
            <w:gridSpan w:val="5"/>
            <w:tcBorders>
              <w:left w:val="single" w:color="auto" w:sz="4" w:space="0"/>
              <w:tl2br w:val="nil"/>
              <w:tr2bl w:val="nil"/>
            </w:tcBorders>
            <w:vAlign w:val="center"/>
          </w:tcPr>
          <w:p w14:paraId="20AC48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eastAsia" w:cs="Times New Roman"/>
                <w:color w:val="auto"/>
                <w:sz w:val="24"/>
                <w:szCs w:val="24"/>
                <w:lang w:eastAsia="zh-CN"/>
              </w:rPr>
              <w:t>维纳春天</w:t>
            </w:r>
          </w:p>
        </w:tc>
      </w:tr>
      <w:tr w14:paraId="0E7D5F74">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806" w:type="dxa"/>
            <w:gridSpan w:val="2"/>
            <w:tcBorders>
              <w:right w:val="single" w:color="auto" w:sz="4" w:space="0"/>
            </w:tcBorders>
            <w:vAlign w:val="center"/>
          </w:tcPr>
          <w:p w14:paraId="537EB19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建设单位</w:t>
            </w:r>
          </w:p>
        </w:tc>
        <w:tc>
          <w:tcPr>
            <w:tcW w:w="7265" w:type="dxa"/>
            <w:gridSpan w:val="5"/>
            <w:tcBorders>
              <w:left w:val="single" w:color="auto" w:sz="4" w:space="0"/>
              <w:tl2br w:val="nil"/>
              <w:tr2bl w:val="nil"/>
            </w:tcBorders>
            <w:vAlign w:val="center"/>
          </w:tcPr>
          <w:p w14:paraId="2710367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4"/>
                <w:szCs w:val="24"/>
                <w:vertAlign w:val="baseline"/>
                <w:lang w:eastAsia="zh-CN"/>
              </w:rPr>
            </w:pPr>
            <w:r>
              <w:rPr>
                <w:rFonts w:hint="eastAsia" w:cs="Times New Roman"/>
                <w:b w:val="0"/>
                <w:i w:val="0"/>
                <w:caps w:val="0"/>
                <w:color w:val="auto"/>
                <w:spacing w:val="0"/>
                <w:sz w:val="24"/>
                <w:szCs w:val="24"/>
                <w:shd w:val="clear" w:fill="FFFFFF"/>
                <w:lang w:eastAsia="zh-CN"/>
              </w:rPr>
              <w:t>湖北省巨能房地产开发有限公司</w:t>
            </w:r>
          </w:p>
        </w:tc>
      </w:tr>
      <w:tr w14:paraId="14A4BB84">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806" w:type="dxa"/>
            <w:gridSpan w:val="2"/>
            <w:tcBorders>
              <w:right w:val="single" w:color="auto" w:sz="4" w:space="0"/>
            </w:tcBorders>
            <w:vAlign w:val="center"/>
          </w:tcPr>
          <w:p w14:paraId="45080CE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法人代表</w:t>
            </w:r>
          </w:p>
        </w:tc>
        <w:tc>
          <w:tcPr>
            <w:tcW w:w="7265" w:type="dxa"/>
            <w:gridSpan w:val="5"/>
            <w:tcBorders>
              <w:left w:val="single" w:color="auto" w:sz="4" w:space="0"/>
              <w:tl2br w:val="nil"/>
              <w:tr2bl w:val="nil"/>
            </w:tcBorders>
            <w:vAlign w:val="center"/>
          </w:tcPr>
          <w:p w14:paraId="4D61A5F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顾仁春</w:t>
            </w:r>
          </w:p>
        </w:tc>
      </w:tr>
      <w:tr w14:paraId="664F84F8">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806" w:type="dxa"/>
            <w:gridSpan w:val="2"/>
            <w:tcBorders>
              <w:right w:val="single" w:color="auto" w:sz="4" w:space="0"/>
            </w:tcBorders>
            <w:vAlign w:val="center"/>
          </w:tcPr>
          <w:p w14:paraId="5EB787A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通讯地址</w:t>
            </w:r>
          </w:p>
        </w:tc>
        <w:tc>
          <w:tcPr>
            <w:tcW w:w="7265" w:type="dxa"/>
            <w:gridSpan w:val="5"/>
            <w:tcBorders>
              <w:left w:val="single" w:color="auto" w:sz="4" w:space="0"/>
              <w:tl2br w:val="nil"/>
              <w:tr2bl w:val="nil"/>
            </w:tcBorders>
            <w:vAlign w:val="center"/>
          </w:tcPr>
          <w:p w14:paraId="6AD29C2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湖北省葛店开发区二号路以南</w:t>
            </w:r>
          </w:p>
        </w:tc>
      </w:tr>
      <w:tr w14:paraId="29A33B27">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806" w:type="dxa"/>
            <w:gridSpan w:val="2"/>
            <w:tcBorders>
              <w:right w:val="single" w:color="auto" w:sz="4" w:space="0"/>
            </w:tcBorders>
            <w:vAlign w:val="center"/>
          </w:tcPr>
          <w:p w14:paraId="097A3FD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联系电话</w:t>
            </w:r>
          </w:p>
        </w:tc>
        <w:tc>
          <w:tcPr>
            <w:tcW w:w="7265" w:type="dxa"/>
            <w:gridSpan w:val="5"/>
            <w:tcBorders>
              <w:left w:val="single" w:color="auto" w:sz="4" w:space="0"/>
              <w:tl2br w:val="nil"/>
              <w:tr2bl w:val="nil"/>
            </w:tcBorders>
            <w:vAlign w:val="center"/>
          </w:tcPr>
          <w:p w14:paraId="53AA12E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13308686989</w:t>
            </w:r>
          </w:p>
        </w:tc>
      </w:tr>
      <w:tr w14:paraId="3A27EE98">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806" w:type="dxa"/>
            <w:gridSpan w:val="2"/>
            <w:tcBorders>
              <w:right w:val="single" w:color="auto" w:sz="4" w:space="0"/>
            </w:tcBorders>
            <w:vAlign w:val="center"/>
          </w:tcPr>
          <w:p w14:paraId="3ED053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建设地点</w:t>
            </w:r>
          </w:p>
        </w:tc>
        <w:tc>
          <w:tcPr>
            <w:tcW w:w="7265" w:type="dxa"/>
            <w:gridSpan w:val="5"/>
            <w:tcBorders>
              <w:left w:val="single" w:color="auto" w:sz="4" w:space="0"/>
              <w:tl2br w:val="nil"/>
              <w:tr2bl w:val="nil"/>
            </w:tcBorders>
            <w:vAlign w:val="center"/>
          </w:tcPr>
          <w:p w14:paraId="1C9ABD8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cs="Times New Roman"/>
                <w:color w:val="auto"/>
                <w:sz w:val="24"/>
                <w:szCs w:val="24"/>
                <w:vertAlign w:val="baseline"/>
                <w:lang w:eastAsia="zh-CN"/>
              </w:rPr>
              <w:t>鄂州市葛店</w:t>
            </w:r>
            <w:r>
              <w:rPr>
                <w:rFonts w:hint="eastAsia" w:cs="Times New Roman"/>
                <w:color w:val="auto"/>
                <w:sz w:val="24"/>
                <w:szCs w:val="24"/>
                <w:vertAlign w:val="baseline"/>
                <w:lang w:eastAsia="zh-CN"/>
              </w:rPr>
              <w:t>开发区三号工业区</w:t>
            </w:r>
          </w:p>
        </w:tc>
      </w:tr>
      <w:tr w14:paraId="4C362B0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806" w:type="dxa"/>
            <w:gridSpan w:val="2"/>
            <w:tcBorders>
              <w:right w:val="single" w:color="auto" w:sz="4" w:space="0"/>
            </w:tcBorders>
            <w:vAlign w:val="center"/>
          </w:tcPr>
          <w:p w14:paraId="1CFDB8E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vertAlign w:val="baseline"/>
                <w:lang w:eastAsia="zh-CN"/>
              </w:rPr>
              <w:t>立项审批部门</w:t>
            </w:r>
          </w:p>
        </w:tc>
        <w:tc>
          <w:tcPr>
            <w:tcW w:w="3123" w:type="dxa"/>
            <w:gridSpan w:val="2"/>
            <w:tcBorders>
              <w:left w:val="single" w:color="auto" w:sz="4" w:space="0"/>
              <w:right w:val="single" w:color="000000" w:sz="4" w:space="0"/>
              <w:tl2br w:val="nil"/>
              <w:tr2bl w:val="nil"/>
            </w:tcBorders>
            <w:vAlign w:val="center"/>
          </w:tcPr>
          <w:p w14:paraId="495FAA4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w:t>
            </w:r>
          </w:p>
        </w:tc>
        <w:tc>
          <w:tcPr>
            <w:tcW w:w="1306" w:type="dxa"/>
            <w:tcBorders>
              <w:left w:val="single" w:color="000000" w:sz="4" w:space="0"/>
              <w:right w:val="single" w:color="000000" w:sz="4" w:space="0"/>
              <w:tl2br w:val="nil"/>
              <w:tr2bl w:val="nil"/>
            </w:tcBorders>
            <w:vAlign w:val="center"/>
          </w:tcPr>
          <w:p w14:paraId="394CA9F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vertAlign w:val="baseline"/>
                <w:lang w:eastAsia="zh-CN"/>
              </w:rPr>
              <w:t>批准文号</w:t>
            </w:r>
          </w:p>
        </w:tc>
        <w:tc>
          <w:tcPr>
            <w:tcW w:w="2836" w:type="dxa"/>
            <w:gridSpan w:val="2"/>
            <w:tcBorders>
              <w:left w:val="single" w:color="000000" w:sz="4" w:space="0"/>
              <w:tl2br w:val="nil"/>
              <w:tr2bl w:val="nil"/>
            </w:tcBorders>
            <w:vAlign w:val="center"/>
          </w:tcPr>
          <w:p w14:paraId="05073F0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w:t>
            </w:r>
          </w:p>
        </w:tc>
      </w:tr>
      <w:tr w14:paraId="563D0E6D">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294" w:type="dxa"/>
            <w:tcBorders>
              <w:right w:val="single" w:color="000000" w:sz="4" w:space="0"/>
            </w:tcBorders>
            <w:vAlign w:val="center"/>
          </w:tcPr>
          <w:p w14:paraId="1080F64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建设性质</w:t>
            </w:r>
          </w:p>
        </w:tc>
        <w:tc>
          <w:tcPr>
            <w:tcW w:w="3635" w:type="dxa"/>
            <w:gridSpan w:val="3"/>
            <w:tcBorders>
              <w:left w:val="single" w:color="000000" w:sz="4" w:space="0"/>
              <w:right w:val="single" w:color="000000" w:sz="4" w:space="0"/>
            </w:tcBorders>
            <w:vAlign w:val="center"/>
          </w:tcPr>
          <w:p w14:paraId="53730F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新建√  改扩建□</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技改□</w:t>
            </w:r>
          </w:p>
        </w:tc>
        <w:tc>
          <w:tcPr>
            <w:tcW w:w="1306" w:type="dxa"/>
            <w:tcBorders>
              <w:left w:val="single" w:color="000000" w:sz="4" w:space="0"/>
              <w:right w:val="single" w:color="000000" w:sz="4" w:space="0"/>
            </w:tcBorders>
            <w:vAlign w:val="center"/>
          </w:tcPr>
          <w:p w14:paraId="60DCDAD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行业类别</w:t>
            </w:r>
          </w:p>
          <w:p w14:paraId="5B3E67B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及代码</w:t>
            </w:r>
          </w:p>
        </w:tc>
        <w:tc>
          <w:tcPr>
            <w:tcW w:w="2836" w:type="dxa"/>
            <w:gridSpan w:val="2"/>
            <w:tcBorders>
              <w:left w:val="single" w:color="000000" w:sz="4" w:space="0"/>
            </w:tcBorders>
            <w:vAlign w:val="center"/>
          </w:tcPr>
          <w:p w14:paraId="7B3E7D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cs="Times New Roman"/>
                <w:color w:val="auto"/>
                <w:sz w:val="24"/>
                <w:szCs w:val="24"/>
              </w:rPr>
              <w:t>K7010房地产开发经营</w:t>
            </w:r>
          </w:p>
        </w:tc>
      </w:tr>
      <w:tr w14:paraId="184D941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294" w:type="dxa"/>
            <w:tcBorders>
              <w:right w:val="single" w:color="000000" w:sz="4" w:space="0"/>
            </w:tcBorders>
            <w:vAlign w:val="center"/>
          </w:tcPr>
          <w:p w14:paraId="6278D51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cs="Times New Roman"/>
                <w:color w:val="auto"/>
                <w:sz w:val="24"/>
                <w:szCs w:val="24"/>
                <w:lang w:eastAsia="zh-CN"/>
              </w:rPr>
              <w:t>占</w:t>
            </w:r>
            <w:r>
              <w:rPr>
                <w:rFonts w:hint="default" w:ascii="Times New Roman" w:hAnsi="Times New Roman" w:eastAsia="宋体" w:cs="Times New Roman"/>
                <w:color w:val="auto"/>
                <w:sz w:val="24"/>
                <w:szCs w:val="24"/>
              </w:rPr>
              <w:t>地面积(平方米)</w:t>
            </w:r>
          </w:p>
        </w:tc>
        <w:tc>
          <w:tcPr>
            <w:tcW w:w="3635" w:type="dxa"/>
            <w:gridSpan w:val="3"/>
            <w:tcBorders>
              <w:left w:val="single" w:color="000000" w:sz="4" w:space="0"/>
              <w:right w:val="single" w:color="000000" w:sz="4" w:space="0"/>
            </w:tcBorders>
            <w:vAlign w:val="center"/>
          </w:tcPr>
          <w:p w14:paraId="107D39D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21762.2</w:t>
            </w:r>
          </w:p>
        </w:tc>
        <w:tc>
          <w:tcPr>
            <w:tcW w:w="1306" w:type="dxa"/>
            <w:tcBorders>
              <w:left w:val="single" w:color="000000" w:sz="4" w:space="0"/>
              <w:right w:val="single" w:color="000000" w:sz="4" w:space="0"/>
            </w:tcBorders>
            <w:vAlign w:val="center"/>
          </w:tcPr>
          <w:p w14:paraId="29FE6E0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lang w:eastAsia="zh-CN"/>
              </w:rPr>
              <w:t>建筑</w:t>
            </w:r>
            <w:r>
              <w:rPr>
                <w:rFonts w:hint="default" w:ascii="Times New Roman" w:hAnsi="Times New Roman" w:eastAsia="宋体" w:cs="Times New Roman"/>
                <w:color w:val="auto"/>
                <w:sz w:val="24"/>
                <w:szCs w:val="24"/>
              </w:rPr>
              <w:t>面积(平方米)</w:t>
            </w:r>
          </w:p>
        </w:tc>
        <w:tc>
          <w:tcPr>
            <w:tcW w:w="2836" w:type="dxa"/>
            <w:gridSpan w:val="2"/>
            <w:tcBorders>
              <w:left w:val="single" w:color="000000" w:sz="4" w:space="0"/>
            </w:tcBorders>
            <w:vAlign w:val="center"/>
          </w:tcPr>
          <w:p w14:paraId="1D19EF3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85522.37</w:t>
            </w:r>
          </w:p>
        </w:tc>
      </w:tr>
      <w:tr w14:paraId="60630C95">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294" w:type="dxa"/>
            <w:tcBorders>
              <w:right w:val="single" w:color="000000" w:sz="4" w:space="0"/>
            </w:tcBorders>
            <w:vAlign w:val="center"/>
          </w:tcPr>
          <w:p w14:paraId="7A1A0B4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总投资</w:t>
            </w:r>
          </w:p>
          <w:p w14:paraId="6D57CAB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(万元)</w:t>
            </w:r>
          </w:p>
        </w:tc>
        <w:tc>
          <w:tcPr>
            <w:tcW w:w="2006" w:type="dxa"/>
            <w:gridSpan w:val="2"/>
            <w:tcBorders>
              <w:left w:val="single" w:color="000000" w:sz="4" w:space="0"/>
              <w:right w:val="single" w:color="000000" w:sz="4" w:space="0"/>
            </w:tcBorders>
            <w:vAlign w:val="center"/>
          </w:tcPr>
          <w:p w14:paraId="6E44BD1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15000</w:t>
            </w:r>
          </w:p>
        </w:tc>
        <w:tc>
          <w:tcPr>
            <w:tcW w:w="1629" w:type="dxa"/>
            <w:tcBorders>
              <w:left w:val="single" w:color="000000" w:sz="4" w:space="0"/>
              <w:right w:val="single" w:color="000000" w:sz="4" w:space="0"/>
            </w:tcBorders>
            <w:vAlign w:val="center"/>
          </w:tcPr>
          <w:p w14:paraId="74821ED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环保投资</w:t>
            </w:r>
          </w:p>
          <w:p w14:paraId="464EE15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cs="Times New Roman"/>
                <w:color w:val="auto"/>
                <w:sz w:val="24"/>
                <w:szCs w:val="24"/>
              </w:rPr>
              <w:t>(万元)</w:t>
            </w:r>
          </w:p>
        </w:tc>
        <w:tc>
          <w:tcPr>
            <w:tcW w:w="1306" w:type="dxa"/>
            <w:tcBorders>
              <w:left w:val="single" w:color="000000" w:sz="4" w:space="0"/>
              <w:right w:val="single" w:color="000000" w:sz="4" w:space="0"/>
            </w:tcBorders>
            <w:vAlign w:val="center"/>
          </w:tcPr>
          <w:p w14:paraId="3932C3A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500</w:t>
            </w:r>
          </w:p>
        </w:tc>
        <w:tc>
          <w:tcPr>
            <w:tcW w:w="1229" w:type="dxa"/>
            <w:tcBorders>
              <w:left w:val="single" w:color="000000" w:sz="4" w:space="0"/>
              <w:right w:val="single" w:color="000000" w:sz="4" w:space="0"/>
            </w:tcBorders>
            <w:vAlign w:val="center"/>
          </w:tcPr>
          <w:p w14:paraId="65E3FD1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环保投资占总投资</w:t>
            </w:r>
          </w:p>
          <w:p w14:paraId="4359820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cs="Times New Roman"/>
                <w:color w:val="auto"/>
                <w:sz w:val="24"/>
                <w:szCs w:val="24"/>
              </w:rPr>
              <w:t>比例</w:t>
            </w:r>
          </w:p>
        </w:tc>
        <w:tc>
          <w:tcPr>
            <w:tcW w:w="1607" w:type="dxa"/>
            <w:tcBorders>
              <w:left w:val="single" w:color="000000" w:sz="4" w:space="0"/>
            </w:tcBorders>
            <w:vAlign w:val="center"/>
          </w:tcPr>
          <w:p w14:paraId="43772DA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3.33%</w:t>
            </w:r>
          </w:p>
        </w:tc>
      </w:tr>
      <w:tr w14:paraId="2F08A998">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1294" w:type="dxa"/>
            <w:tcBorders>
              <w:right w:val="single" w:color="000000" w:sz="4" w:space="0"/>
            </w:tcBorders>
            <w:vAlign w:val="center"/>
          </w:tcPr>
          <w:p w14:paraId="5C5AEDC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default" w:ascii="Times New Roman" w:hAnsi="Times New Roman" w:eastAsia="宋体" w:cs="Times New Roman"/>
                <w:color w:val="auto"/>
                <w:sz w:val="24"/>
                <w:szCs w:val="24"/>
              </w:rPr>
              <w:t>评价经费(万元)</w:t>
            </w:r>
          </w:p>
        </w:tc>
        <w:tc>
          <w:tcPr>
            <w:tcW w:w="2006" w:type="dxa"/>
            <w:gridSpan w:val="2"/>
            <w:tcBorders>
              <w:left w:val="single" w:color="000000" w:sz="4" w:space="0"/>
              <w:right w:val="single" w:color="000000" w:sz="4" w:space="0"/>
            </w:tcBorders>
            <w:vAlign w:val="center"/>
          </w:tcPr>
          <w:p w14:paraId="52FB469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w:t>
            </w:r>
          </w:p>
        </w:tc>
        <w:tc>
          <w:tcPr>
            <w:tcW w:w="1629" w:type="dxa"/>
            <w:tcBorders>
              <w:left w:val="single" w:color="000000" w:sz="4" w:space="0"/>
              <w:right w:val="single" w:color="000000" w:sz="4" w:space="0"/>
            </w:tcBorders>
            <w:vAlign w:val="center"/>
          </w:tcPr>
          <w:p w14:paraId="10EE0E6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预期</w:t>
            </w:r>
          </w:p>
          <w:p w14:paraId="30F0B6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eastAsia="zh-CN"/>
              </w:rPr>
            </w:pPr>
            <w:r>
              <w:rPr>
                <w:rFonts w:hint="eastAsia" w:cs="Times New Roman"/>
                <w:color w:val="auto"/>
                <w:sz w:val="24"/>
                <w:szCs w:val="24"/>
                <w:lang w:eastAsia="zh-CN"/>
              </w:rPr>
              <w:t>投产</w:t>
            </w:r>
            <w:r>
              <w:rPr>
                <w:rFonts w:hint="default" w:ascii="Times New Roman" w:hAnsi="Times New Roman" w:cs="Times New Roman"/>
                <w:color w:val="auto"/>
                <w:sz w:val="24"/>
                <w:szCs w:val="24"/>
              </w:rPr>
              <w:t>日期</w:t>
            </w:r>
          </w:p>
        </w:tc>
        <w:tc>
          <w:tcPr>
            <w:tcW w:w="4142" w:type="dxa"/>
            <w:gridSpan w:val="3"/>
            <w:tcBorders>
              <w:left w:val="single" w:color="000000" w:sz="4" w:space="0"/>
            </w:tcBorders>
            <w:vAlign w:val="center"/>
          </w:tcPr>
          <w:p w14:paraId="2F97E3D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vertAlign w:val="baseline"/>
                <w:lang w:val="en-US" w:eastAsia="zh-CN"/>
              </w:rPr>
            </w:pPr>
            <w:r>
              <w:rPr>
                <w:rFonts w:hint="eastAsia" w:cs="Times New Roman"/>
                <w:color w:val="auto"/>
                <w:sz w:val="24"/>
                <w:szCs w:val="24"/>
                <w:vertAlign w:val="baseline"/>
                <w:lang w:val="en-US" w:eastAsia="zh-CN"/>
              </w:rPr>
              <w:t>2019年6月</w:t>
            </w:r>
          </w:p>
        </w:tc>
      </w:tr>
      <w:tr w14:paraId="4431BC04">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3429" w:hRule="atLeast"/>
          <w:jc w:val="center"/>
        </w:trPr>
        <w:tc>
          <w:tcPr>
            <w:tcW w:w="9071" w:type="dxa"/>
            <w:gridSpan w:val="7"/>
            <w:tcBorders>
              <w:tl2br w:val="nil"/>
              <w:tr2bl w:val="nil"/>
            </w:tcBorders>
            <w:vAlign w:val="center"/>
          </w:tcPr>
          <w:p w14:paraId="2FD7043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default" w:ascii="Times New Roman" w:hAnsi="Times New Roman" w:cs="Times New Roman"/>
                <w:b/>
                <w:color w:val="auto"/>
                <w:kern w:val="0"/>
                <w:sz w:val="30"/>
                <w:szCs w:val="30"/>
              </w:rPr>
            </w:pPr>
            <w:r>
              <w:rPr>
                <w:rFonts w:hint="default" w:ascii="Times New Roman" w:hAnsi="Times New Roman" w:cs="Times New Roman"/>
                <w:b/>
                <w:color w:val="auto"/>
                <w:kern w:val="0"/>
                <w:sz w:val="30"/>
                <w:szCs w:val="30"/>
              </w:rPr>
              <w:t>工程内容及规模：</w:t>
            </w:r>
          </w:p>
          <w:p w14:paraId="13DA09D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default" w:ascii="Times New Roman" w:hAnsi="Times New Roman" w:eastAsia="宋体" w:cs="Times New Roman"/>
                <w:b/>
                <w:bCs/>
                <w:color w:val="auto"/>
                <w:sz w:val="28"/>
                <w:szCs w:val="28"/>
                <w:lang w:val="en-US" w:eastAsia="zh-CN"/>
              </w:rPr>
            </w:pPr>
            <w:r>
              <w:rPr>
                <w:rFonts w:hint="default" w:ascii="Times New Roman" w:hAnsi="Times New Roman" w:cs="Times New Roman"/>
                <w:b/>
                <w:color w:val="auto"/>
                <w:kern w:val="0"/>
                <w:sz w:val="28"/>
                <w:szCs w:val="28"/>
              </w:rPr>
              <w:t>一、项目由来</w:t>
            </w:r>
          </w:p>
          <w:p w14:paraId="0538AC7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bookmarkStart w:id="3" w:name="_Toc398885701"/>
            <w:r>
              <w:rPr>
                <w:rFonts w:hint="eastAsia" w:cs="Times New Roman"/>
                <w:b w:val="0"/>
                <w:i w:val="0"/>
                <w:caps w:val="0"/>
                <w:color w:val="auto"/>
                <w:spacing w:val="0"/>
                <w:sz w:val="24"/>
                <w:szCs w:val="24"/>
                <w:shd w:val="clear" w:fill="FFFFFF"/>
                <w:lang w:eastAsia="zh-CN"/>
              </w:rPr>
              <w:t>湖北省巨能房地产开发有限公司拟在</w:t>
            </w:r>
            <w:r>
              <w:rPr>
                <w:rFonts w:hint="default" w:ascii="Times New Roman" w:hAnsi="Times New Roman" w:cs="Times New Roman"/>
                <w:color w:val="auto"/>
                <w:sz w:val="24"/>
                <w:szCs w:val="24"/>
                <w:vertAlign w:val="baseline"/>
                <w:lang w:eastAsia="zh-CN"/>
              </w:rPr>
              <w:t>鄂州市葛店</w:t>
            </w:r>
            <w:r>
              <w:rPr>
                <w:rFonts w:hint="eastAsia" w:cs="Times New Roman"/>
                <w:color w:val="auto"/>
                <w:sz w:val="24"/>
                <w:szCs w:val="24"/>
                <w:vertAlign w:val="baseline"/>
                <w:lang w:eastAsia="zh-CN"/>
              </w:rPr>
              <w:t>开发区三号工业区建设</w:t>
            </w:r>
            <w:r>
              <w:rPr>
                <w:rFonts w:hint="eastAsia" w:cs="Times New Roman"/>
                <w:b w:val="0"/>
                <w:i w:val="0"/>
                <w:caps w:val="0"/>
                <w:color w:val="auto"/>
                <w:spacing w:val="0"/>
                <w:sz w:val="24"/>
                <w:szCs w:val="24"/>
                <w:shd w:val="clear" w:fill="FFFFFF"/>
                <w:lang w:eastAsia="zh-CN"/>
              </w:rPr>
              <w:t>维纳春天</w:t>
            </w:r>
            <w:bookmarkEnd w:id="3"/>
            <w:r>
              <w:rPr>
                <w:rFonts w:hint="eastAsia" w:cs="Times New Roman"/>
                <w:b w:val="0"/>
                <w:i w:val="0"/>
                <w:caps w:val="0"/>
                <w:color w:val="auto"/>
                <w:spacing w:val="0"/>
                <w:sz w:val="24"/>
                <w:szCs w:val="24"/>
                <w:shd w:val="clear" w:fill="FFFFFF"/>
                <w:lang w:eastAsia="zh-CN"/>
              </w:rPr>
              <w:t>项目。</w:t>
            </w:r>
            <w:r>
              <w:rPr>
                <w:rFonts w:hint="default" w:ascii="Times New Roman" w:hAnsi="Times New Roman" w:cs="Times New Roman"/>
                <w:color w:val="auto"/>
                <w:sz w:val="24"/>
                <w:szCs w:val="24"/>
              </w:rPr>
              <w:t>根据建设单位提供的资料，</w:t>
            </w:r>
            <w:r>
              <w:rPr>
                <w:rFonts w:hint="eastAsia" w:cs="Times New Roman"/>
                <w:color w:val="auto"/>
                <w:sz w:val="24"/>
                <w:szCs w:val="24"/>
                <w:lang w:eastAsia="zh-CN"/>
              </w:rPr>
              <w:t>维纳春天项目规划净</w:t>
            </w:r>
            <w:r>
              <w:rPr>
                <w:rFonts w:hint="default" w:ascii="Times New Roman" w:hAnsi="Times New Roman" w:cs="Times New Roman"/>
                <w:color w:val="auto"/>
                <w:sz w:val="24"/>
                <w:szCs w:val="24"/>
                <w:lang w:eastAsia="zh-CN"/>
              </w:rPr>
              <w:t>用</w:t>
            </w:r>
            <w:r>
              <w:rPr>
                <w:rFonts w:hint="default" w:ascii="Times New Roman" w:hAnsi="Times New Roman" w:cs="Times New Roman"/>
                <w:color w:val="auto"/>
                <w:sz w:val="24"/>
                <w:szCs w:val="24"/>
              </w:rPr>
              <w:t>地面积为</w:t>
            </w:r>
            <w:r>
              <w:rPr>
                <w:rFonts w:hint="eastAsia" w:cs="Times New Roman"/>
                <w:color w:val="auto"/>
                <w:sz w:val="24"/>
                <w:szCs w:val="24"/>
                <w:lang w:val="en-US" w:eastAsia="zh-CN"/>
              </w:rPr>
              <w:t>21762.2</w:t>
            </w:r>
            <w:r>
              <w:rPr>
                <w:rFonts w:hint="default" w:ascii="Times New Roman" w:hAnsi="Times New Roman" w:cs="Times New Roman"/>
                <w:color w:val="auto"/>
                <w:sz w:val="24"/>
                <w:szCs w:val="24"/>
                <w:lang w:eastAsia="zh-CN"/>
              </w:rPr>
              <w:t>平方米</w:t>
            </w:r>
            <w:r>
              <w:rPr>
                <w:rFonts w:hint="eastAsia" w:cs="Times New Roman"/>
                <w:color w:val="auto"/>
                <w:sz w:val="24"/>
                <w:szCs w:val="24"/>
                <w:lang w:eastAsia="zh-CN"/>
              </w:rPr>
              <w:t>，</w:t>
            </w:r>
            <w:r>
              <w:rPr>
                <w:rFonts w:hint="default" w:ascii="Times New Roman" w:hAnsi="Times New Roman" w:cs="Times New Roman"/>
                <w:color w:val="auto"/>
                <w:sz w:val="24"/>
              </w:rPr>
              <w:t>建筑</w:t>
            </w:r>
            <w:r>
              <w:rPr>
                <w:rFonts w:hint="default" w:ascii="Times New Roman" w:hAnsi="Times New Roman" w:cs="Times New Roman"/>
                <w:color w:val="auto"/>
                <w:sz w:val="24"/>
                <w:lang w:eastAsia="zh-CN"/>
              </w:rPr>
              <w:t>总</w:t>
            </w:r>
            <w:r>
              <w:rPr>
                <w:rFonts w:hint="default" w:ascii="Times New Roman" w:hAnsi="Times New Roman" w:cs="Times New Roman"/>
                <w:color w:val="auto"/>
                <w:sz w:val="24"/>
              </w:rPr>
              <w:t>面积</w:t>
            </w:r>
            <w:r>
              <w:rPr>
                <w:rFonts w:hint="eastAsia" w:cs="Times New Roman"/>
                <w:color w:val="auto"/>
                <w:sz w:val="24"/>
                <w:szCs w:val="24"/>
                <w:lang w:val="en-US" w:eastAsia="zh-CN"/>
              </w:rPr>
              <w:t>85522.37</w:t>
            </w:r>
            <w:r>
              <w:rPr>
                <w:rFonts w:hint="default" w:ascii="Times New Roman" w:hAnsi="Times New Roman" w:cs="Times New Roman"/>
                <w:color w:val="auto"/>
                <w:sz w:val="24"/>
              </w:rPr>
              <w:t>平方米，</w:t>
            </w:r>
            <w:r>
              <w:rPr>
                <w:rFonts w:hint="default" w:ascii="Times New Roman" w:hAnsi="Times New Roman" w:cs="Times New Roman"/>
                <w:color w:val="auto"/>
                <w:sz w:val="24"/>
                <w:lang w:eastAsia="zh-CN"/>
              </w:rPr>
              <w:t>其中商业建筑面积为</w:t>
            </w:r>
            <w:r>
              <w:rPr>
                <w:rFonts w:hint="eastAsia" w:cs="Times New Roman"/>
                <w:color w:val="auto"/>
                <w:sz w:val="24"/>
                <w:lang w:val="en-US" w:eastAsia="zh-CN"/>
              </w:rPr>
              <w:t>3214.12</w:t>
            </w:r>
            <w:r>
              <w:rPr>
                <w:rFonts w:hint="default" w:ascii="Times New Roman" w:hAnsi="Times New Roman" w:cs="Times New Roman"/>
                <w:color w:val="auto"/>
                <w:sz w:val="24"/>
                <w:lang w:val="en-US" w:eastAsia="zh-CN"/>
              </w:rPr>
              <w:t>平方米，居住建筑面积为</w:t>
            </w:r>
            <w:r>
              <w:rPr>
                <w:rFonts w:hint="eastAsia" w:cs="Times New Roman"/>
                <w:color w:val="auto"/>
                <w:sz w:val="24"/>
                <w:lang w:val="en-US" w:eastAsia="zh-CN"/>
              </w:rPr>
              <w:t>67445.76</w:t>
            </w:r>
            <w:r>
              <w:rPr>
                <w:rFonts w:hint="default" w:ascii="Times New Roman" w:hAnsi="Times New Roman" w:cs="Times New Roman"/>
                <w:color w:val="auto"/>
                <w:sz w:val="24"/>
                <w:lang w:val="en-US" w:eastAsia="zh-CN"/>
              </w:rPr>
              <w:t>平方米</w:t>
            </w:r>
            <w:r>
              <w:rPr>
                <w:rFonts w:hint="eastAsia" w:cs="Times New Roman"/>
                <w:color w:val="auto"/>
                <w:sz w:val="24"/>
                <w:lang w:val="en-US" w:eastAsia="zh-CN"/>
              </w:rPr>
              <w:t>，</w:t>
            </w:r>
            <w:r>
              <w:rPr>
                <w:rFonts w:hint="default" w:ascii="Times New Roman" w:hAnsi="Times New Roman" w:cs="Times New Roman"/>
                <w:color w:val="auto"/>
                <w:sz w:val="24"/>
                <w:szCs w:val="24"/>
              </w:rPr>
              <w:t>地下</w:t>
            </w:r>
            <w:r>
              <w:rPr>
                <w:rFonts w:hint="default" w:ascii="Times New Roman" w:hAnsi="Times New Roman" w:cs="Times New Roman"/>
                <w:color w:val="auto"/>
                <w:sz w:val="24"/>
                <w:szCs w:val="24"/>
                <w:lang w:eastAsia="zh-CN"/>
              </w:rPr>
              <w:t>车库</w:t>
            </w:r>
            <w:r>
              <w:rPr>
                <w:rFonts w:hint="default" w:ascii="Times New Roman" w:hAnsi="Times New Roman" w:cs="Times New Roman"/>
                <w:color w:val="auto"/>
                <w:sz w:val="24"/>
                <w:szCs w:val="24"/>
              </w:rPr>
              <w:t>面积</w:t>
            </w:r>
            <w:r>
              <w:rPr>
                <w:rFonts w:hint="eastAsia" w:cs="Times New Roman"/>
                <w:color w:val="auto"/>
                <w:sz w:val="24"/>
                <w:szCs w:val="24"/>
                <w:lang w:val="en-US" w:eastAsia="zh-CN"/>
              </w:rPr>
              <w:t>12872.67</w:t>
            </w:r>
            <w:r>
              <w:rPr>
                <w:rFonts w:hint="default" w:ascii="Times New Roman" w:hAnsi="Times New Roman" w:cs="Times New Roman"/>
                <w:color w:val="auto"/>
                <w:sz w:val="24"/>
                <w:szCs w:val="24"/>
                <w:lang w:eastAsia="zh-CN"/>
              </w:rPr>
              <w:t>平方米</w:t>
            </w:r>
            <w:r>
              <w:rPr>
                <w:rFonts w:hint="default" w:ascii="Times New Roman" w:hAnsi="Times New Roman" w:cs="Times New Roman"/>
                <w:color w:val="auto"/>
                <w:sz w:val="24"/>
              </w:rPr>
              <w:t>。总居住户数</w:t>
            </w:r>
            <w:r>
              <w:rPr>
                <w:rFonts w:hint="eastAsia" w:cs="Times New Roman"/>
                <w:color w:val="auto"/>
                <w:sz w:val="24"/>
                <w:lang w:val="en-US" w:eastAsia="zh-CN"/>
              </w:rPr>
              <w:t>660</w:t>
            </w:r>
            <w:r>
              <w:rPr>
                <w:rFonts w:hint="default" w:ascii="Times New Roman" w:hAnsi="Times New Roman" w:cs="Times New Roman"/>
                <w:color w:val="auto"/>
                <w:sz w:val="24"/>
              </w:rPr>
              <w:t>户，规划总居住人口</w:t>
            </w:r>
            <w:r>
              <w:rPr>
                <w:rFonts w:hint="eastAsia" w:cs="Times New Roman"/>
                <w:color w:val="auto"/>
                <w:sz w:val="24"/>
                <w:lang w:val="en-US" w:eastAsia="zh-CN"/>
              </w:rPr>
              <w:t>2112</w:t>
            </w:r>
            <w:r>
              <w:rPr>
                <w:rFonts w:hint="default" w:ascii="Times New Roman" w:hAnsi="Times New Roman" w:cs="Times New Roman"/>
                <w:color w:val="auto"/>
                <w:sz w:val="24"/>
              </w:rPr>
              <w:t>人</w:t>
            </w:r>
            <w:r>
              <w:rPr>
                <w:rFonts w:hint="default" w:ascii="Times New Roman" w:hAnsi="Times New Roman" w:cs="Times New Roman"/>
                <w:color w:val="auto"/>
                <w:sz w:val="24"/>
                <w:lang w:eastAsia="zh-CN"/>
              </w:rPr>
              <w:t>（每户按照</w:t>
            </w:r>
            <w:r>
              <w:rPr>
                <w:rFonts w:hint="default" w:ascii="Times New Roman" w:hAnsi="Times New Roman" w:cs="Times New Roman"/>
                <w:color w:val="auto"/>
                <w:sz w:val="24"/>
                <w:lang w:val="en-US" w:eastAsia="zh-CN"/>
              </w:rPr>
              <w:t>3.</w:t>
            </w:r>
            <w:r>
              <w:rPr>
                <w:rFonts w:hint="eastAsia" w:cs="Times New Roman"/>
                <w:color w:val="auto"/>
                <w:sz w:val="24"/>
                <w:lang w:val="en-US" w:eastAsia="zh-CN"/>
              </w:rPr>
              <w:t>2</w:t>
            </w:r>
            <w:r>
              <w:rPr>
                <w:rFonts w:hint="default" w:ascii="Times New Roman" w:hAnsi="Times New Roman" w:cs="Times New Roman"/>
                <w:color w:val="auto"/>
                <w:sz w:val="24"/>
                <w:lang w:val="en-US" w:eastAsia="zh-CN"/>
              </w:rPr>
              <w:t>人计</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，容积率</w:t>
            </w:r>
            <w:r>
              <w:rPr>
                <w:rFonts w:hint="eastAsia" w:cs="Times New Roman"/>
                <w:color w:val="auto"/>
                <w:sz w:val="24"/>
                <w:lang w:val="en-US" w:eastAsia="zh-CN"/>
              </w:rPr>
              <w:t>3.5</w:t>
            </w:r>
            <w:r>
              <w:rPr>
                <w:rFonts w:hint="default" w:ascii="Times New Roman" w:hAnsi="Times New Roman" w:cs="Times New Roman"/>
                <w:color w:val="auto"/>
                <w:sz w:val="24"/>
              </w:rPr>
              <w:t>，绿化覆盖率</w:t>
            </w:r>
            <w:r>
              <w:rPr>
                <w:rFonts w:hint="eastAsia" w:cs="Times New Roman"/>
                <w:color w:val="auto"/>
                <w:sz w:val="24"/>
                <w:lang w:val="en-US" w:eastAsia="zh-CN"/>
              </w:rPr>
              <w:t>35.88</w:t>
            </w:r>
            <w:r>
              <w:rPr>
                <w:rFonts w:hint="default" w:ascii="Times New Roman" w:hAnsi="Times New Roman" w:cs="Times New Roman"/>
                <w:color w:val="auto"/>
                <w:sz w:val="24"/>
              </w:rPr>
              <w:t>%。</w:t>
            </w:r>
          </w:p>
          <w:p w14:paraId="4DA4D46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根据《中华人民共和国环境影响评价法》第十三条、第二十条和国务院令第253号《建设项目环境保护管理条例》以及环境保护部令第</w:t>
            </w:r>
            <w:r>
              <w:rPr>
                <w:rFonts w:hint="eastAsia" w:cs="Times New Roman"/>
                <w:color w:val="auto"/>
                <w:sz w:val="24"/>
                <w:szCs w:val="24"/>
                <w:lang w:val="en-US" w:eastAsia="zh-CN"/>
              </w:rPr>
              <w:t>44</w:t>
            </w:r>
            <w:r>
              <w:rPr>
                <w:rFonts w:hint="default" w:ascii="Times New Roman" w:hAnsi="Times New Roman" w:cs="Times New Roman"/>
                <w:color w:val="auto"/>
                <w:sz w:val="24"/>
                <w:szCs w:val="24"/>
              </w:rPr>
              <w:t>号《建设项目环境影响评价分类管理名录》的有关规定：项目类别</w:t>
            </w:r>
            <w:r>
              <w:rPr>
                <w:rFonts w:hint="eastAsia" w:cs="Times New Roman"/>
                <w:color w:val="auto"/>
                <w:sz w:val="24"/>
                <w:szCs w:val="24"/>
                <w:lang w:eastAsia="zh-CN"/>
              </w:rPr>
              <w:t>“三十六、</w:t>
            </w:r>
            <w:r>
              <w:rPr>
                <w:rFonts w:hint="default" w:ascii="Times New Roman" w:hAnsi="Times New Roman" w:cs="Times New Roman"/>
                <w:color w:val="auto"/>
                <w:sz w:val="24"/>
                <w:szCs w:val="24"/>
              </w:rPr>
              <w:t>房地产</w:t>
            </w:r>
            <w:r>
              <w:rPr>
                <w:rFonts w:hint="eastAsia" w:cs="Times New Roman"/>
                <w:color w:val="auto"/>
                <w:sz w:val="24"/>
                <w:szCs w:val="24"/>
                <w:lang w:val="en-US" w:eastAsia="zh-CN"/>
              </w:rPr>
              <w:t>-</w:t>
            </w:r>
            <w:r>
              <w:rPr>
                <w:rFonts w:hint="default" w:ascii="Times New Roman" w:hAnsi="Times New Roman" w:cs="Times New Roman"/>
                <w:color w:val="auto"/>
                <w:sz w:val="24"/>
                <w:szCs w:val="24"/>
              </w:rPr>
              <w:t>房地产开发、宾馆、酒店、办公用房等建筑面积5万平方米及以上；涉及环境敏感区的</w:t>
            </w:r>
            <w:r>
              <w:rPr>
                <w:rFonts w:hint="eastAsia" w:cs="Times New Roman"/>
                <w:color w:val="auto"/>
                <w:sz w:val="24"/>
                <w:szCs w:val="24"/>
                <w:lang w:eastAsia="zh-CN"/>
              </w:rPr>
              <w:t>”</w:t>
            </w:r>
            <w:r>
              <w:rPr>
                <w:rFonts w:hint="default" w:ascii="Times New Roman" w:hAnsi="Times New Roman" w:cs="Times New Roman"/>
                <w:color w:val="auto"/>
                <w:sz w:val="24"/>
                <w:szCs w:val="24"/>
              </w:rPr>
              <w:t>需编制环境影响报告表，本项目</w:t>
            </w:r>
            <w:r>
              <w:rPr>
                <w:rFonts w:hint="eastAsia" w:cs="Times New Roman"/>
                <w:color w:val="auto"/>
                <w:sz w:val="24"/>
                <w:szCs w:val="24"/>
                <w:lang w:eastAsia="zh-CN"/>
              </w:rPr>
              <w:t>总</w:t>
            </w:r>
            <w:r>
              <w:rPr>
                <w:rFonts w:hint="default" w:ascii="Times New Roman" w:hAnsi="Times New Roman" w:cs="Times New Roman"/>
                <w:color w:val="auto"/>
                <w:sz w:val="24"/>
                <w:szCs w:val="24"/>
              </w:rPr>
              <w:t>建筑面积为</w:t>
            </w:r>
            <w:r>
              <w:rPr>
                <w:rFonts w:hint="eastAsia" w:cs="Times New Roman"/>
                <w:color w:val="auto"/>
                <w:sz w:val="24"/>
                <w:szCs w:val="24"/>
                <w:lang w:val="en-US" w:eastAsia="zh-CN"/>
              </w:rPr>
              <w:t>85522.37</w:t>
            </w:r>
            <w:r>
              <w:rPr>
                <w:rFonts w:hint="default" w:ascii="Times New Roman" w:hAnsi="Times New Roman" w:cs="Times New Roman"/>
                <w:color w:val="auto"/>
                <w:sz w:val="24"/>
                <w:szCs w:val="24"/>
                <w:lang w:val="en-US" w:eastAsia="zh-CN"/>
              </w:rPr>
              <w:t>平方米</w:t>
            </w:r>
            <w:r>
              <w:rPr>
                <w:rFonts w:hint="default" w:ascii="Times New Roman" w:hAnsi="Times New Roman" w:cs="Times New Roman"/>
                <w:color w:val="auto"/>
                <w:sz w:val="24"/>
                <w:szCs w:val="24"/>
              </w:rPr>
              <w:t>，因此项目需编制环境影响评价报告表。</w:t>
            </w:r>
            <w:r>
              <w:rPr>
                <w:rFonts w:hint="eastAsia" w:cs="Times New Roman"/>
                <w:b w:val="0"/>
                <w:i w:val="0"/>
                <w:caps w:val="0"/>
                <w:color w:val="auto"/>
                <w:spacing w:val="0"/>
                <w:sz w:val="24"/>
                <w:szCs w:val="24"/>
                <w:shd w:val="clear" w:fill="FFFFFF"/>
                <w:lang w:eastAsia="zh-CN"/>
              </w:rPr>
              <w:t>湖北省巨能房地产开发有限公司</w:t>
            </w:r>
            <w:r>
              <w:rPr>
                <w:rFonts w:hint="default" w:ascii="Times New Roman" w:hAnsi="Times New Roman" w:cs="Times New Roman"/>
                <w:color w:val="auto"/>
                <w:sz w:val="24"/>
                <w:szCs w:val="24"/>
              </w:rPr>
              <w:t>于201</w:t>
            </w:r>
            <w:r>
              <w:rPr>
                <w:rFonts w:hint="eastAsia" w:cs="Times New Roman"/>
                <w:color w:val="auto"/>
                <w:sz w:val="24"/>
                <w:szCs w:val="24"/>
                <w:lang w:val="en-US" w:eastAsia="zh-CN"/>
              </w:rPr>
              <w:t>7</w:t>
            </w:r>
            <w:r>
              <w:rPr>
                <w:rFonts w:hint="default" w:ascii="Times New Roman" w:hAnsi="Times New Roman" w:cs="Times New Roman"/>
                <w:color w:val="auto"/>
                <w:sz w:val="24"/>
                <w:szCs w:val="24"/>
              </w:rPr>
              <w:t>年</w:t>
            </w:r>
            <w:r>
              <w:rPr>
                <w:rFonts w:hint="eastAsia" w:cs="Times New Roman"/>
                <w:color w:val="auto"/>
                <w:sz w:val="24"/>
                <w:szCs w:val="24"/>
                <w:lang w:val="en-US" w:eastAsia="zh-CN"/>
              </w:rPr>
              <w:t>12</w:t>
            </w:r>
            <w:r>
              <w:rPr>
                <w:rFonts w:hint="default" w:ascii="Times New Roman" w:hAnsi="Times New Roman" w:cs="Times New Roman"/>
                <w:color w:val="auto"/>
                <w:sz w:val="24"/>
                <w:szCs w:val="24"/>
              </w:rPr>
              <w:t>月</w:t>
            </w:r>
            <w:r>
              <w:rPr>
                <w:rFonts w:hint="eastAsia" w:cs="Times New Roman"/>
                <w:color w:val="auto"/>
                <w:sz w:val="24"/>
                <w:szCs w:val="24"/>
                <w:lang w:val="en-US" w:eastAsia="zh-CN"/>
              </w:rPr>
              <w:t>29</w:t>
            </w:r>
            <w:r>
              <w:rPr>
                <w:rFonts w:hint="default" w:ascii="Times New Roman" w:hAnsi="Times New Roman" w:cs="Times New Roman"/>
                <w:color w:val="auto"/>
                <w:sz w:val="24"/>
                <w:szCs w:val="24"/>
              </w:rPr>
              <w:t>日委托</w:t>
            </w:r>
            <w:r>
              <w:rPr>
                <w:rFonts w:hint="eastAsia"/>
                <w:color w:val="auto"/>
                <w:sz w:val="24"/>
                <w:szCs w:val="24"/>
              </w:rPr>
              <w:t>英勒斐特环境科技发展（上海）有限公司</w:t>
            </w:r>
            <w:r>
              <w:rPr>
                <w:rFonts w:hint="default" w:ascii="Times New Roman" w:hAnsi="Times New Roman" w:cs="Times New Roman"/>
                <w:color w:val="auto"/>
                <w:sz w:val="24"/>
                <w:szCs w:val="24"/>
              </w:rPr>
              <w:t>对</w:t>
            </w:r>
            <w:r>
              <w:rPr>
                <w:rFonts w:hint="eastAsia" w:cs="Times New Roman"/>
                <w:color w:val="auto"/>
                <w:sz w:val="24"/>
                <w:szCs w:val="24"/>
                <w:lang w:eastAsia="zh-CN"/>
              </w:rPr>
              <w:t>维纳春天项目</w:t>
            </w:r>
            <w:r>
              <w:rPr>
                <w:rFonts w:hint="default" w:ascii="Times New Roman" w:hAnsi="Times New Roman" w:cs="Times New Roman"/>
                <w:color w:val="auto"/>
                <w:sz w:val="24"/>
                <w:szCs w:val="24"/>
              </w:rPr>
              <w:t>进行环境影响评价工作。我公司接受委托后，随即组织人员到项目建设场地及其周围进行了实地勘查与调研，收集了有关的工程资料，依照《环境影响评价技术导则》，结合该项目的建设特点，编制了《</w:t>
            </w:r>
            <w:r>
              <w:rPr>
                <w:rFonts w:hint="eastAsia" w:cs="Times New Roman"/>
                <w:color w:val="auto"/>
                <w:sz w:val="24"/>
                <w:szCs w:val="24"/>
                <w:lang w:eastAsia="zh-CN"/>
              </w:rPr>
              <w:t>维纳春天</w:t>
            </w:r>
            <w:r>
              <w:rPr>
                <w:rFonts w:hint="default" w:ascii="Times New Roman" w:hAnsi="Times New Roman" w:cs="Times New Roman"/>
                <w:color w:val="auto"/>
                <w:sz w:val="24"/>
                <w:szCs w:val="24"/>
              </w:rPr>
              <w:t>环境影响报告表》，交由建设单位呈报给</w:t>
            </w:r>
            <w:r>
              <w:rPr>
                <w:rFonts w:hint="eastAsia" w:cs="Times New Roman"/>
                <w:color w:val="auto"/>
                <w:sz w:val="24"/>
                <w:szCs w:val="24"/>
                <w:lang w:eastAsia="zh-CN"/>
              </w:rPr>
              <w:t>葛店开发区</w:t>
            </w:r>
            <w:r>
              <w:rPr>
                <w:rFonts w:hint="default" w:ascii="Times New Roman" w:hAnsi="Times New Roman" w:cs="Times New Roman"/>
                <w:color w:val="auto"/>
                <w:sz w:val="24"/>
                <w:szCs w:val="24"/>
              </w:rPr>
              <w:t>环境保护局审批。</w:t>
            </w:r>
          </w:p>
          <w:p w14:paraId="3D3425B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562" w:firstLineChars="200"/>
              <w:jc w:val="both"/>
              <w:textAlignment w:val="auto"/>
              <w:outlineLvl w:val="9"/>
              <w:rPr>
                <w:rFonts w:hint="default" w:ascii="Times New Roman" w:hAnsi="Times New Roman" w:cs="Times New Roman" w:eastAsiaTheme="minorEastAsia"/>
                <w:b/>
                <w:color w:val="auto"/>
                <w:sz w:val="28"/>
                <w:szCs w:val="28"/>
              </w:rPr>
            </w:pPr>
            <w:r>
              <w:rPr>
                <w:rFonts w:hint="default" w:ascii="Times New Roman" w:hAnsi="Times New Roman" w:cs="Times New Roman" w:eastAsiaTheme="minorEastAsia"/>
                <w:b/>
                <w:color w:val="auto"/>
                <w:sz w:val="28"/>
                <w:szCs w:val="28"/>
              </w:rPr>
              <w:t>二、编制依据</w:t>
            </w:r>
          </w:p>
          <w:p w14:paraId="2DF6ED68">
            <w:pPr>
              <w:spacing w:line="360" w:lineRule="auto"/>
              <w:ind w:firstLine="482" w:firstLineChars="200"/>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1、</w:t>
            </w:r>
            <w:r>
              <w:rPr>
                <w:rFonts w:hint="default" w:ascii="Times New Roman" w:hAnsi="Times New Roman" w:eastAsia="宋体" w:cs="Times New Roman"/>
                <w:b/>
                <w:bCs/>
                <w:color w:val="auto"/>
                <w:sz w:val="24"/>
                <w:szCs w:val="24"/>
                <w:lang w:eastAsia="zh-CN"/>
              </w:rPr>
              <w:t>政策</w:t>
            </w:r>
            <w:r>
              <w:rPr>
                <w:rFonts w:hint="default" w:ascii="Times New Roman" w:hAnsi="Times New Roman" w:eastAsia="宋体" w:cs="Times New Roman"/>
                <w:b/>
                <w:bCs/>
                <w:color w:val="auto"/>
                <w:sz w:val="24"/>
                <w:szCs w:val="24"/>
              </w:rPr>
              <w:t>法规</w:t>
            </w:r>
          </w:p>
          <w:p w14:paraId="42122343">
            <w:pPr>
              <w:spacing w:line="360" w:lineRule="auto"/>
              <w:ind w:firstLine="480" w:firstLineChars="200"/>
              <w:rPr>
                <w:color w:val="auto"/>
                <w:sz w:val="24"/>
                <w:szCs w:val="24"/>
              </w:rPr>
            </w:pPr>
            <w:r>
              <w:rPr>
                <w:color w:val="auto"/>
                <w:sz w:val="24"/>
                <w:szCs w:val="24"/>
              </w:rPr>
              <w:t>（1）《中华人民共和国环境保护法》（2015年1月1日）；</w:t>
            </w:r>
          </w:p>
          <w:p w14:paraId="061CCB67">
            <w:pPr>
              <w:spacing w:line="360" w:lineRule="auto"/>
              <w:ind w:firstLine="480" w:firstLineChars="200"/>
              <w:rPr>
                <w:color w:val="auto"/>
                <w:sz w:val="24"/>
                <w:szCs w:val="24"/>
              </w:rPr>
            </w:pPr>
            <w:r>
              <w:rPr>
                <w:color w:val="auto"/>
                <w:sz w:val="24"/>
                <w:szCs w:val="24"/>
              </w:rPr>
              <w:t>（2）《中华人民共和国环境影响评价法》（2016年9月1日）；</w:t>
            </w:r>
          </w:p>
          <w:p w14:paraId="05BA884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szCs w:val="24"/>
              </w:rPr>
            </w:pPr>
            <w:r>
              <w:rPr>
                <w:color w:val="auto"/>
                <w:sz w:val="24"/>
                <w:szCs w:val="24"/>
              </w:rPr>
              <w:t>（3）</w:t>
            </w:r>
            <w:r>
              <w:rPr>
                <w:rFonts w:hint="default" w:ascii="Times New Roman" w:hAnsi="Times New Roman" w:eastAsia="宋体" w:cs="Times New Roman"/>
                <w:b w:val="0"/>
                <w:bCs w:val="0"/>
                <w:sz w:val="24"/>
                <w:szCs w:val="24"/>
                <w:lang w:eastAsia="zh-CN"/>
              </w:rPr>
              <w:t>《建设项目环境保护管理条例》（国务院令第682号），2017年10月1日起施行；</w:t>
            </w:r>
          </w:p>
          <w:p w14:paraId="08BAA1E2">
            <w:pPr>
              <w:spacing w:line="360" w:lineRule="auto"/>
              <w:ind w:firstLine="480" w:firstLineChars="200"/>
              <w:rPr>
                <w:color w:val="auto"/>
                <w:sz w:val="24"/>
                <w:szCs w:val="24"/>
              </w:rPr>
            </w:pPr>
            <w:r>
              <w:rPr>
                <w:color w:val="auto"/>
                <w:sz w:val="24"/>
                <w:szCs w:val="24"/>
              </w:rPr>
              <w:t>（4）《中华人民共和国水污染防治法》（2008年6月1日）；</w:t>
            </w:r>
          </w:p>
          <w:p w14:paraId="008B7551">
            <w:pPr>
              <w:spacing w:line="360" w:lineRule="auto"/>
              <w:ind w:firstLine="480" w:firstLineChars="200"/>
              <w:rPr>
                <w:color w:val="auto"/>
                <w:sz w:val="24"/>
                <w:szCs w:val="24"/>
              </w:rPr>
            </w:pPr>
            <w:r>
              <w:rPr>
                <w:color w:val="auto"/>
                <w:sz w:val="24"/>
                <w:szCs w:val="24"/>
              </w:rPr>
              <w:t>（5）《中华人民共和国大气污染防治法》（2016年1月1日）；</w:t>
            </w:r>
          </w:p>
          <w:p w14:paraId="3FCCCE1C">
            <w:pPr>
              <w:spacing w:line="360" w:lineRule="auto"/>
              <w:ind w:firstLine="480" w:firstLineChars="200"/>
              <w:rPr>
                <w:color w:val="auto"/>
                <w:sz w:val="24"/>
                <w:szCs w:val="24"/>
              </w:rPr>
            </w:pPr>
            <w:r>
              <w:rPr>
                <w:color w:val="auto"/>
                <w:sz w:val="24"/>
                <w:szCs w:val="24"/>
              </w:rPr>
              <w:t>（6）《中华人民共和国环境噪声污染防治法》（1997年3月1日）；</w:t>
            </w:r>
          </w:p>
          <w:p w14:paraId="20008ECD">
            <w:pPr>
              <w:spacing w:line="360" w:lineRule="auto"/>
              <w:ind w:firstLine="480" w:firstLineChars="200"/>
              <w:rPr>
                <w:color w:val="auto"/>
                <w:sz w:val="24"/>
                <w:szCs w:val="24"/>
              </w:rPr>
            </w:pPr>
            <w:r>
              <w:rPr>
                <w:color w:val="auto"/>
                <w:sz w:val="24"/>
                <w:szCs w:val="24"/>
              </w:rPr>
              <w:t>（7）《中华人民共和国固体废物污染环境防治法》（2015年4月25日修订）；</w:t>
            </w:r>
          </w:p>
          <w:p w14:paraId="06380F74">
            <w:pPr>
              <w:spacing w:line="360" w:lineRule="auto"/>
              <w:ind w:firstLine="480" w:firstLineChars="200"/>
              <w:rPr>
                <w:color w:val="auto"/>
                <w:sz w:val="24"/>
                <w:szCs w:val="24"/>
              </w:rPr>
            </w:pPr>
            <w:r>
              <w:rPr>
                <w:color w:val="auto"/>
                <w:sz w:val="24"/>
                <w:szCs w:val="24"/>
              </w:rPr>
              <w:t>（8）《中华人民共和国环境影响评价法》（2016年9月1日起执行）；</w:t>
            </w:r>
          </w:p>
          <w:p w14:paraId="2F62CF19">
            <w:pPr>
              <w:spacing w:line="360" w:lineRule="auto"/>
              <w:ind w:firstLine="480" w:firstLineChars="200"/>
              <w:rPr>
                <w:color w:val="auto"/>
                <w:sz w:val="24"/>
                <w:szCs w:val="24"/>
              </w:rPr>
            </w:pPr>
            <w:r>
              <w:rPr>
                <w:color w:val="auto"/>
                <w:sz w:val="24"/>
                <w:szCs w:val="24"/>
              </w:rPr>
              <w:t>（9）《中华人民共和国清洁生产促进法》（2012年7月1日施行）；</w:t>
            </w:r>
          </w:p>
          <w:p w14:paraId="46FCC3B0">
            <w:pPr>
              <w:spacing w:line="360" w:lineRule="auto"/>
              <w:ind w:firstLine="480" w:firstLineChars="200"/>
              <w:rPr>
                <w:color w:val="auto"/>
                <w:sz w:val="24"/>
                <w:szCs w:val="24"/>
              </w:rPr>
            </w:pPr>
            <w:r>
              <w:rPr>
                <w:color w:val="auto"/>
                <w:sz w:val="24"/>
                <w:szCs w:val="24"/>
              </w:rPr>
              <w:t>（10）《中华人民共和国节约能源法》（2016年修订）；</w:t>
            </w:r>
          </w:p>
          <w:p w14:paraId="7F911EDC">
            <w:pPr>
              <w:spacing w:line="360" w:lineRule="auto"/>
              <w:ind w:firstLine="480" w:firstLineChars="200"/>
              <w:rPr>
                <w:color w:val="auto"/>
                <w:sz w:val="24"/>
                <w:szCs w:val="24"/>
              </w:rPr>
            </w:pPr>
            <w:r>
              <w:rPr>
                <w:color w:val="auto"/>
                <w:sz w:val="24"/>
                <w:szCs w:val="24"/>
              </w:rPr>
              <w:t>（11）《建设项目环境影响评价分类管理名录》(国家环境保护部令第</w:t>
            </w:r>
            <w:r>
              <w:rPr>
                <w:rFonts w:hint="eastAsia"/>
                <w:color w:val="auto"/>
                <w:sz w:val="24"/>
                <w:szCs w:val="24"/>
                <w:lang w:val="en-US" w:eastAsia="zh-CN"/>
              </w:rPr>
              <w:t>44</w:t>
            </w:r>
            <w:r>
              <w:rPr>
                <w:color w:val="auto"/>
                <w:sz w:val="24"/>
                <w:szCs w:val="24"/>
              </w:rPr>
              <w:t>号，201</w:t>
            </w:r>
            <w:r>
              <w:rPr>
                <w:rFonts w:hint="eastAsia"/>
                <w:color w:val="auto"/>
                <w:sz w:val="24"/>
                <w:szCs w:val="24"/>
                <w:lang w:val="en-US" w:eastAsia="zh-CN"/>
              </w:rPr>
              <w:t>7</w:t>
            </w:r>
            <w:r>
              <w:rPr>
                <w:color w:val="auto"/>
                <w:sz w:val="24"/>
                <w:szCs w:val="24"/>
              </w:rPr>
              <w:t>)；</w:t>
            </w:r>
          </w:p>
          <w:p w14:paraId="21FCABB0">
            <w:pPr>
              <w:spacing w:line="360" w:lineRule="auto"/>
              <w:ind w:firstLine="480" w:firstLineChars="200"/>
              <w:rPr>
                <w:color w:val="auto"/>
                <w:sz w:val="24"/>
                <w:szCs w:val="24"/>
              </w:rPr>
            </w:pPr>
            <w:r>
              <w:rPr>
                <w:color w:val="auto"/>
                <w:sz w:val="24"/>
                <w:szCs w:val="24"/>
              </w:rPr>
              <w:t>（12）《国家环保总局关于公布&lt;建设项目环境影响报告表&gt;(试行)和&lt;建设项目环境影响登记表&gt;(试行)内容及格式的通知》，原国家环保总局环发[1999]178号；</w:t>
            </w:r>
          </w:p>
          <w:p w14:paraId="6EF5D58D">
            <w:pPr>
              <w:spacing w:line="360" w:lineRule="auto"/>
              <w:ind w:firstLine="480" w:firstLineChars="200"/>
              <w:rPr>
                <w:color w:val="auto"/>
                <w:sz w:val="24"/>
                <w:szCs w:val="24"/>
              </w:rPr>
            </w:pPr>
            <w:r>
              <w:rPr>
                <w:color w:val="auto"/>
                <w:sz w:val="24"/>
                <w:szCs w:val="24"/>
              </w:rPr>
              <w:t>（13）《产业结构调整指导目录（2011年本）（修正）》，国家发改委2013年第21号令，（2013年2月16日）；</w:t>
            </w:r>
          </w:p>
          <w:p w14:paraId="480A2154">
            <w:pPr>
              <w:spacing w:line="360" w:lineRule="auto"/>
              <w:ind w:firstLine="480" w:firstLineChars="200"/>
              <w:rPr>
                <w:color w:val="auto"/>
                <w:sz w:val="24"/>
                <w:szCs w:val="24"/>
              </w:rPr>
            </w:pPr>
            <w:r>
              <w:rPr>
                <w:color w:val="auto"/>
                <w:sz w:val="24"/>
                <w:szCs w:val="24"/>
              </w:rPr>
              <w:t>（14）《城市绿化条例》（1992年6月22日国务院发布）；</w:t>
            </w:r>
          </w:p>
          <w:p w14:paraId="5ABE2500">
            <w:pPr>
              <w:spacing w:line="360" w:lineRule="auto"/>
              <w:ind w:firstLine="480" w:firstLineChars="200"/>
              <w:rPr>
                <w:color w:val="auto"/>
                <w:sz w:val="24"/>
                <w:szCs w:val="24"/>
              </w:rPr>
            </w:pPr>
            <w:r>
              <w:rPr>
                <w:color w:val="auto"/>
                <w:sz w:val="24"/>
                <w:szCs w:val="24"/>
              </w:rPr>
              <w:t>（15）《中华人民共和国土地管理法》，2004年8月28日修正；</w:t>
            </w:r>
          </w:p>
          <w:p w14:paraId="33158DAD">
            <w:pPr>
              <w:spacing w:line="360" w:lineRule="auto"/>
              <w:ind w:firstLine="480" w:firstLineChars="200"/>
              <w:rPr>
                <w:color w:val="auto"/>
                <w:sz w:val="24"/>
                <w:szCs w:val="24"/>
              </w:rPr>
            </w:pPr>
            <w:r>
              <w:rPr>
                <w:color w:val="auto"/>
                <w:sz w:val="24"/>
                <w:szCs w:val="24"/>
              </w:rPr>
              <w:t>（16）《中华人民共和国城市房地产管理法》，2007年8月30日起施行；</w:t>
            </w:r>
          </w:p>
          <w:p w14:paraId="48D77CF9">
            <w:pPr>
              <w:spacing w:line="360" w:lineRule="auto"/>
              <w:ind w:firstLine="480" w:firstLineChars="200"/>
              <w:rPr>
                <w:color w:val="auto"/>
                <w:sz w:val="24"/>
                <w:szCs w:val="24"/>
              </w:rPr>
            </w:pPr>
            <w:r>
              <w:rPr>
                <w:color w:val="auto"/>
                <w:sz w:val="24"/>
                <w:szCs w:val="24"/>
              </w:rPr>
              <w:t>（17）《中华人民共和国城乡规划法》，2015年4月24日修改。</w:t>
            </w:r>
          </w:p>
          <w:p w14:paraId="48C4F564">
            <w:pPr>
              <w:spacing w:line="360" w:lineRule="auto"/>
              <w:ind w:firstLine="480" w:firstLineChars="200"/>
              <w:rPr>
                <w:color w:val="auto"/>
                <w:sz w:val="24"/>
                <w:szCs w:val="24"/>
              </w:rPr>
            </w:pPr>
            <w:r>
              <w:rPr>
                <w:rFonts w:hint="eastAsia"/>
                <w:color w:val="auto"/>
                <w:sz w:val="24"/>
                <w:szCs w:val="24"/>
              </w:rPr>
              <w:t>（18）鄂州市人民政府发布</w:t>
            </w:r>
            <w:r>
              <w:rPr>
                <w:color w:val="auto"/>
                <w:sz w:val="24"/>
                <w:szCs w:val="24"/>
              </w:rPr>
              <w:t>《鄂州市扬尘污染防治管理办法（修订）》（鄂州政规〔2014〕12号）</w:t>
            </w:r>
            <w:r>
              <w:rPr>
                <w:rFonts w:hint="eastAsia"/>
                <w:color w:val="auto"/>
                <w:sz w:val="24"/>
                <w:szCs w:val="24"/>
              </w:rPr>
              <w:t>。</w:t>
            </w:r>
          </w:p>
          <w:p w14:paraId="080C0807">
            <w:pPr>
              <w:spacing w:line="360" w:lineRule="auto"/>
              <w:ind w:firstLine="480" w:firstLineChars="200"/>
              <w:rPr>
                <w:color w:val="auto"/>
                <w:sz w:val="24"/>
                <w:szCs w:val="24"/>
              </w:rPr>
            </w:pPr>
            <w:r>
              <w:rPr>
                <w:rFonts w:hint="eastAsia"/>
                <w:color w:val="auto"/>
                <w:sz w:val="24"/>
                <w:szCs w:val="24"/>
              </w:rPr>
              <w:t>（19）《湖北省大气污染防治条例》，1997年12月3日湖北省第八届人民代表大会常务委员会第三十一次会议通过；2004年7月30日湖北省第十界人民代表大会常务委员会第十次会议修改。</w:t>
            </w:r>
          </w:p>
          <w:p w14:paraId="0380435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2、技术规范与导则</w:t>
            </w:r>
          </w:p>
          <w:p w14:paraId="6266460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lang w:eastAsia="zh-CN"/>
              </w:rPr>
              <w:t>）</w:t>
            </w:r>
            <w:r>
              <w:rPr>
                <w:rFonts w:hint="default" w:ascii="Times New Roman" w:hAnsi="Times New Roman" w:cs="Times New Roman" w:eastAsiaTheme="minorEastAsia"/>
                <w:sz w:val="24"/>
                <w:szCs w:val="24"/>
                <w:lang w:eastAsia="zh-CN"/>
              </w:rPr>
              <w:t>《建设项目环境影响评价技术导则-总纲》（HJ2.1-201</w:t>
            </w:r>
            <w:r>
              <w:rPr>
                <w:rFonts w:hint="eastAsia" w:cs="Times New Roman" w:eastAsiaTheme="minorEastAsia"/>
                <w:sz w:val="24"/>
                <w:szCs w:val="24"/>
                <w:lang w:val="en-US" w:eastAsia="zh-CN"/>
              </w:rPr>
              <w:t>6</w:t>
            </w:r>
            <w:r>
              <w:rPr>
                <w:rFonts w:hint="default" w:ascii="Times New Roman" w:hAnsi="Times New Roman" w:cs="Times New Roman" w:eastAsiaTheme="minorEastAsia"/>
                <w:sz w:val="24"/>
                <w:szCs w:val="24"/>
                <w:lang w:eastAsia="zh-CN"/>
              </w:rPr>
              <w:t>）；</w:t>
            </w:r>
          </w:p>
          <w:p w14:paraId="7EEF2A9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lang w:eastAsia="zh-CN"/>
              </w:rPr>
              <w:t>）</w:t>
            </w:r>
            <w:r>
              <w:rPr>
                <w:rFonts w:hint="default" w:ascii="Times New Roman" w:hAnsi="Times New Roman" w:cs="Times New Roman" w:eastAsiaTheme="minorEastAsia"/>
                <w:sz w:val="24"/>
                <w:szCs w:val="24"/>
                <w:lang w:eastAsia="zh-CN"/>
              </w:rPr>
              <w:t>《</w:t>
            </w:r>
            <w:r>
              <w:rPr>
                <w:rFonts w:hint="eastAsia" w:cs="Times New Roman"/>
                <w:sz w:val="24"/>
                <w:szCs w:val="24"/>
                <w:lang w:eastAsia="zh-CN"/>
              </w:rPr>
              <w:t>建设项目</w:t>
            </w:r>
            <w:r>
              <w:rPr>
                <w:rFonts w:hint="default" w:ascii="Times New Roman" w:hAnsi="Times New Roman" w:cs="Times New Roman" w:eastAsiaTheme="minorEastAsia"/>
                <w:sz w:val="24"/>
                <w:szCs w:val="24"/>
                <w:lang w:eastAsia="zh-CN"/>
              </w:rPr>
              <w:t>环境影响评价技术导则</w:t>
            </w:r>
            <w:r>
              <w:rPr>
                <w:rFonts w:hint="eastAsia"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lang w:eastAsia="zh-CN"/>
              </w:rPr>
              <w:t>大气环境》（HJ2.2-2008）；</w:t>
            </w:r>
          </w:p>
          <w:p w14:paraId="2348A89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default" w:ascii="Times New Roman" w:hAnsi="Times New Roman" w:cs="Times New Roman" w:eastAsiaTheme="minorEastAsia"/>
                <w:sz w:val="24"/>
                <w:szCs w:val="24"/>
                <w:lang w:eastAsia="zh-CN"/>
              </w:rPr>
              <w:t>《</w:t>
            </w:r>
            <w:r>
              <w:rPr>
                <w:rFonts w:hint="eastAsia" w:cs="Times New Roman"/>
                <w:sz w:val="24"/>
                <w:szCs w:val="24"/>
                <w:lang w:eastAsia="zh-CN"/>
              </w:rPr>
              <w:t>建设项目</w:t>
            </w:r>
            <w:r>
              <w:rPr>
                <w:rFonts w:hint="default" w:ascii="Times New Roman" w:hAnsi="Times New Roman" w:cs="Times New Roman" w:eastAsiaTheme="minorEastAsia"/>
                <w:sz w:val="24"/>
                <w:szCs w:val="24"/>
                <w:lang w:eastAsia="zh-CN"/>
              </w:rPr>
              <w:t>环境影响评价技术导则</w:t>
            </w:r>
            <w:r>
              <w:rPr>
                <w:rFonts w:hint="eastAsia"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lang w:eastAsia="zh-CN"/>
              </w:rPr>
              <w:t>地面水环境》（HJ/T2.3-93）；</w:t>
            </w:r>
          </w:p>
          <w:p w14:paraId="297C463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lang w:eastAsia="zh-CN"/>
              </w:rPr>
              <w:t>）</w:t>
            </w:r>
            <w:r>
              <w:rPr>
                <w:rFonts w:hint="default" w:ascii="Times New Roman" w:hAnsi="Times New Roman" w:cs="Times New Roman" w:eastAsiaTheme="minorEastAsia"/>
                <w:sz w:val="24"/>
                <w:szCs w:val="24"/>
                <w:lang w:eastAsia="zh-CN"/>
              </w:rPr>
              <w:t>《</w:t>
            </w:r>
            <w:r>
              <w:rPr>
                <w:rFonts w:hint="eastAsia" w:cs="Times New Roman"/>
                <w:sz w:val="24"/>
                <w:szCs w:val="24"/>
                <w:lang w:eastAsia="zh-CN"/>
              </w:rPr>
              <w:t>建设项目</w:t>
            </w:r>
            <w:r>
              <w:rPr>
                <w:rFonts w:hint="default" w:ascii="Times New Roman" w:hAnsi="Times New Roman" w:cs="Times New Roman" w:eastAsiaTheme="minorEastAsia"/>
                <w:sz w:val="24"/>
                <w:szCs w:val="24"/>
                <w:lang w:eastAsia="zh-CN"/>
              </w:rPr>
              <w:t>环境影响评价技术导则</w:t>
            </w:r>
            <w:r>
              <w:rPr>
                <w:rFonts w:hint="eastAsia"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lang w:eastAsia="zh-CN"/>
              </w:rPr>
              <w:t>声环境》（HJ2.4-2009）；</w:t>
            </w:r>
          </w:p>
          <w:p w14:paraId="754F2F2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lang w:eastAsia="zh-CN"/>
              </w:rPr>
              <w:t>）</w:t>
            </w:r>
            <w:r>
              <w:rPr>
                <w:rFonts w:hint="default" w:ascii="Times New Roman" w:hAnsi="Times New Roman" w:cs="Times New Roman"/>
                <w:sz w:val="24"/>
                <w:szCs w:val="24"/>
              </w:rPr>
              <w:t>《</w:t>
            </w:r>
            <w:r>
              <w:rPr>
                <w:rFonts w:hint="eastAsia" w:cs="Times New Roman"/>
                <w:sz w:val="24"/>
                <w:szCs w:val="24"/>
                <w:lang w:eastAsia="zh-CN"/>
              </w:rPr>
              <w:t>建设项目</w:t>
            </w:r>
            <w:r>
              <w:rPr>
                <w:rFonts w:hint="default" w:ascii="Times New Roman" w:hAnsi="Times New Roman" w:cs="Times New Roman"/>
                <w:sz w:val="24"/>
                <w:szCs w:val="24"/>
              </w:rPr>
              <w:t>环境影响评价技术导则</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生态环境》（HJ19-2011）；</w:t>
            </w:r>
          </w:p>
          <w:p w14:paraId="311BE63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s="Times New Roman"/>
                <w:sz w:val="24"/>
                <w:szCs w:val="24"/>
                <w:lang w:eastAsia="zh-CN"/>
              </w:rPr>
            </w:pPr>
            <w:r>
              <w:rPr>
                <w:rFonts w:hint="eastAsia" w:cs="Times New Roman"/>
                <w:sz w:val="24"/>
                <w:szCs w:val="24"/>
                <w:lang w:eastAsia="zh-CN"/>
              </w:rPr>
              <w:t>（</w:t>
            </w:r>
            <w:r>
              <w:rPr>
                <w:rFonts w:hint="eastAsia" w:cs="Times New Roman"/>
                <w:sz w:val="24"/>
                <w:szCs w:val="24"/>
                <w:lang w:val="en-US" w:eastAsia="zh-CN"/>
              </w:rPr>
              <w:t>6</w:t>
            </w:r>
            <w:r>
              <w:rPr>
                <w:rFonts w:hint="eastAsia" w:cs="Times New Roman"/>
                <w:sz w:val="24"/>
                <w:szCs w:val="24"/>
                <w:lang w:eastAsia="zh-CN"/>
              </w:rPr>
              <w:t>）《建设项目环境影响评价技术导则</w:t>
            </w:r>
            <w:r>
              <w:rPr>
                <w:rFonts w:hint="eastAsia" w:cs="Times New Roman"/>
                <w:sz w:val="24"/>
                <w:szCs w:val="24"/>
                <w:lang w:val="en-US" w:eastAsia="zh-CN"/>
              </w:rPr>
              <w:t>-</w:t>
            </w:r>
            <w:r>
              <w:rPr>
                <w:rFonts w:hint="eastAsia" w:cs="Times New Roman"/>
                <w:sz w:val="24"/>
                <w:szCs w:val="24"/>
                <w:lang w:eastAsia="zh-CN"/>
              </w:rPr>
              <w:t>地下水环境》（HJ610-2016）；</w:t>
            </w:r>
          </w:p>
          <w:p w14:paraId="403CEE9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sz w:val="24"/>
                <w:szCs w:val="24"/>
                <w:lang w:eastAsia="zh-CN"/>
              </w:rPr>
            </w:pPr>
            <w:r>
              <w:rPr>
                <w:rFonts w:hint="eastAsia" w:cs="Times New Roman"/>
                <w:sz w:val="24"/>
                <w:szCs w:val="24"/>
                <w:lang w:eastAsia="zh-CN"/>
              </w:rPr>
              <w:t>（</w:t>
            </w:r>
            <w:r>
              <w:rPr>
                <w:rFonts w:hint="eastAsia" w:cs="Times New Roman"/>
                <w:sz w:val="24"/>
                <w:szCs w:val="24"/>
                <w:lang w:val="en-US" w:eastAsia="zh-CN"/>
              </w:rPr>
              <w:t>7</w:t>
            </w:r>
            <w:r>
              <w:rPr>
                <w:rFonts w:hint="eastAsia" w:cs="Times New Roman"/>
                <w:sz w:val="24"/>
                <w:szCs w:val="24"/>
                <w:lang w:eastAsia="zh-CN"/>
              </w:rPr>
              <w:t>）《建设项目环境影响评价技术导则</w:t>
            </w:r>
            <w:r>
              <w:rPr>
                <w:rFonts w:hint="eastAsia" w:cs="Times New Roman"/>
                <w:sz w:val="24"/>
                <w:szCs w:val="24"/>
                <w:lang w:val="en-US" w:eastAsia="zh-CN"/>
              </w:rPr>
              <w:t>-</w:t>
            </w:r>
            <w:r>
              <w:rPr>
                <w:rFonts w:hint="eastAsia" w:cs="Times New Roman"/>
                <w:sz w:val="24"/>
                <w:szCs w:val="24"/>
                <w:lang w:eastAsia="zh-CN"/>
              </w:rPr>
              <w:t>生态影响》（HJ19-2011）。</w:t>
            </w:r>
          </w:p>
          <w:p w14:paraId="7A4636C3">
            <w:pPr>
              <w:spacing w:line="360" w:lineRule="auto"/>
              <w:ind w:firstLine="480" w:firstLineChars="200"/>
              <w:rPr>
                <w:sz w:val="24"/>
                <w:szCs w:val="24"/>
              </w:rPr>
            </w:pPr>
            <w:r>
              <w:rPr>
                <w:sz w:val="24"/>
                <w:szCs w:val="24"/>
              </w:rPr>
              <w:t>（</w:t>
            </w:r>
            <w:r>
              <w:rPr>
                <w:rFonts w:hint="eastAsia"/>
                <w:sz w:val="24"/>
                <w:szCs w:val="24"/>
                <w:lang w:val="en-US" w:eastAsia="zh-CN"/>
              </w:rPr>
              <w:t>8</w:t>
            </w:r>
            <w:r>
              <w:rPr>
                <w:sz w:val="24"/>
                <w:szCs w:val="24"/>
              </w:rPr>
              <w:t>）《城市居住规划设计规范》（GB50180-93）；</w:t>
            </w:r>
          </w:p>
          <w:p w14:paraId="634186B2">
            <w:pPr>
              <w:spacing w:line="360" w:lineRule="auto"/>
              <w:ind w:firstLine="480" w:firstLineChars="200"/>
              <w:rPr>
                <w:sz w:val="24"/>
                <w:szCs w:val="24"/>
              </w:rPr>
            </w:pPr>
            <w:r>
              <w:rPr>
                <w:sz w:val="24"/>
                <w:szCs w:val="24"/>
              </w:rPr>
              <w:t>（</w:t>
            </w:r>
            <w:r>
              <w:rPr>
                <w:rFonts w:hint="eastAsia"/>
                <w:sz w:val="24"/>
                <w:szCs w:val="24"/>
                <w:lang w:val="en-US" w:eastAsia="zh-CN"/>
              </w:rPr>
              <w:t>9</w:t>
            </w:r>
            <w:r>
              <w:rPr>
                <w:sz w:val="24"/>
                <w:szCs w:val="24"/>
              </w:rPr>
              <w:t>）《建筑设计防火规范》（GB50016-2014）；</w:t>
            </w:r>
          </w:p>
          <w:p w14:paraId="7247E7FF">
            <w:pPr>
              <w:spacing w:line="360" w:lineRule="auto"/>
              <w:ind w:firstLine="480" w:firstLineChars="200"/>
              <w:rPr>
                <w:color w:val="auto"/>
                <w:sz w:val="24"/>
                <w:szCs w:val="24"/>
              </w:rPr>
            </w:pPr>
            <w:r>
              <w:rPr>
                <w:sz w:val="24"/>
                <w:szCs w:val="24"/>
              </w:rPr>
              <w:t>（</w:t>
            </w:r>
            <w:r>
              <w:rPr>
                <w:rFonts w:hint="eastAsia"/>
                <w:sz w:val="24"/>
                <w:szCs w:val="24"/>
                <w:lang w:val="en-US" w:eastAsia="zh-CN"/>
              </w:rPr>
              <w:t>10</w:t>
            </w:r>
            <w:r>
              <w:rPr>
                <w:sz w:val="24"/>
                <w:szCs w:val="24"/>
              </w:rPr>
              <w:t>）《建筑给水排水设计规范》（GB50015-2003），2009版。</w:t>
            </w:r>
          </w:p>
          <w:p w14:paraId="0F4A662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default" w:ascii="Times New Roman" w:hAnsi="Times New Roman" w:eastAsia="宋体" w:cs="Times New Roman"/>
                <w:b/>
                <w:bCs/>
                <w:color w:val="auto"/>
                <w:sz w:val="28"/>
                <w:szCs w:val="28"/>
                <w:lang w:val="en-US" w:eastAsia="zh-CN"/>
              </w:rPr>
            </w:pPr>
            <w:r>
              <w:rPr>
                <w:rFonts w:hint="default" w:ascii="Times New Roman" w:hAnsi="Times New Roman" w:eastAsia="宋体" w:cs="Times New Roman"/>
                <w:b/>
                <w:bCs/>
                <w:color w:val="auto"/>
                <w:sz w:val="28"/>
                <w:szCs w:val="28"/>
                <w:lang w:val="en-US" w:eastAsia="zh-CN"/>
              </w:rPr>
              <w:t>三、建设工程与规模</w:t>
            </w:r>
          </w:p>
          <w:p w14:paraId="13A748D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1、项目地理位置及周边环境概括</w:t>
            </w:r>
          </w:p>
          <w:p w14:paraId="06FCCDB0">
            <w:pPr>
              <w:pStyle w:val="32"/>
              <w:widowControl w:val="0"/>
              <w:rPr>
                <w:rFonts w:hint="default" w:ascii="Times New Roman" w:hAnsi="Times New Roman" w:eastAsia="宋体" w:cs="Times New Roman"/>
                <w:color w:val="auto"/>
                <w:sz w:val="24"/>
                <w:szCs w:val="24"/>
                <w:highlight w:val="none"/>
                <w:lang w:val="en-US" w:eastAsia="zh-CN"/>
              </w:rPr>
            </w:pPr>
            <w:r>
              <w:rPr>
                <w:rFonts w:hint="eastAsia" w:eastAsia="宋体" w:cs="Times New Roman"/>
                <w:color w:val="auto"/>
                <w:sz w:val="24"/>
                <w:szCs w:val="24"/>
                <w:highlight w:val="none"/>
                <w:lang w:eastAsia="zh-CN"/>
              </w:rPr>
              <w:t>维纳春天项目</w:t>
            </w:r>
            <w:r>
              <w:rPr>
                <w:rFonts w:hint="default" w:ascii="Times New Roman" w:hAnsi="Times New Roman" w:eastAsia="宋体" w:cs="Times New Roman"/>
                <w:color w:val="auto"/>
                <w:sz w:val="24"/>
                <w:szCs w:val="24"/>
                <w:highlight w:val="none"/>
                <w:lang w:eastAsia="zh-CN"/>
              </w:rPr>
              <w:t>地块位于</w:t>
            </w:r>
            <w:r>
              <w:rPr>
                <w:rFonts w:hint="eastAsia" w:eastAsia="宋体" w:cs="Times New Roman"/>
                <w:color w:val="auto"/>
                <w:sz w:val="24"/>
                <w:szCs w:val="24"/>
                <w:highlight w:val="none"/>
                <w:lang w:eastAsia="zh-CN"/>
              </w:rPr>
              <w:t>鄂州市葛店开发区三号工业区</w:t>
            </w:r>
            <w:r>
              <w:rPr>
                <w:rFonts w:hint="default" w:ascii="Times New Roman" w:hAnsi="Times New Roman" w:eastAsia="宋体" w:cs="Times New Roman"/>
                <w:color w:val="auto"/>
                <w:sz w:val="24"/>
                <w:szCs w:val="24"/>
                <w:highlight w:val="none"/>
                <w:lang w:val="en-US" w:eastAsia="zh-CN"/>
              </w:rPr>
              <w:t>。项目</w:t>
            </w:r>
            <w:r>
              <w:rPr>
                <w:rFonts w:hint="eastAsia" w:eastAsia="宋体" w:cs="Times New Roman"/>
                <w:color w:val="auto"/>
                <w:sz w:val="24"/>
                <w:szCs w:val="24"/>
                <w:highlight w:val="none"/>
                <w:lang w:val="en-US" w:eastAsia="zh-CN"/>
              </w:rPr>
              <w:t>北侧隔着聚贤路为光谷鑫城小区，项目东侧隔着马路为维纳阳光小区，项目南侧隔着马路为武汉精锐狮机械设备有限公司的储存车间，项目西侧隔着仁慧路为空地。</w:t>
            </w:r>
          </w:p>
          <w:p w14:paraId="109FB84A">
            <w:pPr>
              <w:spacing w:line="360" w:lineRule="auto"/>
              <w:ind w:firstLine="504" w:firstLineChars="210"/>
              <w:textAlignment w:val="center"/>
              <w:rPr>
                <w:rFonts w:hint="default" w:ascii="Times New Roman" w:hAnsi="Times New Roman" w:cs="Times New Roman"/>
                <w:color w:val="auto"/>
                <w:sz w:val="24"/>
              </w:rPr>
            </w:pPr>
            <w:r>
              <w:rPr>
                <w:rFonts w:hint="default" w:ascii="Times New Roman" w:hAnsi="Times New Roman" w:cs="Times New Roman"/>
                <w:color w:val="auto"/>
                <w:sz w:val="24"/>
              </w:rPr>
              <w:t>具体地理位置图见附图一，周边环境关系示意图见附图</w:t>
            </w:r>
            <w:r>
              <w:rPr>
                <w:rFonts w:hint="eastAsia" w:cs="Times New Roman"/>
                <w:color w:val="auto"/>
                <w:sz w:val="24"/>
                <w:lang w:eastAsia="zh-CN"/>
              </w:rPr>
              <w:t>三</w:t>
            </w:r>
            <w:r>
              <w:rPr>
                <w:rFonts w:hint="default" w:ascii="Times New Roman" w:hAnsi="Times New Roman" w:cs="Times New Roman"/>
                <w:color w:val="auto"/>
                <w:sz w:val="24"/>
              </w:rPr>
              <w:t>。</w:t>
            </w:r>
          </w:p>
          <w:p w14:paraId="4542377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b/>
                <w:bCs/>
                <w:color w:val="auto"/>
                <w:sz w:val="24"/>
                <w:szCs w:val="24"/>
                <w:lang w:val="en-US" w:eastAsia="zh-CN"/>
              </w:rPr>
              <w:t>2、</w:t>
            </w:r>
            <w:r>
              <w:rPr>
                <w:rFonts w:hint="default" w:ascii="Times New Roman" w:hAnsi="Times New Roman" w:cs="Times New Roman"/>
                <w:b/>
                <w:bCs/>
                <w:color w:val="auto"/>
                <w:sz w:val="24"/>
                <w:szCs w:val="24"/>
              </w:rPr>
              <w:t>项目名称、地点及建设性质</w:t>
            </w:r>
          </w:p>
          <w:p w14:paraId="32BB478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项目名称：</w:t>
            </w:r>
            <w:r>
              <w:rPr>
                <w:rFonts w:hint="eastAsia" w:cs="Times New Roman"/>
                <w:color w:val="auto"/>
                <w:sz w:val="24"/>
                <w:szCs w:val="24"/>
                <w:lang w:eastAsia="zh-CN"/>
              </w:rPr>
              <w:t>维纳春天</w:t>
            </w:r>
            <w:r>
              <w:rPr>
                <w:rFonts w:hint="default" w:ascii="Times New Roman" w:hAnsi="Times New Roman" w:cs="Times New Roman"/>
                <w:color w:val="auto"/>
                <w:sz w:val="24"/>
                <w:szCs w:val="24"/>
                <w:lang w:eastAsia="zh-CN"/>
              </w:rPr>
              <w:t>；</w:t>
            </w:r>
          </w:p>
          <w:p w14:paraId="1FD51F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建设地点：</w:t>
            </w:r>
            <w:r>
              <w:rPr>
                <w:rFonts w:hint="eastAsia" w:cs="Times New Roman"/>
                <w:color w:val="auto"/>
                <w:sz w:val="24"/>
                <w:szCs w:val="24"/>
                <w:lang w:eastAsia="zh-CN"/>
              </w:rPr>
              <w:t>鄂州市葛店开发区三号工业区</w:t>
            </w:r>
            <w:r>
              <w:rPr>
                <w:rFonts w:hint="default" w:ascii="Times New Roman" w:hAnsi="Times New Roman" w:cs="Times New Roman"/>
                <w:color w:val="auto"/>
                <w:sz w:val="24"/>
                <w:szCs w:val="24"/>
                <w:lang w:eastAsia="zh-CN"/>
              </w:rPr>
              <w:t>；</w:t>
            </w:r>
          </w:p>
          <w:p w14:paraId="69B2959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b w:val="0"/>
                <w:i w:val="0"/>
                <w:caps w:val="0"/>
                <w:color w:val="auto"/>
                <w:spacing w:val="0"/>
                <w:sz w:val="24"/>
                <w:szCs w:val="24"/>
                <w:shd w:val="clear" w:fill="FFFFFF"/>
              </w:rPr>
            </w:pPr>
            <w:r>
              <w:rPr>
                <w:rFonts w:hint="default" w:ascii="Times New Roman" w:hAnsi="Times New Roman" w:cs="Times New Roman"/>
                <w:color w:val="auto"/>
                <w:sz w:val="24"/>
                <w:szCs w:val="24"/>
              </w:rPr>
              <w:t>建设单位：</w:t>
            </w:r>
            <w:r>
              <w:rPr>
                <w:rFonts w:hint="eastAsia" w:cs="Times New Roman"/>
                <w:b w:val="0"/>
                <w:i w:val="0"/>
                <w:caps w:val="0"/>
                <w:color w:val="auto"/>
                <w:spacing w:val="0"/>
                <w:sz w:val="24"/>
                <w:szCs w:val="24"/>
                <w:shd w:val="clear" w:fill="FFFFFF"/>
                <w:lang w:eastAsia="zh-CN"/>
              </w:rPr>
              <w:t>湖北省巨能房地产开发有限公司</w:t>
            </w:r>
            <w:r>
              <w:rPr>
                <w:rFonts w:hint="default" w:ascii="Times New Roman" w:hAnsi="Times New Roman" w:eastAsia="宋体" w:cs="Times New Roman"/>
                <w:b w:val="0"/>
                <w:i w:val="0"/>
                <w:caps w:val="0"/>
                <w:color w:val="auto"/>
                <w:spacing w:val="0"/>
                <w:sz w:val="24"/>
                <w:szCs w:val="24"/>
                <w:shd w:val="clear" w:fill="FFFFFF"/>
                <w:lang w:eastAsia="zh-CN"/>
              </w:rPr>
              <w:t>；</w:t>
            </w:r>
          </w:p>
          <w:p w14:paraId="580E42F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建设性质：新建</w:t>
            </w:r>
            <w:r>
              <w:rPr>
                <w:rFonts w:hint="default" w:ascii="Times New Roman" w:hAnsi="Times New Roman" w:cs="Times New Roman"/>
                <w:color w:val="auto"/>
                <w:sz w:val="24"/>
                <w:szCs w:val="24"/>
                <w:lang w:eastAsia="zh-CN"/>
              </w:rPr>
              <w:t>。</w:t>
            </w:r>
          </w:p>
          <w:p w14:paraId="0F1D304F">
            <w:pPr>
              <w:spacing w:line="360" w:lineRule="auto"/>
              <w:ind w:firstLine="482" w:firstLineChars="200"/>
              <w:rPr>
                <w:rFonts w:hint="default" w:ascii="Times New Roman" w:hAnsi="Times New Roman" w:cs="Times New Roman"/>
                <w:color w:val="auto"/>
                <w:sz w:val="24"/>
                <w:szCs w:val="24"/>
              </w:rPr>
            </w:pPr>
            <w:r>
              <w:rPr>
                <w:rFonts w:hint="default" w:ascii="Times New Roman" w:hAnsi="Times New Roman" w:cs="Times New Roman"/>
                <w:b/>
                <w:bCs/>
                <w:color w:val="auto"/>
                <w:sz w:val="24"/>
                <w:szCs w:val="24"/>
                <w:lang w:val="en-US" w:eastAsia="zh-CN"/>
              </w:rPr>
              <w:t>3、</w:t>
            </w:r>
            <w:r>
              <w:rPr>
                <w:rFonts w:hint="default" w:ascii="Times New Roman" w:hAnsi="Times New Roman" w:cs="Times New Roman"/>
                <w:b/>
                <w:bCs/>
                <w:color w:val="auto"/>
                <w:sz w:val="24"/>
                <w:szCs w:val="24"/>
              </w:rPr>
              <w:t>建设规模及建设内容</w:t>
            </w:r>
          </w:p>
          <w:p w14:paraId="21EA733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rPr>
            </w:pPr>
            <w:r>
              <w:rPr>
                <w:rFonts w:hint="eastAsia" w:cs="Times New Roman"/>
                <w:color w:val="auto"/>
                <w:sz w:val="24"/>
                <w:szCs w:val="24"/>
                <w:lang w:eastAsia="zh-CN"/>
              </w:rPr>
              <w:t>维纳春天项目规划净</w:t>
            </w:r>
            <w:r>
              <w:rPr>
                <w:rFonts w:hint="default" w:ascii="Times New Roman" w:hAnsi="Times New Roman" w:cs="Times New Roman"/>
                <w:color w:val="auto"/>
                <w:sz w:val="24"/>
                <w:szCs w:val="24"/>
                <w:lang w:eastAsia="zh-CN"/>
              </w:rPr>
              <w:t>用</w:t>
            </w:r>
            <w:r>
              <w:rPr>
                <w:rFonts w:hint="default" w:ascii="Times New Roman" w:hAnsi="Times New Roman" w:cs="Times New Roman"/>
                <w:color w:val="auto"/>
                <w:sz w:val="24"/>
                <w:szCs w:val="24"/>
              </w:rPr>
              <w:t>地面积为</w:t>
            </w:r>
            <w:r>
              <w:rPr>
                <w:rFonts w:hint="eastAsia" w:cs="Times New Roman"/>
                <w:color w:val="auto"/>
                <w:sz w:val="24"/>
                <w:szCs w:val="24"/>
                <w:lang w:val="en-US" w:eastAsia="zh-CN"/>
              </w:rPr>
              <w:t>21762.2</w:t>
            </w:r>
            <w:r>
              <w:rPr>
                <w:rFonts w:hint="default" w:ascii="Times New Roman" w:hAnsi="Times New Roman" w:cs="Times New Roman"/>
                <w:color w:val="auto"/>
                <w:sz w:val="24"/>
                <w:szCs w:val="24"/>
                <w:lang w:eastAsia="zh-CN"/>
              </w:rPr>
              <w:t>平方米</w:t>
            </w:r>
            <w:r>
              <w:rPr>
                <w:rFonts w:hint="eastAsia" w:cs="Times New Roman"/>
                <w:color w:val="auto"/>
                <w:sz w:val="24"/>
                <w:szCs w:val="24"/>
                <w:lang w:eastAsia="zh-CN"/>
              </w:rPr>
              <w:t>，</w:t>
            </w:r>
            <w:r>
              <w:rPr>
                <w:rFonts w:hint="default" w:ascii="Times New Roman" w:hAnsi="Times New Roman" w:cs="Times New Roman"/>
                <w:color w:val="auto"/>
                <w:sz w:val="24"/>
              </w:rPr>
              <w:t>建筑</w:t>
            </w:r>
            <w:r>
              <w:rPr>
                <w:rFonts w:hint="default" w:ascii="Times New Roman" w:hAnsi="Times New Roman" w:cs="Times New Roman"/>
                <w:color w:val="auto"/>
                <w:sz w:val="24"/>
                <w:lang w:eastAsia="zh-CN"/>
              </w:rPr>
              <w:t>总</w:t>
            </w:r>
            <w:r>
              <w:rPr>
                <w:rFonts w:hint="default" w:ascii="Times New Roman" w:hAnsi="Times New Roman" w:cs="Times New Roman"/>
                <w:color w:val="auto"/>
                <w:sz w:val="24"/>
              </w:rPr>
              <w:t>面积</w:t>
            </w:r>
            <w:r>
              <w:rPr>
                <w:rFonts w:hint="eastAsia" w:cs="Times New Roman"/>
                <w:color w:val="auto"/>
                <w:sz w:val="24"/>
                <w:szCs w:val="24"/>
                <w:lang w:val="en-US" w:eastAsia="zh-CN"/>
              </w:rPr>
              <w:t>85522.37</w:t>
            </w:r>
            <w:r>
              <w:rPr>
                <w:rFonts w:hint="default" w:ascii="Times New Roman" w:hAnsi="Times New Roman" w:cs="Times New Roman"/>
                <w:color w:val="auto"/>
                <w:sz w:val="24"/>
              </w:rPr>
              <w:t>平方米，</w:t>
            </w:r>
            <w:r>
              <w:rPr>
                <w:rFonts w:hint="default" w:ascii="Times New Roman" w:hAnsi="Times New Roman" w:cs="Times New Roman"/>
                <w:color w:val="auto"/>
                <w:sz w:val="24"/>
                <w:lang w:eastAsia="zh-CN"/>
              </w:rPr>
              <w:t>其中商业建筑面积为</w:t>
            </w:r>
            <w:r>
              <w:rPr>
                <w:rFonts w:hint="eastAsia" w:cs="Times New Roman"/>
                <w:color w:val="auto"/>
                <w:sz w:val="24"/>
                <w:lang w:val="en-US" w:eastAsia="zh-CN"/>
              </w:rPr>
              <w:t>3214.12</w:t>
            </w:r>
            <w:r>
              <w:rPr>
                <w:rFonts w:hint="default" w:ascii="Times New Roman" w:hAnsi="Times New Roman" w:cs="Times New Roman"/>
                <w:color w:val="auto"/>
                <w:sz w:val="24"/>
                <w:lang w:val="en-US" w:eastAsia="zh-CN"/>
              </w:rPr>
              <w:t>平方米，居住建筑面积为</w:t>
            </w:r>
            <w:r>
              <w:rPr>
                <w:rFonts w:hint="eastAsia" w:cs="Times New Roman"/>
                <w:color w:val="auto"/>
                <w:sz w:val="24"/>
                <w:lang w:val="en-US" w:eastAsia="zh-CN"/>
              </w:rPr>
              <w:t>67445.76</w:t>
            </w:r>
            <w:r>
              <w:rPr>
                <w:rFonts w:hint="default" w:ascii="Times New Roman" w:hAnsi="Times New Roman" w:cs="Times New Roman"/>
                <w:color w:val="auto"/>
                <w:sz w:val="24"/>
                <w:lang w:val="en-US" w:eastAsia="zh-CN"/>
              </w:rPr>
              <w:t>平方米</w:t>
            </w:r>
            <w:r>
              <w:rPr>
                <w:rFonts w:hint="eastAsia" w:cs="Times New Roman"/>
                <w:color w:val="auto"/>
                <w:sz w:val="24"/>
                <w:lang w:val="en-US" w:eastAsia="zh-CN"/>
              </w:rPr>
              <w:t>，</w:t>
            </w:r>
            <w:r>
              <w:rPr>
                <w:rFonts w:hint="default" w:ascii="Times New Roman" w:hAnsi="Times New Roman" w:cs="Times New Roman"/>
                <w:color w:val="auto"/>
                <w:sz w:val="24"/>
                <w:szCs w:val="24"/>
              </w:rPr>
              <w:t>地下</w:t>
            </w:r>
            <w:r>
              <w:rPr>
                <w:rFonts w:hint="default" w:ascii="Times New Roman" w:hAnsi="Times New Roman" w:cs="Times New Roman"/>
                <w:color w:val="auto"/>
                <w:sz w:val="24"/>
                <w:szCs w:val="24"/>
                <w:lang w:eastAsia="zh-CN"/>
              </w:rPr>
              <w:t>车库</w:t>
            </w:r>
            <w:r>
              <w:rPr>
                <w:rFonts w:hint="default" w:ascii="Times New Roman" w:hAnsi="Times New Roman" w:cs="Times New Roman"/>
                <w:color w:val="auto"/>
                <w:sz w:val="24"/>
                <w:szCs w:val="24"/>
              </w:rPr>
              <w:t>面积</w:t>
            </w:r>
            <w:r>
              <w:rPr>
                <w:rFonts w:hint="eastAsia" w:cs="Times New Roman"/>
                <w:color w:val="auto"/>
                <w:sz w:val="24"/>
                <w:szCs w:val="24"/>
                <w:lang w:val="en-US" w:eastAsia="zh-CN"/>
              </w:rPr>
              <w:t>12872.67</w:t>
            </w:r>
            <w:r>
              <w:rPr>
                <w:rFonts w:hint="default" w:ascii="Times New Roman" w:hAnsi="Times New Roman" w:cs="Times New Roman"/>
                <w:color w:val="auto"/>
                <w:sz w:val="24"/>
                <w:szCs w:val="24"/>
                <w:lang w:eastAsia="zh-CN"/>
              </w:rPr>
              <w:t>平方米</w:t>
            </w:r>
            <w:r>
              <w:rPr>
                <w:rFonts w:hint="default" w:ascii="Times New Roman" w:hAnsi="Times New Roman" w:cs="Times New Roman"/>
                <w:color w:val="auto"/>
                <w:sz w:val="24"/>
              </w:rPr>
              <w:t>。总居住户数</w:t>
            </w:r>
            <w:r>
              <w:rPr>
                <w:rFonts w:hint="eastAsia" w:cs="Times New Roman"/>
                <w:color w:val="auto"/>
                <w:sz w:val="24"/>
                <w:lang w:val="en-US" w:eastAsia="zh-CN"/>
              </w:rPr>
              <w:t>660</w:t>
            </w:r>
            <w:r>
              <w:rPr>
                <w:rFonts w:hint="default" w:ascii="Times New Roman" w:hAnsi="Times New Roman" w:cs="Times New Roman"/>
                <w:color w:val="auto"/>
                <w:sz w:val="24"/>
              </w:rPr>
              <w:t>户，规划总居住人口</w:t>
            </w:r>
            <w:r>
              <w:rPr>
                <w:rFonts w:hint="eastAsia" w:cs="Times New Roman"/>
                <w:color w:val="auto"/>
                <w:sz w:val="24"/>
                <w:lang w:val="en-US" w:eastAsia="zh-CN"/>
              </w:rPr>
              <w:t>2112</w:t>
            </w:r>
            <w:r>
              <w:rPr>
                <w:rFonts w:hint="default" w:ascii="Times New Roman" w:hAnsi="Times New Roman" w:cs="Times New Roman"/>
                <w:color w:val="auto"/>
                <w:sz w:val="24"/>
              </w:rPr>
              <w:t>人</w:t>
            </w:r>
            <w:r>
              <w:rPr>
                <w:rFonts w:hint="default" w:ascii="Times New Roman" w:hAnsi="Times New Roman" w:cs="Times New Roman"/>
                <w:color w:val="auto"/>
                <w:sz w:val="24"/>
                <w:lang w:eastAsia="zh-CN"/>
              </w:rPr>
              <w:t>（每户按照</w:t>
            </w:r>
            <w:r>
              <w:rPr>
                <w:rFonts w:hint="default" w:ascii="Times New Roman" w:hAnsi="Times New Roman" w:cs="Times New Roman"/>
                <w:color w:val="auto"/>
                <w:sz w:val="24"/>
                <w:lang w:val="en-US" w:eastAsia="zh-CN"/>
              </w:rPr>
              <w:t>3.</w:t>
            </w:r>
            <w:r>
              <w:rPr>
                <w:rFonts w:hint="eastAsia" w:cs="Times New Roman"/>
                <w:color w:val="auto"/>
                <w:sz w:val="24"/>
                <w:lang w:val="en-US" w:eastAsia="zh-CN"/>
              </w:rPr>
              <w:t>2</w:t>
            </w:r>
            <w:r>
              <w:rPr>
                <w:rFonts w:hint="default" w:ascii="Times New Roman" w:hAnsi="Times New Roman" w:cs="Times New Roman"/>
                <w:color w:val="auto"/>
                <w:sz w:val="24"/>
                <w:lang w:val="en-US" w:eastAsia="zh-CN"/>
              </w:rPr>
              <w:t>人计</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，容积率</w:t>
            </w:r>
            <w:r>
              <w:rPr>
                <w:rFonts w:hint="eastAsia" w:cs="Times New Roman"/>
                <w:color w:val="auto"/>
                <w:sz w:val="24"/>
                <w:lang w:val="en-US" w:eastAsia="zh-CN"/>
              </w:rPr>
              <w:t>3.5</w:t>
            </w:r>
            <w:r>
              <w:rPr>
                <w:rFonts w:hint="default" w:ascii="Times New Roman" w:hAnsi="Times New Roman" w:cs="Times New Roman"/>
                <w:color w:val="auto"/>
                <w:sz w:val="24"/>
              </w:rPr>
              <w:t>，绿化覆盖率</w:t>
            </w:r>
            <w:r>
              <w:rPr>
                <w:rFonts w:hint="eastAsia" w:cs="Times New Roman"/>
                <w:color w:val="auto"/>
                <w:sz w:val="24"/>
                <w:lang w:val="en-US" w:eastAsia="zh-CN"/>
              </w:rPr>
              <w:t>35.88</w:t>
            </w:r>
            <w:r>
              <w:rPr>
                <w:rFonts w:hint="default" w:ascii="Times New Roman" w:hAnsi="Times New Roman" w:cs="Times New Roman"/>
                <w:color w:val="auto"/>
                <w:sz w:val="24"/>
              </w:rPr>
              <w:t>%。</w:t>
            </w:r>
            <w:r>
              <w:rPr>
                <w:rFonts w:hint="default" w:ascii="Times New Roman" w:hAnsi="Times New Roman" w:eastAsia="宋体" w:cs="Times New Roman"/>
                <w:color w:val="auto"/>
                <w:sz w:val="24"/>
                <w:szCs w:val="24"/>
                <w:lang w:eastAsia="zh-CN"/>
              </w:rPr>
              <w:t>项目主</w:t>
            </w:r>
            <w:r>
              <w:rPr>
                <w:rFonts w:hint="eastAsia" w:cs="Times New Roman"/>
                <w:color w:val="auto"/>
                <w:sz w:val="24"/>
                <w:szCs w:val="24"/>
                <w:lang w:eastAsia="zh-CN"/>
              </w:rPr>
              <w:t>体工程包括</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lang w:val="en-US" w:eastAsia="zh-CN"/>
              </w:rPr>
              <w:t>栋</w:t>
            </w:r>
            <w:r>
              <w:rPr>
                <w:rFonts w:hint="eastAsia" w:cs="Times New Roman"/>
                <w:color w:val="auto"/>
                <w:sz w:val="24"/>
                <w:szCs w:val="24"/>
                <w:lang w:val="en-US" w:eastAsia="zh-CN"/>
              </w:rPr>
              <w:t>28+1F</w:t>
            </w:r>
            <w:r>
              <w:rPr>
                <w:rFonts w:hint="default" w:ascii="Times New Roman" w:hAnsi="Times New Roman" w:eastAsia="宋体" w:cs="Times New Roman"/>
                <w:color w:val="auto"/>
                <w:sz w:val="24"/>
                <w:szCs w:val="24"/>
                <w:lang w:val="en-US" w:eastAsia="zh-CN"/>
              </w:rPr>
              <w:t>高层住宅楼</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lang w:val="en-US" w:eastAsia="zh-CN"/>
              </w:rPr>
              <w:t>栋</w:t>
            </w:r>
            <w:r>
              <w:rPr>
                <w:rFonts w:hint="eastAsia" w:cs="Times New Roman"/>
                <w:color w:val="auto"/>
                <w:sz w:val="24"/>
                <w:szCs w:val="24"/>
                <w:lang w:val="en-US" w:eastAsia="zh-CN"/>
              </w:rPr>
              <w:t>27+1F</w:t>
            </w:r>
            <w:r>
              <w:rPr>
                <w:rFonts w:hint="default" w:ascii="Times New Roman" w:hAnsi="Times New Roman" w:eastAsia="宋体" w:cs="Times New Roman"/>
                <w:color w:val="auto"/>
                <w:sz w:val="24"/>
                <w:szCs w:val="24"/>
                <w:lang w:val="en-US" w:eastAsia="zh-CN"/>
              </w:rPr>
              <w:t>高层住宅楼</w:t>
            </w:r>
            <w:r>
              <w:rPr>
                <w:rFonts w:hint="eastAsia" w:cs="Times New Roman"/>
                <w:color w:val="auto"/>
                <w:sz w:val="24"/>
                <w:szCs w:val="24"/>
                <w:lang w:eastAsia="zh-CN"/>
              </w:rPr>
              <w:t>以及商业区</w:t>
            </w:r>
            <w:r>
              <w:rPr>
                <w:rFonts w:hint="eastAsia" w:cs="Times New Roman"/>
                <w:color w:val="auto"/>
                <w:kern w:val="0"/>
                <w:sz w:val="24"/>
                <w:szCs w:val="24"/>
                <w:lang w:eastAsia="zh-CN"/>
              </w:rPr>
              <w:t>，</w:t>
            </w:r>
            <w:r>
              <w:rPr>
                <w:rFonts w:hint="eastAsia" w:cs="Times New Roman"/>
                <w:sz w:val="24"/>
                <w:lang w:eastAsia="zh-CN"/>
              </w:rPr>
              <w:t>同时建有门卫室、配建物管用房、公厕、</w:t>
            </w:r>
            <w:r>
              <w:rPr>
                <w:rFonts w:hint="default" w:ascii="Times New Roman" w:hAnsi="Times New Roman" w:eastAsia="宋体" w:cs="Times New Roman"/>
                <w:sz w:val="24"/>
              </w:rPr>
              <w:t>配电房、</w:t>
            </w:r>
            <w:r>
              <w:rPr>
                <w:rFonts w:hint="eastAsia" w:cs="Times New Roman"/>
                <w:sz w:val="24"/>
                <w:lang w:eastAsia="zh-CN"/>
              </w:rPr>
              <w:t>开闭所、水泵房、</w:t>
            </w:r>
            <w:r>
              <w:rPr>
                <w:rFonts w:hint="default" w:ascii="Times New Roman" w:hAnsi="Times New Roman" w:eastAsia="宋体" w:cs="Times New Roman"/>
                <w:sz w:val="24"/>
              </w:rPr>
              <w:t>垃圾收集点</w:t>
            </w:r>
            <w:r>
              <w:rPr>
                <w:rFonts w:hint="eastAsia" w:cs="Times New Roman"/>
                <w:sz w:val="24"/>
                <w:lang w:eastAsia="zh-CN"/>
              </w:rPr>
              <w:t>等</w:t>
            </w:r>
            <w:r>
              <w:rPr>
                <w:rFonts w:hint="eastAsia" w:cs="Times New Roman"/>
                <w:color w:val="auto"/>
                <w:sz w:val="24"/>
                <w:szCs w:val="24"/>
                <w:lang w:eastAsia="zh-CN"/>
              </w:rPr>
              <w:t>公共服务配套设施。</w:t>
            </w:r>
            <w:r>
              <w:rPr>
                <w:rFonts w:hint="default" w:ascii="Times New Roman" w:hAnsi="Times New Roman" w:eastAsia="宋体" w:cs="Times New Roman"/>
                <w:color w:val="auto"/>
                <w:sz w:val="24"/>
                <w:szCs w:val="24"/>
                <w:lang w:eastAsia="zh-CN"/>
              </w:rPr>
              <w:t>项目</w:t>
            </w:r>
            <w:r>
              <w:rPr>
                <w:rFonts w:hint="eastAsia" w:cs="Times New Roman"/>
                <w:color w:val="auto"/>
                <w:sz w:val="24"/>
                <w:szCs w:val="24"/>
                <w:lang w:eastAsia="zh-CN"/>
              </w:rPr>
              <w:t>有</w:t>
            </w:r>
            <w:r>
              <w:rPr>
                <w:rFonts w:hint="default" w:ascii="Times New Roman" w:hAnsi="Times New Roman" w:eastAsia="宋体" w:cs="Times New Roman"/>
                <w:color w:val="auto"/>
                <w:sz w:val="24"/>
                <w:szCs w:val="24"/>
                <w:lang w:eastAsia="zh-CN"/>
              </w:rPr>
              <w:t>地上停车位</w:t>
            </w:r>
            <w:r>
              <w:rPr>
                <w:rFonts w:hint="eastAsia" w:cs="Times New Roman"/>
                <w:color w:val="auto"/>
                <w:sz w:val="24"/>
                <w:szCs w:val="24"/>
                <w:lang w:val="en-US" w:eastAsia="zh-CN"/>
              </w:rPr>
              <w:t>66</w:t>
            </w:r>
            <w:r>
              <w:rPr>
                <w:rFonts w:hint="default" w:ascii="Times New Roman" w:hAnsi="Times New Roman" w:eastAsia="宋体" w:cs="Times New Roman"/>
                <w:color w:val="auto"/>
                <w:sz w:val="24"/>
                <w:szCs w:val="24"/>
                <w:lang w:val="en-US" w:eastAsia="zh-CN"/>
              </w:rPr>
              <w:t>个，地下停车位</w:t>
            </w:r>
            <w:r>
              <w:rPr>
                <w:rFonts w:hint="eastAsia" w:cs="Times New Roman"/>
                <w:color w:val="auto"/>
                <w:sz w:val="24"/>
                <w:szCs w:val="24"/>
                <w:lang w:val="en-US" w:eastAsia="zh-CN"/>
              </w:rPr>
              <w:t>273</w:t>
            </w:r>
            <w:r>
              <w:rPr>
                <w:rFonts w:hint="default" w:ascii="Times New Roman" w:hAnsi="Times New Roman" w:eastAsia="宋体" w:cs="Times New Roman"/>
                <w:color w:val="auto"/>
                <w:sz w:val="24"/>
                <w:szCs w:val="24"/>
                <w:lang w:val="en-US" w:eastAsia="zh-CN"/>
              </w:rPr>
              <w:t>个，总计停车位</w:t>
            </w:r>
            <w:r>
              <w:rPr>
                <w:rFonts w:hint="eastAsia" w:cs="Times New Roman"/>
                <w:color w:val="auto"/>
                <w:sz w:val="24"/>
                <w:szCs w:val="24"/>
                <w:lang w:val="en-US" w:eastAsia="zh-CN"/>
              </w:rPr>
              <w:t>339</w:t>
            </w:r>
            <w:r>
              <w:rPr>
                <w:rFonts w:hint="default" w:ascii="Times New Roman" w:hAnsi="Times New Roman" w:eastAsia="宋体" w:cs="Times New Roman"/>
                <w:color w:val="auto"/>
                <w:sz w:val="24"/>
                <w:szCs w:val="24"/>
                <w:lang w:val="en-US" w:eastAsia="zh-CN"/>
              </w:rPr>
              <w:t>个，基本可以满足小区居民需求</w:t>
            </w:r>
            <w:r>
              <w:rPr>
                <w:rFonts w:hint="eastAsia" w:cs="Times New Roman"/>
                <w:color w:val="auto"/>
                <w:sz w:val="24"/>
                <w:szCs w:val="24"/>
                <w:lang w:val="en-US" w:eastAsia="zh-CN"/>
              </w:rPr>
              <w:t>；</w:t>
            </w:r>
            <w:r>
              <w:rPr>
                <w:rFonts w:hint="default" w:ascii="Times New Roman" w:hAnsi="Times New Roman" w:cs="Times New Roman"/>
                <w:color w:val="auto"/>
                <w:kern w:val="0"/>
                <w:sz w:val="24"/>
                <w:szCs w:val="24"/>
              </w:rPr>
              <w:t>项目商铺位</w:t>
            </w:r>
            <w:r>
              <w:rPr>
                <w:rFonts w:hint="eastAsia" w:cs="Times New Roman"/>
                <w:color w:val="auto"/>
                <w:kern w:val="0"/>
                <w:sz w:val="24"/>
                <w:szCs w:val="24"/>
                <w:lang w:eastAsia="zh-CN"/>
              </w:rPr>
              <w:t>环项目地块北、西、南侧建设</w:t>
            </w:r>
            <w:r>
              <w:rPr>
                <w:rFonts w:hint="default" w:ascii="Times New Roman" w:hAnsi="Times New Roman" w:cs="Times New Roman"/>
                <w:color w:val="auto"/>
                <w:kern w:val="0"/>
                <w:sz w:val="24"/>
                <w:szCs w:val="24"/>
              </w:rPr>
              <w:t>，</w:t>
            </w:r>
            <w:r>
              <w:rPr>
                <w:rFonts w:hint="default" w:ascii="Times New Roman" w:hAnsi="Times New Roman" w:cs="Times New Roman"/>
                <w:color w:val="auto"/>
                <w:kern w:val="0"/>
                <w:sz w:val="24"/>
                <w:szCs w:val="24"/>
                <w:lang w:eastAsia="zh-CN"/>
              </w:rPr>
              <w:t>商铺</w:t>
            </w:r>
            <w:r>
              <w:rPr>
                <w:rFonts w:hint="default" w:ascii="Times New Roman" w:hAnsi="Times New Roman" w:cs="Times New Roman"/>
                <w:color w:val="auto"/>
                <w:kern w:val="0"/>
                <w:sz w:val="24"/>
                <w:szCs w:val="24"/>
              </w:rPr>
              <w:t>定位为满足区域居民日常生活、购物等消费需求，</w:t>
            </w:r>
            <w:r>
              <w:rPr>
                <w:rFonts w:hint="eastAsia"/>
                <w:color w:val="auto"/>
                <w:kern w:val="0"/>
                <w:sz w:val="24"/>
                <w:szCs w:val="24"/>
                <w:lang w:eastAsia="zh-CN"/>
              </w:rPr>
              <w:t>本项目只引</w:t>
            </w:r>
            <w:r>
              <w:rPr>
                <w:bCs/>
                <w:color w:val="auto"/>
                <w:sz w:val="24"/>
                <w:szCs w:val="24"/>
              </w:rPr>
              <w:t>零售业、书店、日用百货、小型餐饮等</w:t>
            </w:r>
            <w:r>
              <w:rPr>
                <w:rFonts w:hint="eastAsia"/>
                <w:bCs/>
                <w:color w:val="auto"/>
                <w:sz w:val="24"/>
                <w:szCs w:val="24"/>
                <w:lang w:eastAsia="zh-CN"/>
              </w:rPr>
              <w:t>，不引进</w:t>
            </w:r>
            <w:r>
              <w:rPr>
                <w:color w:val="auto"/>
                <w:kern w:val="0"/>
                <w:sz w:val="24"/>
                <w:szCs w:val="24"/>
              </w:rPr>
              <w:t>高噪声</w:t>
            </w:r>
            <w:r>
              <w:rPr>
                <w:rFonts w:hint="eastAsia"/>
                <w:bCs/>
                <w:color w:val="auto"/>
                <w:sz w:val="24"/>
                <w:szCs w:val="24"/>
              </w:rPr>
              <w:t>娱乐KTV</w:t>
            </w:r>
            <w:r>
              <w:rPr>
                <w:rFonts w:hint="eastAsia"/>
                <w:bCs/>
                <w:color w:val="auto"/>
                <w:sz w:val="24"/>
                <w:szCs w:val="24"/>
                <w:lang w:eastAsia="zh-CN"/>
              </w:rPr>
              <w:t>设施以及医疗设施。</w:t>
            </w:r>
            <w:r>
              <w:rPr>
                <w:rFonts w:hint="eastAsia"/>
                <w:color w:val="auto"/>
                <w:kern w:val="0"/>
                <w:sz w:val="24"/>
                <w:szCs w:val="24"/>
                <w:lang w:eastAsia="zh-CN"/>
              </w:rPr>
              <w:t>根据《中华人民共和国大气污染防治法》规定：</w:t>
            </w:r>
            <w:r>
              <w:rPr>
                <w:rFonts w:hint="eastAsia" w:ascii="宋体" w:hAnsi="宋体" w:cs="宋体"/>
                <w:color w:val="auto"/>
                <w:kern w:val="0"/>
                <w:sz w:val="24"/>
                <w:szCs w:val="24"/>
              </w:rPr>
              <w:t>禁止在居民住宅楼、未配套设立专用烟道的商住综合楼以及商住综合楼内与居住层相邻的商业楼层内新建、改建、扩建产生油烟、异味、废气的餐饮服务项目</w:t>
            </w:r>
            <w:r>
              <w:rPr>
                <w:rFonts w:hint="eastAsia" w:ascii="宋体" w:hAnsi="宋体" w:cs="宋体"/>
                <w:color w:val="auto"/>
                <w:kern w:val="0"/>
                <w:sz w:val="24"/>
                <w:szCs w:val="24"/>
                <w:lang w:eastAsia="zh-CN"/>
              </w:rPr>
              <w:t>，由于本项目要引进小型餐饮行业，因此</w:t>
            </w:r>
            <w:r>
              <w:rPr>
                <w:rFonts w:hint="eastAsia"/>
                <w:color w:val="auto"/>
                <w:kern w:val="0"/>
                <w:sz w:val="24"/>
                <w:szCs w:val="24"/>
              </w:rPr>
              <w:t>本环评要求项目商铺设置独立商用烟道。</w:t>
            </w:r>
          </w:p>
          <w:p w14:paraId="2720AC24">
            <w:pPr>
              <w:pStyle w:val="30"/>
              <w:rPr>
                <w:rFonts w:hint="default" w:ascii="Times New Roman" w:hAnsi="Times New Roman" w:cs="Times New Roman"/>
                <w:color w:val="auto"/>
                <w:sz w:val="24"/>
                <w:lang w:val="en-US" w:eastAsia="zh-CN"/>
              </w:rPr>
            </w:pPr>
            <w:r>
              <w:rPr>
                <w:rFonts w:hint="default" w:ascii="Times New Roman" w:hAnsi="Times New Roman" w:cs="Times New Roman"/>
                <w:color w:val="auto"/>
              </w:rPr>
              <w:t>项目经济技术指标及项目主要组成见表</w:t>
            </w:r>
            <w:r>
              <w:rPr>
                <w:rFonts w:hint="default" w:ascii="Times New Roman" w:hAnsi="Times New Roman" w:cs="Times New Roman"/>
                <w:color w:val="auto"/>
                <w:lang w:val="en-US" w:eastAsia="zh-CN"/>
              </w:rPr>
              <w:t>1-1</w:t>
            </w:r>
            <w:r>
              <w:rPr>
                <w:rFonts w:hint="default" w:ascii="Times New Roman" w:hAnsi="Times New Roman" w:cs="Times New Roman"/>
                <w:color w:val="auto"/>
              </w:rPr>
              <w:t>、表</w:t>
            </w:r>
            <w:r>
              <w:rPr>
                <w:rFonts w:hint="default" w:ascii="Times New Roman" w:hAnsi="Times New Roman" w:cs="Times New Roman"/>
                <w:color w:val="auto"/>
                <w:lang w:val="en-US" w:eastAsia="zh-CN"/>
              </w:rPr>
              <w:t>1-</w:t>
            </w:r>
            <w:r>
              <w:rPr>
                <w:rFonts w:hint="default" w:ascii="Times New Roman" w:hAnsi="Times New Roman" w:cs="Times New Roman"/>
                <w:color w:val="auto"/>
              </w:rPr>
              <w:t>2。</w:t>
            </w:r>
          </w:p>
          <w:p w14:paraId="6F76F77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表1</w:t>
            </w:r>
            <w:r>
              <w:rPr>
                <w:rFonts w:hint="default" w:ascii="Times New Roman" w:hAnsi="Times New Roman" w:eastAsia="宋体" w:cs="Times New Roman"/>
                <w:b/>
                <w:bCs/>
                <w:color w:val="auto"/>
                <w:sz w:val="21"/>
                <w:szCs w:val="21"/>
                <w:lang w:val="en-US" w:eastAsia="zh-CN"/>
              </w:rPr>
              <w:t>-1</w:t>
            </w:r>
            <w:r>
              <w:rPr>
                <w:rFonts w:hint="default" w:ascii="Times New Roman" w:hAnsi="Times New Roman" w:eastAsia="宋体" w:cs="Times New Roman"/>
                <w:b/>
                <w:bCs/>
                <w:color w:val="auto"/>
                <w:sz w:val="21"/>
                <w:szCs w:val="21"/>
              </w:rPr>
              <w:t xml:space="preserve">  经济技术指标一览表</w:t>
            </w:r>
          </w:p>
          <w:tbl>
            <w:tblPr>
              <w:tblStyle w:val="15"/>
              <w:tblW w:w="8504"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771"/>
              <w:gridCol w:w="2640"/>
              <w:gridCol w:w="1083"/>
              <w:gridCol w:w="1324"/>
              <w:gridCol w:w="1658"/>
            </w:tblGrid>
            <w:tr w14:paraId="79CE32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tcBorders>
                    <w:tl2br w:val="nil"/>
                    <w:tr2bl w:val="nil"/>
                  </w:tcBorders>
                  <w:vAlign w:val="center"/>
                </w:tcPr>
                <w:p w14:paraId="5284FD1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序号</w:t>
                  </w:r>
                </w:p>
              </w:tc>
              <w:tc>
                <w:tcPr>
                  <w:tcW w:w="3411" w:type="dxa"/>
                  <w:gridSpan w:val="2"/>
                  <w:tcBorders>
                    <w:tl2br w:val="nil"/>
                    <w:tr2bl w:val="nil"/>
                  </w:tcBorders>
                  <w:vAlign w:val="center"/>
                </w:tcPr>
                <w:p w14:paraId="7C9286A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名称</w:t>
                  </w:r>
                </w:p>
              </w:tc>
              <w:tc>
                <w:tcPr>
                  <w:tcW w:w="1083" w:type="dxa"/>
                  <w:tcBorders>
                    <w:tl2br w:val="nil"/>
                    <w:tr2bl w:val="nil"/>
                  </w:tcBorders>
                  <w:vAlign w:val="center"/>
                </w:tcPr>
                <w:p w14:paraId="29414A54">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单位</w:t>
                  </w:r>
                </w:p>
              </w:tc>
              <w:tc>
                <w:tcPr>
                  <w:tcW w:w="1324" w:type="dxa"/>
                  <w:tcBorders>
                    <w:tl2br w:val="nil"/>
                    <w:tr2bl w:val="nil"/>
                  </w:tcBorders>
                  <w:vAlign w:val="center"/>
                </w:tcPr>
                <w:p w14:paraId="178B358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指标值</w:t>
                  </w:r>
                </w:p>
              </w:tc>
              <w:tc>
                <w:tcPr>
                  <w:tcW w:w="1658" w:type="dxa"/>
                  <w:tcBorders>
                    <w:tl2br w:val="nil"/>
                    <w:tr2bl w:val="nil"/>
                  </w:tcBorders>
                  <w:vAlign w:val="center"/>
                </w:tcPr>
                <w:p w14:paraId="5514920F">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sz w:val="21"/>
                      <w:szCs w:val="21"/>
                      <w:lang w:eastAsia="zh-CN"/>
                    </w:rPr>
                  </w:pPr>
                  <w:r>
                    <w:rPr>
                      <w:rFonts w:hint="eastAsia" w:cs="Times New Roman"/>
                      <w:bCs/>
                      <w:color w:val="auto"/>
                      <w:sz w:val="21"/>
                      <w:szCs w:val="21"/>
                      <w:lang w:eastAsia="zh-CN"/>
                    </w:rPr>
                    <w:t>备注</w:t>
                  </w:r>
                </w:p>
              </w:tc>
            </w:tr>
            <w:tr w14:paraId="292F92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tcBorders>
                    <w:tl2br w:val="nil"/>
                    <w:tr2bl w:val="nil"/>
                  </w:tcBorders>
                  <w:vAlign w:val="center"/>
                </w:tcPr>
                <w:p w14:paraId="7AA2A41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1</w:t>
                  </w:r>
                </w:p>
              </w:tc>
              <w:tc>
                <w:tcPr>
                  <w:tcW w:w="3411" w:type="dxa"/>
                  <w:gridSpan w:val="2"/>
                  <w:tcBorders>
                    <w:tl2br w:val="nil"/>
                    <w:tr2bl w:val="nil"/>
                  </w:tcBorders>
                  <w:vAlign w:val="center"/>
                </w:tcPr>
                <w:p w14:paraId="3F3A0AE7">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总用地面积</w:t>
                  </w:r>
                </w:p>
              </w:tc>
              <w:tc>
                <w:tcPr>
                  <w:tcW w:w="1083" w:type="dxa"/>
                  <w:tcBorders>
                    <w:tl2br w:val="nil"/>
                    <w:tr2bl w:val="nil"/>
                  </w:tcBorders>
                  <w:vAlign w:val="center"/>
                </w:tcPr>
                <w:p w14:paraId="48EF3716">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平方米</w:t>
                  </w:r>
                </w:p>
              </w:tc>
              <w:tc>
                <w:tcPr>
                  <w:tcW w:w="1324" w:type="dxa"/>
                  <w:tcBorders>
                    <w:tl2br w:val="nil"/>
                    <w:tr2bl w:val="nil"/>
                  </w:tcBorders>
                  <w:vAlign w:val="center"/>
                </w:tcPr>
                <w:p w14:paraId="07E417FE">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21762.2</w:t>
                  </w:r>
                </w:p>
              </w:tc>
              <w:tc>
                <w:tcPr>
                  <w:tcW w:w="1658" w:type="dxa"/>
                  <w:tcBorders>
                    <w:tl2br w:val="nil"/>
                    <w:tr2bl w:val="nil"/>
                  </w:tcBorders>
                  <w:vAlign w:val="center"/>
                </w:tcPr>
                <w:p w14:paraId="4336F6A8">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75B5D5F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tcBorders>
                    <w:tl2br w:val="nil"/>
                    <w:tr2bl w:val="nil"/>
                  </w:tcBorders>
                  <w:vAlign w:val="center"/>
                </w:tcPr>
                <w:p w14:paraId="5BB016D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sz w:val="21"/>
                      <w:szCs w:val="21"/>
                      <w:lang w:val="en-US" w:eastAsia="zh-CN"/>
                    </w:rPr>
                  </w:pPr>
                  <w:r>
                    <w:rPr>
                      <w:rFonts w:hint="eastAsia" w:cs="Times New Roman"/>
                      <w:bCs/>
                      <w:color w:val="auto"/>
                      <w:sz w:val="21"/>
                      <w:szCs w:val="21"/>
                      <w:lang w:val="en-US" w:eastAsia="zh-CN"/>
                    </w:rPr>
                    <w:t>2</w:t>
                  </w:r>
                </w:p>
              </w:tc>
              <w:tc>
                <w:tcPr>
                  <w:tcW w:w="3411" w:type="dxa"/>
                  <w:gridSpan w:val="2"/>
                  <w:tcBorders>
                    <w:tl2br w:val="nil"/>
                    <w:tr2bl w:val="nil"/>
                  </w:tcBorders>
                  <w:vAlign w:val="center"/>
                </w:tcPr>
                <w:p w14:paraId="77230817">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总建筑面积</w:t>
                  </w:r>
                </w:p>
              </w:tc>
              <w:tc>
                <w:tcPr>
                  <w:tcW w:w="1083" w:type="dxa"/>
                  <w:tcBorders>
                    <w:tl2br w:val="nil"/>
                    <w:tr2bl w:val="nil"/>
                  </w:tcBorders>
                  <w:vAlign w:val="center"/>
                </w:tcPr>
                <w:p w14:paraId="7E612BAF">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平方米</w:t>
                  </w:r>
                </w:p>
              </w:tc>
              <w:tc>
                <w:tcPr>
                  <w:tcW w:w="1324" w:type="dxa"/>
                  <w:tcBorders>
                    <w:tl2br w:val="nil"/>
                    <w:tr2bl w:val="nil"/>
                  </w:tcBorders>
                  <w:vAlign w:val="center"/>
                </w:tcPr>
                <w:p w14:paraId="067B4304">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lang w:val="en-US" w:eastAsia="zh-CN"/>
                    </w:rPr>
                  </w:pPr>
                  <w:r>
                    <w:rPr>
                      <w:rFonts w:hint="eastAsia" w:cs="Times New Roman"/>
                      <w:color w:val="auto"/>
                      <w:sz w:val="21"/>
                      <w:szCs w:val="21"/>
                      <w:lang w:val="en-US" w:eastAsia="zh-CN"/>
                    </w:rPr>
                    <w:t>85522.37</w:t>
                  </w:r>
                </w:p>
              </w:tc>
              <w:tc>
                <w:tcPr>
                  <w:tcW w:w="1658" w:type="dxa"/>
                  <w:tcBorders>
                    <w:tl2br w:val="nil"/>
                    <w:tr2bl w:val="nil"/>
                  </w:tcBorders>
                  <w:vAlign w:val="center"/>
                </w:tcPr>
                <w:p w14:paraId="1EEBE6F7">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4AE56F4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vMerge w:val="restart"/>
                  <w:tcBorders>
                    <w:tl2br w:val="nil"/>
                    <w:tr2bl w:val="nil"/>
                  </w:tcBorders>
                  <w:vAlign w:val="center"/>
                </w:tcPr>
                <w:p w14:paraId="50246CE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3</w:t>
                  </w:r>
                </w:p>
              </w:tc>
              <w:tc>
                <w:tcPr>
                  <w:tcW w:w="3411" w:type="dxa"/>
                  <w:gridSpan w:val="2"/>
                  <w:tcBorders>
                    <w:tl2br w:val="nil"/>
                    <w:tr2bl w:val="nil"/>
                  </w:tcBorders>
                  <w:vAlign w:val="center"/>
                </w:tcPr>
                <w:p w14:paraId="5A877CB5">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eastAsia" w:cs="Times New Roman"/>
                      <w:color w:val="auto"/>
                      <w:sz w:val="21"/>
                      <w:szCs w:val="21"/>
                      <w:lang w:eastAsia="zh-CN"/>
                    </w:rPr>
                    <w:t>地上建筑</w:t>
                  </w:r>
                  <w:r>
                    <w:rPr>
                      <w:rFonts w:hint="default" w:ascii="Times New Roman" w:hAnsi="Times New Roman" w:eastAsia="宋体" w:cs="Times New Roman"/>
                      <w:color w:val="auto"/>
                      <w:sz w:val="21"/>
                      <w:szCs w:val="21"/>
                    </w:rPr>
                    <w:t>面积</w:t>
                  </w:r>
                </w:p>
              </w:tc>
              <w:tc>
                <w:tcPr>
                  <w:tcW w:w="1083" w:type="dxa"/>
                  <w:tcBorders>
                    <w:tl2br w:val="nil"/>
                    <w:tr2bl w:val="nil"/>
                  </w:tcBorders>
                  <w:vAlign w:val="center"/>
                </w:tcPr>
                <w:p w14:paraId="378F8BF9">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平方米</w:t>
                  </w:r>
                </w:p>
              </w:tc>
              <w:tc>
                <w:tcPr>
                  <w:tcW w:w="1324" w:type="dxa"/>
                  <w:tcBorders>
                    <w:tl2br w:val="nil"/>
                    <w:tr2bl w:val="nil"/>
                  </w:tcBorders>
                  <w:vAlign w:val="center"/>
                </w:tcPr>
                <w:p w14:paraId="2754FC2A">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72649.7</w:t>
                  </w:r>
                </w:p>
              </w:tc>
              <w:tc>
                <w:tcPr>
                  <w:tcW w:w="1658" w:type="dxa"/>
                  <w:tcBorders>
                    <w:tl2br w:val="nil"/>
                    <w:tr2bl w:val="nil"/>
                  </w:tcBorders>
                  <w:vAlign w:val="center"/>
                </w:tcPr>
                <w:p w14:paraId="323565AD">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2A6F1E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vMerge w:val="continue"/>
                  <w:tcBorders>
                    <w:tl2br w:val="nil"/>
                    <w:tr2bl w:val="nil"/>
                  </w:tcBorders>
                  <w:vAlign w:val="center"/>
                </w:tcPr>
                <w:p w14:paraId="4B3FE7E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771" w:type="dxa"/>
                  <w:vMerge w:val="restart"/>
                  <w:tcBorders>
                    <w:tl2br w:val="nil"/>
                    <w:tr2bl w:val="nil"/>
                  </w:tcBorders>
                  <w:vAlign w:val="center"/>
                </w:tcPr>
                <w:p w14:paraId="51F3E1DA">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其中</w:t>
                  </w:r>
                </w:p>
              </w:tc>
              <w:tc>
                <w:tcPr>
                  <w:tcW w:w="2640" w:type="dxa"/>
                  <w:tcBorders>
                    <w:tl2br w:val="nil"/>
                    <w:tr2bl w:val="nil"/>
                  </w:tcBorders>
                  <w:vAlign w:val="center"/>
                </w:tcPr>
                <w:p w14:paraId="04DF718D">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商业建筑面积</w:t>
                  </w:r>
                </w:p>
              </w:tc>
              <w:tc>
                <w:tcPr>
                  <w:tcW w:w="1083" w:type="dxa"/>
                  <w:tcBorders>
                    <w:tl2br w:val="nil"/>
                    <w:tr2bl w:val="nil"/>
                  </w:tcBorders>
                  <w:vAlign w:val="center"/>
                </w:tcPr>
                <w:p w14:paraId="7AAB56D3">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平方米</w:t>
                  </w:r>
                </w:p>
              </w:tc>
              <w:tc>
                <w:tcPr>
                  <w:tcW w:w="1324" w:type="dxa"/>
                  <w:tcBorders>
                    <w:tl2br w:val="nil"/>
                    <w:tr2bl w:val="nil"/>
                  </w:tcBorders>
                  <w:vAlign w:val="center"/>
                </w:tcPr>
                <w:p w14:paraId="4140348F">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3214.2</w:t>
                  </w:r>
                </w:p>
              </w:tc>
              <w:tc>
                <w:tcPr>
                  <w:tcW w:w="1658" w:type="dxa"/>
                  <w:tcBorders>
                    <w:tl2br w:val="nil"/>
                    <w:tr2bl w:val="nil"/>
                  </w:tcBorders>
                  <w:vAlign w:val="center"/>
                </w:tcPr>
                <w:p w14:paraId="45F0E742">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0601963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vMerge w:val="continue"/>
                  <w:tcBorders>
                    <w:tl2br w:val="nil"/>
                    <w:tr2bl w:val="nil"/>
                  </w:tcBorders>
                  <w:vAlign w:val="center"/>
                </w:tcPr>
                <w:p w14:paraId="78D72CB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771" w:type="dxa"/>
                  <w:vMerge w:val="continue"/>
                  <w:tcBorders>
                    <w:tl2br w:val="nil"/>
                    <w:tr2bl w:val="nil"/>
                  </w:tcBorders>
                  <w:vAlign w:val="center"/>
                </w:tcPr>
                <w:p w14:paraId="4C13C50D">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p>
              </w:tc>
              <w:tc>
                <w:tcPr>
                  <w:tcW w:w="2640" w:type="dxa"/>
                  <w:tcBorders>
                    <w:tl2br w:val="nil"/>
                    <w:tr2bl w:val="nil"/>
                  </w:tcBorders>
                  <w:vAlign w:val="center"/>
                </w:tcPr>
                <w:p w14:paraId="2086FAE7">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首层架空建筑面积</w:t>
                  </w:r>
                </w:p>
              </w:tc>
              <w:tc>
                <w:tcPr>
                  <w:tcW w:w="1083" w:type="dxa"/>
                  <w:tcBorders>
                    <w:tl2br w:val="nil"/>
                    <w:tr2bl w:val="nil"/>
                  </w:tcBorders>
                  <w:vAlign w:val="center"/>
                </w:tcPr>
                <w:p w14:paraId="459D0F30">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平方米</w:t>
                  </w:r>
                </w:p>
              </w:tc>
              <w:tc>
                <w:tcPr>
                  <w:tcW w:w="1324" w:type="dxa"/>
                  <w:tcBorders>
                    <w:tl2br w:val="nil"/>
                    <w:tr2bl w:val="nil"/>
                  </w:tcBorders>
                  <w:vAlign w:val="center"/>
                </w:tcPr>
                <w:p w14:paraId="1AF0CEB0">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1861.82</w:t>
                  </w:r>
                </w:p>
              </w:tc>
              <w:tc>
                <w:tcPr>
                  <w:tcW w:w="1658" w:type="dxa"/>
                  <w:tcBorders>
                    <w:tl2br w:val="nil"/>
                    <w:tr2bl w:val="nil"/>
                  </w:tcBorders>
                  <w:vAlign w:val="center"/>
                </w:tcPr>
                <w:p w14:paraId="671CF616">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205E262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vMerge w:val="continue"/>
                  <w:tcBorders>
                    <w:tl2br w:val="nil"/>
                    <w:tr2bl w:val="nil"/>
                  </w:tcBorders>
                  <w:vAlign w:val="center"/>
                </w:tcPr>
                <w:p w14:paraId="0953837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771" w:type="dxa"/>
                  <w:vMerge w:val="continue"/>
                  <w:tcBorders>
                    <w:tl2br w:val="nil"/>
                    <w:tr2bl w:val="nil"/>
                  </w:tcBorders>
                  <w:vAlign w:val="center"/>
                </w:tcPr>
                <w:p w14:paraId="5A9E38EC">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p>
              </w:tc>
              <w:tc>
                <w:tcPr>
                  <w:tcW w:w="2640" w:type="dxa"/>
                  <w:tcBorders>
                    <w:tl2br w:val="nil"/>
                    <w:tr2bl w:val="nil"/>
                  </w:tcBorders>
                  <w:vAlign w:val="center"/>
                </w:tcPr>
                <w:p w14:paraId="0622BC0A">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配套公建设施建筑面积</w:t>
                  </w:r>
                </w:p>
              </w:tc>
              <w:tc>
                <w:tcPr>
                  <w:tcW w:w="1083" w:type="dxa"/>
                  <w:tcBorders>
                    <w:tl2br w:val="nil"/>
                    <w:tr2bl w:val="nil"/>
                  </w:tcBorders>
                  <w:vAlign w:val="center"/>
                </w:tcPr>
                <w:p w14:paraId="2E37E9D9">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平方米</w:t>
                  </w:r>
                </w:p>
              </w:tc>
              <w:tc>
                <w:tcPr>
                  <w:tcW w:w="1324" w:type="dxa"/>
                  <w:tcBorders>
                    <w:tl2br w:val="nil"/>
                    <w:tr2bl w:val="nil"/>
                  </w:tcBorders>
                  <w:vAlign w:val="center"/>
                </w:tcPr>
                <w:p w14:paraId="1659EFDA">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128</w:t>
                  </w:r>
                </w:p>
              </w:tc>
              <w:tc>
                <w:tcPr>
                  <w:tcW w:w="1658" w:type="dxa"/>
                  <w:tcBorders>
                    <w:tl2br w:val="nil"/>
                    <w:tr2bl w:val="nil"/>
                  </w:tcBorders>
                  <w:vAlign w:val="center"/>
                </w:tcPr>
                <w:p w14:paraId="10C49823">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10B2290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vMerge w:val="continue"/>
                  <w:tcBorders>
                    <w:tl2br w:val="nil"/>
                    <w:tr2bl w:val="nil"/>
                  </w:tcBorders>
                  <w:vAlign w:val="center"/>
                </w:tcPr>
                <w:p w14:paraId="3B376EF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771" w:type="dxa"/>
                  <w:vMerge w:val="continue"/>
                  <w:tcBorders>
                    <w:tl2br w:val="nil"/>
                    <w:tr2bl w:val="nil"/>
                  </w:tcBorders>
                  <w:vAlign w:val="center"/>
                </w:tcPr>
                <w:p w14:paraId="0AAC7033">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p>
              </w:tc>
              <w:tc>
                <w:tcPr>
                  <w:tcW w:w="2640" w:type="dxa"/>
                  <w:tcBorders>
                    <w:tl2br w:val="nil"/>
                    <w:tr2bl w:val="nil"/>
                  </w:tcBorders>
                  <w:vAlign w:val="center"/>
                </w:tcPr>
                <w:p w14:paraId="4614F025">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住宅总建筑面积</w:t>
                  </w:r>
                </w:p>
              </w:tc>
              <w:tc>
                <w:tcPr>
                  <w:tcW w:w="1083" w:type="dxa"/>
                  <w:tcBorders>
                    <w:tl2br w:val="nil"/>
                    <w:tr2bl w:val="nil"/>
                  </w:tcBorders>
                  <w:vAlign w:val="center"/>
                </w:tcPr>
                <w:p w14:paraId="4D0EA6CA">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平方米</w:t>
                  </w:r>
                </w:p>
              </w:tc>
              <w:tc>
                <w:tcPr>
                  <w:tcW w:w="1324" w:type="dxa"/>
                  <w:tcBorders>
                    <w:tl2br w:val="nil"/>
                    <w:tr2bl w:val="nil"/>
                  </w:tcBorders>
                  <w:vAlign w:val="center"/>
                </w:tcPr>
                <w:p w14:paraId="6FCC4549">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67445.76</w:t>
                  </w:r>
                </w:p>
              </w:tc>
              <w:tc>
                <w:tcPr>
                  <w:tcW w:w="1658" w:type="dxa"/>
                  <w:tcBorders>
                    <w:tl2br w:val="nil"/>
                    <w:tr2bl w:val="nil"/>
                  </w:tcBorders>
                  <w:vAlign w:val="center"/>
                </w:tcPr>
                <w:p w14:paraId="21799A67">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11E866D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tcBorders>
                    <w:tl2br w:val="nil"/>
                    <w:tr2bl w:val="nil"/>
                  </w:tcBorders>
                  <w:vAlign w:val="center"/>
                </w:tcPr>
                <w:p w14:paraId="77142D7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sz w:val="21"/>
                      <w:szCs w:val="21"/>
                      <w:lang w:val="en-US" w:eastAsia="zh-CN"/>
                    </w:rPr>
                  </w:pPr>
                  <w:r>
                    <w:rPr>
                      <w:rFonts w:hint="eastAsia" w:cs="Times New Roman"/>
                      <w:bCs/>
                      <w:color w:val="auto"/>
                      <w:sz w:val="21"/>
                      <w:szCs w:val="21"/>
                      <w:lang w:val="en-US" w:eastAsia="zh-CN"/>
                    </w:rPr>
                    <w:t>4</w:t>
                  </w:r>
                </w:p>
              </w:tc>
              <w:tc>
                <w:tcPr>
                  <w:tcW w:w="3411" w:type="dxa"/>
                  <w:gridSpan w:val="2"/>
                  <w:tcBorders>
                    <w:tl2br w:val="nil"/>
                    <w:tr2bl w:val="nil"/>
                  </w:tcBorders>
                  <w:vAlign w:val="center"/>
                </w:tcPr>
                <w:p w14:paraId="040E76B7">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地下建筑面积</w:t>
                  </w:r>
                </w:p>
              </w:tc>
              <w:tc>
                <w:tcPr>
                  <w:tcW w:w="1083" w:type="dxa"/>
                  <w:tcBorders>
                    <w:tl2br w:val="nil"/>
                    <w:tr2bl w:val="nil"/>
                  </w:tcBorders>
                  <w:vAlign w:val="center"/>
                </w:tcPr>
                <w:p w14:paraId="2F21D13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平方米</w:t>
                  </w:r>
                </w:p>
              </w:tc>
              <w:tc>
                <w:tcPr>
                  <w:tcW w:w="1324" w:type="dxa"/>
                  <w:tcBorders>
                    <w:tl2br w:val="nil"/>
                    <w:tr2bl w:val="nil"/>
                  </w:tcBorders>
                  <w:vAlign w:val="center"/>
                </w:tcPr>
                <w:p w14:paraId="48AAD92C">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lang w:val="en-US" w:eastAsia="zh-CN"/>
                    </w:rPr>
                  </w:pPr>
                  <w:r>
                    <w:rPr>
                      <w:rFonts w:hint="eastAsia" w:cs="Times New Roman"/>
                      <w:color w:val="auto"/>
                      <w:sz w:val="21"/>
                      <w:szCs w:val="21"/>
                      <w:lang w:val="en-US" w:eastAsia="zh-CN"/>
                    </w:rPr>
                    <w:t>12872.67</w:t>
                  </w:r>
                </w:p>
              </w:tc>
              <w:tc>
                <w:tcPr>
                  <w:tcW w:w="1658" w:type="dxa"/>
                  <w:tcBorders>
                    <w:tl2br w:val="nil"/>
                    <w:tr2bl w:val="nil"/>
                  </w:tcBorders>
                  <w:vAlign w:val="center"/>
                </w:tcPr>
                <w:p w14:paraId="52875628">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lang w:val="en-US" w:eastAsia="zh-CN"/>
                    </w:rPr>
                  </w:pPr>
                </w:p>
              </w:tc>
            </w:tr>
            <w:tr w14:paraId="5F70D80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tcBorders>
                    <w:tl2br w:val="nil"/>
                    <w:tr2bl w:val="nil"/>
                  </w:tcBorders>
                  <w:vAlign w:val="center"/>
                </w:tcPr>
                <w:p w14:paraId="5A7F3D4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4</w:t>
                  </w:r>
                </w:p>
              </w:tc>
              <w:tc>
                <w:tcPr>
                  <w:tcW w:w="3411" w:type="dxa"/>
                  <w:gridSpan w:val="2"/>
                  <w:tcBorders>
                    <w:tl2br w:val="nil"/>
                    <w:tr2bl w:val="nil"/>
                  </w:tcBorders>
                  <w:vAlign w:val="center"/>
                </w:tcPr>
                <w:p w14:paraId="4380A5CA">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容积率</w:t>
                  </w:r>
                </w:p>
              </w:tc>
              <w:tc>
                <w:tcPr>
                  <w:tcW w:w="1083" w:type="dxa"/>
                  <w:tcBorders>
                    <w:tl2br w:val="nil"/>
                    <w:tr2bl w:val="nil"/>
                  </w:tcBorders>
                  <w:vAlign w:val="center"/>
                </w:tcPr>
                <w:p w14:paraId="599FBCC8">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w:t>
                  </w:r>
                </w:p>
              </w:tc>
              <w:tc>
                <w:tcPr>
                  <w:tcW w:w="1324" w:type="dxa"/>
                  <w:tcBorders>
                    <w:tl2br w:val="nil"/>
                    <w:tr2bl w:val="nil"/>
                  </w:tcBorders>
                  <w:vAlign w:val="center"/>
                </w:tcPr>
                <w:p w14:paraId="002EA4C6">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3.50</w:t>
                  </w:r>
                </w:p>
              </w:tc>
              <w:tc>
                <w:tcPr>
                  <w:tcW w:w="1658" w:type="dxa"/>
                  <w:tcBorders>
                    <w:tl2br w:val="nil"/>
                    <w:tr2bl w:val="nil"/>
                  </w:tcBorders>
                  <w:vAlign w:val="center"/>
                </w:tcPr>
                <w:p w14:paraId="65A44D5C">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2D863DC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tcBorders>
                    <w:tl2br w:val="nil"/>
                    <w:tr2bl w:val="nil"/>
                  </w:tcBorders>
                  <w:vAlign w:val="center"/>
                </w:tcPr>
                <w:p w14:paraId="2E793C6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6</w:t>
                  </w:r>
                </w:p>
              </w:tc>
              <w:tc>
                <w:tcPr>
                  <w:tcW w:w="3411" w:type="dxa"/>
                  <w:gridSpan w:val="2"/>
                  <w:tcBorders>
                    <w:tl2br w:val="nil"/>
                    <w:tr2bl w:val="nil"/>
                  </w:tcBorders>
                  <w:vAlign w:val="center"/>
                </w:tcPr>
                <w:p w14:paraId="088869D1">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建筑密度</w:t>
                  </w:r>
                </w:p>
              </w:tc>
              <w:tc>
                <w:tcPr>
                  <w:tcW w:w="1083" w:type="dxa"/>
                  <w:tcBorders>
                    <w:tl2br w:val="nil"/>
                    <w:tr2bl w:val="nil"/>
                  </w:tcBorders>
                  <w:vAlign w:val="center"/>
                </w:tcPr>
                <w:p w14:paraId="52F02C26">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w:t>
                  </w:r>
                </w:p>
              </w:tc>
              <w:tc>
                <w:tcPr>
                  <w:tcW w:w="1324" w:type="dxa"/>
                  <w:tcBorders>
                    <w:tl2br w:val="nil"/>
                    <w:tr2bl w:val="nil"/>
                  </w:tcBorders>
                  <w:vAlign w:val="center"/>
                </w:tcPr>
                <w:p w14:paraId="0C65A900">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24.45</w:t>
                  </w:r>
                </w:p>
              </w:tc>
              <w:tc>
                <w:tcPr>
                  <w:tcW w:w="1658" w:type="dxa"/>
                  <w:tcBorders>
                    <w:tl2br w:val="nil"/>
                    <w:tr2bl w:val="nil"/>
                  </w:tcBorders>
                  <w:vAlign w:val="center"/>
                </w:tcPr>
                <w:p w14:paraId="076C1A65">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0D2680E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vMerge w:val="restart"/>
                  <w:tcBorders>
                    <w:tl2br w:val="nil"/>
                    <w:tr2bl w:val="nil"/>
                  </w:tcBorders>
                  <w:vAlign w:val="center"/>
                </w:tcPr>
                <w:p w14:paraId="23F55E0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7</w:t>
                  </w:r>
                </w:p>
              </w:tc>
              <w:tc>
                <w:tcPr>
                  <w:tcW w:w="3411" w:type="dxa"/>
                  <w:gridSpan w:val="2"/>
                  <w:tcBorders>
                    <w:tl2br w:val="nil"/>
                    <w:tr2bl w:val="nil"/>
                  </w:tcBorders>
                  <w:vAlign w:val="center"/>
                </w:tcPr>
                <w:p w14:paraId="30B6C03A">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eastAsia="zh-CN"/>
                    </w:rPr>
                  </w:pPr>
                  <w:r>
                    <w:rPr>
                      <w:rFonts w:hint="eastAsia" w:cs="Times New Roman"/>
                      <w:color w:val="auto"/>
                      <w:sz w:val="21"/>
                      <w:szCs w:val="21"/>
                      <w:lang w:eastAsia="zh-CN"/>
                    </w:rPr>
                    <w:t>机动车</w:t>
                  </w:r>
                  <w:r>
                    <w:rPr>
                      <w:rFonts w:hint="default" w:ascii="Times New Roman" w:hAnsi="Times New Roman" w:eastAsia="宋体" w:cs="Times New Roman"/>
                      <w:color w:val="auto"/>
                      <w:sz w:val="21"/>
                      <w:szCs w:val="21"/>
                      <w:lang w:eastAsia="zh-CN"/>
                    </w:rPr>
                    <w:t>总停车位数</w:t>
                  </w:r>
                </w:p>
              </w:tc>
              <w:tc>
                <w:tcPr>
                  <w:tcW w:w="1083" w:type="dxa"/>
                  <w:tcBorders>
                    <w:tl2br w:val="nil"/>
                    <w:tr2bl w:val="nil"/>
                  </w:tcBorders>
                  <w:vAlign w:val="center"/>
                </w:tcPr>
                <w:p w14:paraId="32702724">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个</w:t>
                  </w:r>
                </w:p>
              </w:tc>
              <w:tc>
                <w:tcPr>
                  <w:tcW w:w="1324" w:type="dxa"/>
                  <w:tcBorders>
                    <w:tl2br w:val="nil"/>
                    <w:tr2bl w:val="nil"/>
                  </w:tcBorders>
                  <w:vAlign w:val="center"/>
                </w:tcPr>
                <w:p w14:paraId="769E1F97">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339</w:t>
                  </w:r>
                </w:p>
              </w:tc>
              <w:tc>
                <w:tcPr>
                  <w:tcW w:w="1658" w:type="dxa"/>
                  <w:tcBorders>
                    <w:tl2br w:val="nil"/>
                    <w:tr2bl w:val="nil"/>
                  </w:tcBorders>
                  <w:vAlign w:val="center"/>
                </w:tcPr>
                <w:p w14:paraId="21811FAE">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0CF2B53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vMerge w:val="continue"/>
                  <w:tcBorders>
                    <w:tl2br w:val="nil"/>
                    <w:tr2bl w:val="nil"/>
                  </w:tcBorders>
                  <w:vAlign w:val="center"/>
                </w:tcPr>
                <w:p w14:paraId="134FF61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3411" w:type="dxa"/>
                  <w:gridSpan w:val="2"/>
                  <w:tcBorders>
                    <w:tl2br w:val="nil"/>
                    <w:tr2bl w:val="nil"/>
                  </w:tcBorders>
                  <w:vAlign w:val="center"/>
                </w:tcPr>
                <w:p w14:paraId="3E9E167C">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eastAsia="zh-CN"/>
                    </w:rPr>
                  </w:pPr>
                  <w:r>
                    <w:rPr>
                      <w:rFonts w:hint="eastAsia" w:cs="Times New Roman"/>
                      <w:color w:val="auto"/>
                      <w:sz w:val="21"/>
                      <w:szCs w:val="21"/>
                      <w:lang w:eastAsia="zh-CN"/>
                    </w:rPr>
                    <w:t>机动车</w:t>
                  </w:r>
                  <w:r>
                    <w:rPr>
                      <w:rFonts w:hint="default" w:ascii="Times New Roman" w:hAnsi="Times New Roman" w:eastAsia="宋体" w:cs="Times New Roman"/>
                      <w:color w:val="auto"/>
                      <w:sz w:val="21"/>
                      <w:szCs w:val="21"/>
                      <w:lang w:eastAsia="zh-CN"/>
                    </w:rPr>
                    <w:t>地上停车位数</w:t>
                  </w:r>
                </w:p>
              </w:tc>
              <w:tc>
                <w:tcPr>
                  <w:tcW w:w="1083" w:type="dxa"/>
                  <w:vMerge w:val="restart"/>
                  <w:tcBorders>
                    <w:tl2br w:val="nil"/>
                    <w:tr2bl w:val="nil"/>
                  </w:tcBorders>
                  <w:vAlign w:val="center"/>
                </w:tcPr>
                <w:p w14:paraId="4623B4F4">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个</w:t>
                  </w:r>
                </w:p>
              </w:tc>
              <w:tc>
                <w:tcPr>
                  <w:tcW w:w="1324" w:type="dxa"/>
                  <w:tcBorders>
                    <w:tl2br w:val="nil"/>
                    <w:tr2bl w:val="nil"/>
                  </w:tcBorders>
                  <w:vAlign w:val="center"/>
                </w:tcPr>
                <w:p w14:paraId="379EF726">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66</w:t>
                  </w:r>
                </w:p>
              </w:tc>
              <w:tc>
                <w:tcPr>
                  <w:tcW w:w="1658" w:type="dxa"/>
                  <w:tcBorders>
                    <w:tl2br w:val="nil"/>
                    <w:tr2bl w:val="nil"/>
                  </w:tcBorders>
                  <w:vAlign w:val="center"/>
                </w:tcPr>
                <w:p w14:paraId="30EF30F7">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3BCA3D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vMerge w:val="continue"/>
                  <w:tcBorders>
                    <w:tl2br w:val="nil"/>
                    <w:tr2bl w:val="nil"/>
                  </w:tcBorders>
                  <w:vAlign w:val="center"/>
                </w:tcPr>
                <w:p w14:paraId="46E5ED10">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1"/>
                      <w:szCs w:val="21"/>
                    </w:rPr>
                  </w:pPr>
                </w:p>
              </w:tc>
              <w:tc>
                <w:tcPr>
                  <w:tcW w:w="3411" w:type="dxa"/>
                  <w:gridSpan w:val="2"/>
                  <w:tcBorders>
                    <w:tl2br w:val="nil"/>
                    <w:tr2bl w:val="nil"/>
                  </w:tcBorders>
                  <w:vAlign w:val="center"/>
                </w:tcPr>
                <w:p w14:paraId="421902A3">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eastAsia="zh-CN"/>
                    </w:rPr>
                  </w:pPr>
                  <w:r>
                    <w:rPr>
                      <w:rFonts w:hint="eastAsia" w:cs="Times New Roman"/>
                      <w:color w:val="auto"/>
                      <w:sz w:val="21"/>
                      <w:szCs w:val="21"/>
                      <w:lang w:eastAsia="zh-CN"/>
                    </w:rPr>
                    <w:t>机动车</w:t>
                  </w:r>
                  <w:r>
                    <w:rPr>
                      <w:rFonts w:hint="default" w:ascii="Times New Roman" w:hAnsi="Times New Roman" w:eastAsia="宋体" w:cs="Times New Roman"/>
                      <w:color w:val="auto"/>
                      <w:sz w:val="21"/>
                      <w:szCs w:val="21"/>
                      <w:lang w:eastAsia="zh-CN"/>
                    </w:rPr>
                    <w:t>地下停车位数</w:t>
                  </w:r>
                </w:p>
              </w:tc>
              <w:tc>
                <w:tcPr>
                  <w:tcW w:w="1083" w:type="dxa"/>
                  <w:vMerge w:val="continue"/>
                  <w:tcBorders>
                    <w:tl2br w:val="nil"/>
                    <w:tr2bl w:val="nil"/>
                  </w:tcBorders>
                  <w:vAlign w:val="center"/>
                </w:tcPr>
                <w:p w14:paraId="66F9A9A4">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p>
              </w:tc>
              <w:tc>
                <w:tcPr>
                  <w:tcW w:w="1324" w:type="dxa"/>
                  <w:tcBorders>
                    <w:tl2br w:val="nil"/>
                    <w:tr2bl w:val="nil"/>
                  </w:tcBorders>
                  <w:vAlign w:val="center"/>
                </w:tcPr>
                <w:p w14:paraId="40E77E86">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273</w:t>
                  </w:r>
                </w:p>
              </w:tc>
              <w:tc>
                <w:tcPr>
                  <w:tcW w:w="1658" w:type="dxa"/>
                  <w:tcBorders>
                    <w:tl2br w:val="nil"/>
                    <w:tr2bl w:val="nil"/>
                  </w:tcBorders>
                  <w:vAlign w:val="center"/>
                </w:tcPr>
                <w:p w14:paraId="6D3DFFA6">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3EEB106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tcBorders>
                    <w:tl2br w:val="nil"/>
                    <w:tr2bl w:val="nil"/>
                  </w:tcBorders>
                  <w:vAlign w:val="center"/>
                </w:tcPr>
                <w:p w14:paraId="6FC6780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8</w:t>
                  </w:r>
                </w:p>
              </w:tc>
              <w:tc>
                <w:tcPr>
                  <w:tcW w:w="3411" w:type="dxa"/>
                  <w:gridSpan w:val="2"/>
                  <w:tcBorders>
                    <w:tl2br w:val="nil"/>
                    <w:tr2bl w:val="nil"/>
                  </w:tcBorders>
                  <w:vAlign w:val="center"/>
                </w:tcPr>
                <w:p w14:paraId="6AB4254E">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绿地率</w:t>
                  </w:r>
                </w:p>
              </w:tc>
              <w:tc>
                <w:tcPr>
                  <w:tcW w:w="1083" w:type="dxa"/>
                  <w:tcBorders>
                    <w:tl2br w:val="nil"/>
                    <w:tr2bl w:val="nil"/>
                  </w:tcBorders>
                  <w:vAlign w:val="center"/>
                </w:tcPr>
                <w:p w14:paraId="27072E0F">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w:t>
                  </w:r>
                </w:p>
              </w:tc>
              <w:tc>
                <w:tcPr>
                  <w:tcW w:w="1324" w:type="dxa"/>
                  <w:tcBorders>
                    <w:tl2br w:val="nil"/>
                    <w:tr2bl w:val="nil"/>
                  </w:tcBorders>
                  <w:vAlign w:val="center"/>
                </w:tcPr>
                <w:p w14:paraId="293342D0">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35.88</w:t>
                  </w:r>
                </w:p>
              </w:tc>
              <w:tc>
                <w:tcPr>
                  <w:tcW w:w="1658" w:type="dxa"/>
                  <w:tcBorders>
                    <w:tl2br w:val="nil"/>
                    <w:tr2bl w:val="nil"/>
                  </w:tcBorders>
                  <w:vAlign w:val="center"/>
                </w:tcPr>
                <w:p w14:paraId="71AA4A47">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7A5221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tcBorders>
                    <w:tl2br w:val="nil"/>
                    <w:tr2bl w:val="nil"/>
                  </w:tcBorders>
                  <w:vAlign w:val="center"/>
                </w:tcPr>
                <w:p w14:paraId="4052B6A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9</w:t>
                  </w:r>
                </w:p>
              </w:tc>
              <w:tc>
                <w:tcPr>
                  <w:tcW w:w="3411" w:type="dxa"/>
                  <w:gridSpan w:val="2"/>
                  <w:tcBorders>
                    <w:tl2br w:val="nil"/>
                    <w:tr2bl w:val="nil"/>
                  </w:tcBorders>
                  <w:vAlign w:val="center"/>
                </w:tcPr>
                <w:p w14:paraId="345D44E8">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总户数</w:t>
                  </w:r>
                </w:p>
              </w:tc>
              <w:tc>
                <w:tcPr>
                  <w:tcW w:w="1083" w:type="dxa"/>
                  <w:tcBorders>
                    <w:tl2br w:val="nil"/>
                    <w:tr2bl w:val="nil"/>
                  </w:tcBorders>
                  <w:vAlign w:val="center"/>
                </w:tcPr>
                <w:p w14:paraId="4DB210AA">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户</w:t>
                  </w:r>
                </w:p>
              </w:tc>
              <w:tc>
                <w:tcPr>
                  <w:tcW w:w="1324" w:type="dxa"/>
                  <w:tcBorders>
                    <w:tl2br w:val="nil"/>
                    <w:tr2bl w:val="nil"/>
                  </w:tcBorders>
                  <w:vAlign w:val="center"/>
                </w:tcPr>
                <w:p w14:paraId="21E453B6">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660</w:t>
                  </w:r>
                </w:p>
              </w:tc>
              <w:tc>
                <w:tcPr>
                  <w:tcW w:w="1658" w:type="dxa"/>
                  <w:tcBorders>
                    <w:tl2br w:val="nil"/>
                    <w:tr2bl w:val="nil"/>
                  </w:tcBorders>
                  <w:vAlign w:val="center"/>
                </w:tcPr>
                <w:p w14:paraId="133B775F">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p>
              </w:tc>
            </w:tr>
            <w:tr w14:paraId="2949184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8" w:type="dxa"/>
                  <w:tcBorders>
                    <w:tl2br w:val="nil"/>
                    <w:tr2bl w:val="nil"/>
                  </w:tcBorders>
                  <w:vAlign w:val="center"/>
                </w:tcPr>
                <w:p w14:paraId="55157A8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10</w:t>
                  </w:r>
                </w:p>
              </w:tc>
              <w:tc>
                <w:tcPr>
                  <w:tcW w:w="3411" w:type="dxa"/>
                  <w:gridSpan w:val="2"/>
                  <w:tcBorders>
                    <w:tl2br w:val="nil"/>
                    <w:tr2bl w:val="nil"/>
                  </w:tcBorders>
                  <w:vAlign w:val="center"/>
                </w:tcPr>
                <w:p w14:paraId="7C4AB45F">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入住总人口</w:t>
                  </w:r>
                </w:p>
              </w:tc>
              <w:tc>
                <w:tcPr>
                  <w:tcW w:w="1083" w:type="dxa"/>
                  <w:tcBorders>
                    <w:tl2br w:val="nil"/>
                    <w:tr2bl w:val="nil"/>
                  </w:tcBorders>
                  <w:vAlign w:val="center"/>
                </w:tcPr>
                <w:p w14:paraId="09FB1639">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人</w:t>
                  </w:r>
                </w:p>
              </w:tc>
              <w:tc>
                <w:tcPr>
                  <w:tcW w:w="1324" w:type="dxa"/>
                  <w:tcBorders>
                    <w:tl2br w:val="nil"/>
                    <w:tr2bl w:val="nil"/>
                  </w:tcBorders>
                  <w:vAlign w:val="center"/>
                </w:tcPr>
                <w:p w14:paraId="7BD02BA4">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2112</w:t>
                  </w:r>
                </w:p>
              </w:tc>
              <w:tc>
                <w:tcPr>
                  <w:tcW w:w="1658" w:type="dxa"/>
                  <w:tcBorders>
                    <w:tl2br w:val="nil"/>
                    <w:tr2bl w:val="nil"/>
                  </w:tcBorders>
                  <w:vAlign w:val="center"/>
                </w:tcPr>
                <w:p w14:paraId="515DA25D">
                  <w:pPr>
                    <w:keepNext w:val="0"/>
                    <w:keepLines w:val="0"/>
                    <w:pageBreakBefore w:val="0"/>
                    <w:tabs>
                      <w:tab w:val="left" w:pos="0"/>
                      <w:tab w:val="left" w:pos="22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每户按3.2人计</w:t>
                  </w:r>
                </w:p>
              </w:tc>
            </w:tr>
          </w:tbl>
          <w:p w14:paraId="4842EB1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rPr>
              <w:t>表</w:t>
            </w:r>
            <w:r>
              <w:rPr>
                <w:rFonts w:hint="default" w:ascii="Times New Roman" w:hAnsi="Times New Roman" w:eastAsia="宋体" w:cs="Times New Roman"/>
                <w:b/>
                <w:bCs/>
                <w:color w:val="auto"/>
                <w:sz w:val="21"/>
                <w:szCs w:val="21"/>
                <w:lang w:val="en-US" w:eastAsia="zh-CN"/>
              </w:rPr>
              <w:t>1-</w:t>
            </w:r>
            <w:r>
              <w:rPr>
                <w:rFonts w:hint="default" w:ascii="Times New Roman" w:hAnsi="Times New Roman" w:eastAsia="宋体" w:cs="Times New Roman"/>
                <w:b/>
                <w:bCs/>
                <w:color w:val="auto"/>
                <w:sz w:val="21"/>
                <w:szCs w:val="21"/>
              </w:rPr>
              <w:t>2  项目主要组成一览表</w:t>
            </w:r>
          </w:p>
          <w:tbl>
            <w:tblPr>
              <w:tblStyle w:val="15"/>
              <w:tblW w:w="8504"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802"/>
              <w:gridCol w:w="1591"/>
              <w:gridCol w:w="6111"/>
            </w:tblGrid>
            <w:tr w14:paraId="6CCC4C6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54" w:hRule="atLeast"/>
                <w:jc w:val="center"/>
              </w:trPr>
              <w:tc>
                <w:tcPr>
                  <w:tcW w:w="802" w:type="dxa"/>
                  <w:vAlign w:val="center"/>
                </w:tcPr>
                <w:p w14:paraId="2CD721C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分类</w:t>
                  </w:r>
                </w:p>
              </w:tc>
              <w:tc>
                <w:tcPr>
                  <w:tcW w:w="1591" w:type="dxa"/>
                  <w:vAlign w:val="center"/>
                </w:tcPr>
                <w:p w14:paraId="1B7AE9A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项目组成</w:t>
                  </w:r>
                </w:p>
              </w:tc>
              <w:tc>
                <w:tcPr>
                  <w:tcW w:w="6111" w:type="dxa"/>
                  <w:vAlign w:val="center"/>
                </w:tcPr>
                <w:p w14:paraId="67143ED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具体内容</w:t>
                  </w:r>
                </w:p>
              </w:tc>
            </w:tr>
            <w:tr w14:paraId="682B16C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restart"/>
                  <w:vAlign w:val="center"/>
                </w:tcPr>
                <w:p w14:paraId="2C89737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主体</w:t>
                  </w:r>
                </w:p>
                <w:p w14:paraId="7569FB1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工程</w:t>
                  </w:r>
                </w:p>
              </w:tc>
              <w:tc>
                <w:tcPr>
                  <w:tcW w:w="1591" w:type="dxa"/>
                  <w:vAlign w:val="center"/>
                </w:tcPr>
                <w:p w14:paraId="37AE4D1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高层住宅楼</w:t>
                  </w:r>
                </w:p>
              </w:tc>
              <w:tc>
                <w:tcPr>
                  <w:tcW w:w="6111" w:type="dxa"/>
                  <w:vAlign w:val="center"/>
                </w:tcPr>
                <w:p w14:paraId="1DA0A23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0"/>
                      <w:sz w:val="21"/>
                      <w:szCs w:val="21"/>
                    </w:rPr>
                  </w:pPr>
                  <w:r>
                    <w:rPr>
                      <w:rFonts w:hint="eastAsia" w:cs="Times New Roman"/>
                      <w:bCs/>
                      <w:color w:val="auto"/>
                      <w:kern w:val="0"/>
                      <w:sz w:val="21"/>
                      <w:szCs w:val="21"/>
                      <w:lang w:val="en-US" w:eastAsia="zh-CN"/>
                    </w:rPr>
                    <w:t>1</w:t>
                  </w:r>
                  <w:r>
                    <w:rPr>
                      <w:rFonts w:hint="default" w:ascii="Times New Roman" w:hAnsi="Times New Roman" w:eastAsia="宋体" w:cs="Times New Roman"/>
                      <w:bCs/>
                      <w:color w:val="auto"/>
                      <w:kern w:val="0"/>
                      <w:sz w:val="21"/>
                      <w:szCs w:val="21"/>
                    </w:rPr>
                    <w:t>#</w:t>
                  </w:r>
                  <w:r>
                    <w:rPr>
                      <w:rFonts w:hint="eastAsia" w:cs="Times New Roman"/>
                      <w:bCs/>
                      <w:color w:val="auto"/>
                      <w:kern w:val="0"/>
                      <w:sz w:val="21"/>
                      <w:szCs w:val="21"/>
                      <w:lang w:eastAsia="zh-CN"/>
                    </w:rPr>
                    <w:t>、</w:t>
                  </w:r>
                  <w:r>
                    <w:rPr>
                      <w:rFonts w:hint="eastAsia" w:cs="Times New Roman"/>
                      <w:bCs/>
                      <w:color w:val="auto"/>
                      <w:kern w:val="0"/>
                      <w:sz w:val="21"/>
                      <w:szCs w:val="21"/>
                      <w:lang w:val="en-US" w:eastAsia="zh-CN"/>
                    </w:rPr>
                    <w:t>2</w:t>
                  </w:r>
                  <w:r>
                    <w:rPr>
                      <w:rFonts w:hint="default" w:ascii="Times New Roman" w:hAnsi="Times New Roman" w:eastAsia="宋体" w:cs="Times New Roman"/>
                      <w:bCs/>
                      <w:color w:val="auto"/>
                      <w:kern w:val="0"/>
                      <w:sz w:val="21"/>
                      <w:szCs w:val="21"/>
                      <w:lang w:val="en-US" w:eastAsia="zh-CN"/>
                    </w:rPr>
                    <w:t>#</w:t>
                  </w:r>
                  <w:r>
                    <w:rPr>
                      <w:rFonts w:hint="eastAsia" w:cs="Times New Roman"/>
                      <w:bCs/>
                      <w:color w:val="auto"/>
                      <w:kern w:val="0"/>
                      <w:sz w:val="21"/>
                      <w:szCs w:val="21"/>
                      <w:lang w:val="en-US" w:eastAsia="zh-CN"/>
                    </w:rPr>
                    <w:t>为28+1F高层住宅楼，位于项目地块的北面；3</w:t>
                  </w:r>
                  <w:r>
                    <w:rPr>
                      <w:rFonts w:hint="default" w:ascii="Times New Roman" w:hAnsi="Times New Roman" w:eastAsia="宋体" w:cs="Times New Roman"/>
                      <w:bCs/>
                      <w:color w:val="auto"/>
                      <w:kern w:val="0"/>
                      <w:sz w:val="21"/>
                      <w:szCs w:val="21"/>
                    </w:rPr>
                    <w:t>#</w:t>
                  </w:r>
                  <w:r>
                    <w:rPr>
                      <w:rFonts w:hint="eastAsia" w:cs="Times New Roman"/>
                      <w:bCs/>
                      <w:color w:val="auto"/>
                      <w:kern w:val="0"/>
                      <w:sz w:val="21"/>
                      <w:szCs w:val="21"/>
                      <w:lang w:eastAsia="zh-CN"/>
                    </w:rPr>
                    <w:t>、</w:t>
                  </w:r>
                  <w:r>
                    <w:rPr>
                      <w:rFonts w:hint="eastAsia" w:cs="Times New Roman"/>
                      <w:bCs/>
                      <w:color w:val="auto"/>
                      <w:kern w:val="0"/>
                      <w:sz w:val="21"/>
                      <w:szCs w:val="21"/>
                      <w:lang w:val="en-US" w:eastAsia="zh-CN"/>
                    </w:rPr>
                    <w:t>4</w:t>
                  </w:r>
                  <w:r>
                    <w:rPr>
                      <w:rFonts w:hint="default" w:ascii="Times New Roman" w:hAnsi="Times New Roman" w:eastAsia="宋体" w:cs="Times New Roman"/>
                      <w:bCs/>
                      <w:color w:val="auto"/>
                      <w:kern w:val="0"/>
                      <w:sz w:val="21"/>
                      <w:szCs w:val="21"/>
                      <w:lang w:val="en-US" w:eastAsia="zh-CN"/>
                    </w:rPr>
                    <w:t>#</w:t>
                  </w:r>
                  <w:r>
                    <w:rPr>
                      <w:rFonts w:hint="eastAsia" w:cs="Times New Roman"/>
                      <w:bCs/>
                      <w:color w:val="auto"/>
                      <w:kern w:val="0"/>
                      <w:sz w:val="21"/>
                      <w:szCs w:val="21"/>
                      <w:lang w:val="en-US" w:eastAsia="zh-CN"/>
                    </w:rPr>
                    <w:t>为27+1F高层住宅楼，位于项目地块的南面</w:t>
                  </w:r>
                </w:p>
              </w:tc>
            </w:tr>
            <w:tr w14:paraId="7E351B4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7BA93CA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vAlign w:val="center"/>
                </w:tcPr>
                <w:p w14:paraId="5B43A76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商业区</w:t>
                  </w:r>
                </w:p>
              </w:tc>
              <w:tc>
                <w:tcPr>
                  <w:tcW w:w="6111" w:type="dxa"/>
                  <w:vAlign w:val="center"/>
                </w:tcPr>
                <w:p w14:paraId="65A1FFD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bCs/>
                      <w:color w:val="auto"/>
                      <w:sz w:val="21"/>
                      <w:szCs w:val="21"/>
                    </w:rPr>
                    <w:t>项目商业区</w:t>
                  </w:r>
                  <w:r>
                    <w:rPr>
                      <w:rFonts w:hint="eastAsia" w:cs="Times New Roman"/>
                      <w:bCs/>
                      <w:color w:val="auto"/>
                      <w:sz w:val="21"/>
                      <w:szCs w:val="21"/>
                      <w:lang w:eastAsia="zh-CN"/>
                    </w:rPr>
                    <w:t>环项目地块北、西、南侧建设，项目商业区</w:t>
                  </w:r>
                  <w:r>
                    <w:rPr>
                      <w:bCs/>
                      <w:color w:val="auto"/>
                      <w:sz w:val="21"/>
                      <w:szCs w:val="21"/>
                    </w:rPr>
                    <w:t>引入商业类型</w:t>
                  </w:r>
                  <w:r>
                    <w:rPr>
                      <w:rFonts w:hint="eastAsia"/>
                      <w:bCs/>
                      <w:color w:val="auto"/>
                      <w:sz w:val="21"/>
                      <w:szCs w:val="21"/>
                    </w:rPr>
                    <w:t>为</w:t>
                  </w:r>
                  <w:r>
                    <w:rPr>
                      <w:bCs/>
                      <w:color w:val="auto"/>
                      <w:sz w:val="21"/>
                      <w:szCs w:val="21"/>
                    </w:rPr>
                    <w:t>零售业、书店、日用百货、小型餐饮等</w:t>
                  </w:r>
                  <w:r>
                    <w:rPr>
                      <w:rFonts w:hint="eastAsia"/>
                      <w:bCs/>
                      <w:color w:val="auto"/>
                      <w:sz w:val="21"/>
                      <w:szCs w:val="21"/>
                      <w:lang w:eastAsia="zh-CN"/>
                    </w:rPr>
                    <w:t>，不引进</w:t>
                  </w:r>
                  <w:r>
                    <w:rPr>
                      <w:color w:val="auto"/>
                      <w:kern w:val="0"/>
                      <w:sz w:val="21"/>
                      <w:szCs w:val="21"/>
                    </w:rPr>
                    <w:t>高噪声</w:t>
                  </w:r>
                  <w:r>
                    <w:rPr>
                      <w:rFonts w:hint="eastAsia"/>
                      <w:bCs/>
                      <w:color w:val="auto"/>
                      <w:sz w:val="21"/>
                      <w:szCs w:val="21"/>
                    </w:rPr>
                    <w:t>娱乐KTV</w:t>
                  </w:r>
                  <w:r>
                    <w:rPr>
                      <w:rFonts w:hint="eastAsia"/>
                      <w:bCs/>
                      <w:color w:val="auto"/>
                      <w:sz w:val="21"/>
                      <w:szCs w:val="21"/>
                      <w:lang w:eastAsia="zh-CN"/>
                    </w:rPr>
                    <w:t>设施以及医疗设施</w:t>
                  </w:r>
                </w:p>
              </w:tc>
            </w:tr>
            <w:tr w14:paraId="0DC1EB2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restart"/>
                  <w:vAlign w:val="center"/>
                </w:tcPr>
                <w:p w14:paraId="31BD25D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辅助</w:t>
                  </w:r>
                </w:p>
                <w:p w14:paraId="35E78F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工程</w:t>
                  </w:r>
                </w:p>
              </w:tc>
              <w:tc>
                <w:tcPr>
                  <w:tcW w:w="1591" w:type="dxa"/>
                  <w:vAlign w:val="center"/>
                </w:tcPr>
                <w:p w14:paraId="00FC17A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lang w:eastAsia="zh-CN"/>
                    </w:rPr>
                  </w:pPr>
                  <w:r>
                    <w:rPr>
                      <w:rFonts w:hint="eastAsia" w:cs="Times New Roman"/>
                      <w:color w:val="auto"/>
                      <w:sz w:val="21"/>
                      <w:szCs w:val="21"/>
                      <w:lang w:eastAsia="zh-CN"/>
                    </w:rPr>
                    <w:t>公共服务配套</w:t>
                  </w:r>
                </w:p>
                <w:p w14:paraId="5EF5B12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eastAsia" w:cs="Times New Roman"/>
                      <w:color w:val="auto"/>
                      <w:sz w:val="21"/>
                      <w:szCs w:val="21"/>
                      <w:lang w:eastAsia="zh-CN"/>
                    </w:rPr>
                    <w:t>设施</w:t>
                  </w:r>
                </w:p>
              </w:tc>
              <w:tc>
                <w:tcPr>
                  <w:tcW w:w="6111" w:type="dxa"/>
                  <w:vAlign w:val="center"/>
                </w:tcPr>
                <w:p w14:paraId="3F3CD13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snapToGrid w:val="0"/>
                      <w:color w:val="auto"/>
                      <w:spacing w:val="0"/>
                      <w:sz w:val="21"/>
                      <w:szCs w:val="21"/>
                      <w:lang w:val="en-US" w:eastAsia="zh-CN"/>
                    </w:rPr>
                  </w:pPr>
                  <w:r>
                    <w:rPr>
                      <w:rFonts w:hint="eastAsia" w:cs="Times New Roman"/>
                      <w:sz w:val="21"/>
                      <w:szCs w:val="21"/>
                      <w:lang w:eastAsia="zh-CN"/>
                    </w:rPr>
                    <w:t>门卫室、配建物管用房、公厕、</w:t>
                  </w:r>
                  <w:r>
                    <w:rPr>
                      <w:rFonts w:hint="default" w:ascii="Times New Roman" w:hAnsi="Times New Roman" w:eastAsia="宋体" w:cs="Times New Roman"/>
                      <w:sz w:val="21"/>
                      <w:szCs w:val="21"/>
                    </w:rPr>
                    <w:t>配电房、</w:t>
                  </w:r>
                  <w:r>
                    <w:rPr>
                      <w:rFonts w:hint="eastAsia" w:cs="Times New Roman"/>
                      <w:sz w:val="21"/>
                      <w:szCs w:val="21"/>
                      <w:lang w:eastAsia="zh-CN"/>
                    </w:rPr>
                    <w:t>开闭所、水泵房、</w:t>
                  </w:r>
                  <w:r>
                    <w:rPr>
                      <w:rFonts w:hint="default" w:ascii="Times New Roman" w:hAnsi="Times New Roman" w:eastAsia="宋体" w:cs="Times New Roman"/>
                      <w:sz w:val="21"/>
                      <w:szCs w:val="21"/>
                    </w:rPr>
                    <w:t>垃圾收集点</w:t>
                  </w:r>
                  <w:r>
                    <w:rPr>
                      <w:rFonts w:hint="eastAsia" w:cs="Times New Roman"/>
                      <w:sz w:val="21"/>
                      <w:szCs w:val="21"/>
                      <w:lang w:eastAsia="zh-CN"/>
                    </w:rPr>
                    <w:t>等</w:t>
                  </w:r>
                </w:p>
              </w:tc>
            </w:tr>
            <w:tr w14:paraId="5753080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3BFCF57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vAlign w:val="center"/>
                </w:tcPr>
                <w:p w14:paraId="790628D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sz w:val="21"/>
                      <w:szCs w:val="21"/>
                      <w:lang w:eastAsia="zh-CN"/>
                    </w:rPr>
                  </w:pPr>
                  <w:r>
                    <w:rPr>
                      <w:rFonts w:hint="default" w:ascii="Times New Roman" w:hAnsi="Times New Roman" w:eastAsia="宋体" w:cs="Times New Roman"/>
                      <w:bCs/>
                      <w:color w:val="auto"/>
                      <w:sz w:val="21"/>
                      <w:szCs w:val="21"/>
                      <w:lang w:eastAsia="zh-CN"/>
                    </w:rPr>
                    <w:t>中心绿地广场</w:t>
                  </w:r>
                </w:p>
              </w:tc>
              <w:tc>
                <w:tcPr>
                  <w:tcW w:w="6111" w:type="dxa"/>
                  <w:vAlign w:val="center"/>
                </w:tcPr>
                <w:p w14:paraId="21CD41A0">
                  <w:pPr>
                    <w:keepNext w:val="0"/>
                    <w:keepLines w:val="0"/>
                    <w:pageBreakBefore w:val="0"/>
                    <w:widowControl w:val="0"/>
                    <w:tabs>
                      <w:tab w:val="left" w:pos="2690"/>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eastAsia="zh-CN"/>
                    </w:rPr>
                    <w:t>中心绿地广场</w:t>
                  </w:r>
                  <w:r>
                    <w:rPr>
                      <w:rFonts w:hint="eastAsia" w:cs="Times New Roman"/>
                      <w:bCs/>
                      <w:color w:val="auto"/>
                      <w:sz w:val="21"/>
                      <w:szCs w:val="21"/>
                      <w:lang w:eastAsia="zh-CN"/>
                    </w:rPr>
                    <w:t>位于</w:t>
                  </w:r>
                  <w:r>
                    <w:rPr>
                      <w:rFonts w:hint="eastAsia" w:cs="Times New Roman"/>
                      <w:bCs/>
                      <w:color w:val="auto"/>
                      <w:sz w:val="21"/>
                      <w:szCs w:val="21"/>
                      <w:lang w:val="en-US" w:eastAsia="zh-CN"/>
                    </w:rPr>
                    <w:t>1#、2#、3#、4#住宅楼之间</w:t>
                  </w:r>
                  <w:r>
                    <w:rPr>
                      <w:rFonts w:hint="eastAsia" w:cs="Times New Roman"/>
                      <w:bCs/>
                      <w:color w:val="auto"/>
                      <w:sz w:val="21"/>
                      <w:szCs w:val="21"/>
                      <w:lang w:eastAsia="zh-CN"/>
                    </w:rPr>
                    <w:t>，中心绿地将所有住宅楼连接了起来</w:t>
                  </w:r>
                </w:p>
              </w:tc>
            </w:tr>
            <w:tr w14:paraId="73DC8F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restart"/>
                  <w:vAlign w:val="center"/>
                </w:tcPr>
                <w:p w14:paraId="6D8246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公用</w:t>
                  </w:r>
                </w:p>
                <w:p w14:paraId="04EBB77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工程</w:t>
                  </w:r>
                </w:p>
              </w:tc>
              <w:tc>
                <w:tcPr>
                  <w:tcW w:w="1591" w:type="dxa"/>
                  <w:vAlign w:val="center"/>
                </w:tcPr>
                <w:p w14:paraId="66AA248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供水</w:t>
                  </w:r>
                </w:p>
              </w:tc>
              <w:tc>
                <w:tcPr>
                  <w:tcW w:w="6111" w:type="dxa"/>
                  <w:vAlign w:val="center"/>
                </w:tcPr>
                <w:p w14:paraId="5C84673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给水水源由市政给水管网供给</w:t>
                  </w:r>
                </w:p>
              </w:tc>
            </w:tr>
            <w:tr w14:paraId="730C31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0B33C01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vAlign w:val="center"/>
                </w:tcPr>
                <w:p w14:paraId="54AD56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lang w:eastAsia="zh-CN"/>
                    </w:rPr>
                    <w:t>给排水</w:t>
                  </w:r>
                  <w:r>
                    <w:rPr>
                      <w:rFonts w:hint="default" w:ascii="Times New Roman" w:hAnsi="Times New Roman" w:eastAsia="宋体" w:cs="Times New Roman"/>
                      <w:bCs/>
                      <w:color w:val="auto"/>
                      <w:sz w:val="21"/>
                      <w:szCs w:val="21"/>
                    </w:rPr>
                    <w:t>水</w:t>
                  </w:r>
                </w:p>
              </w:tc>
              <w:tc>
                <w:tcPr>
                  <w:tcW w:w="6111" w:type="dxa"/>
                  <w:vAlign w:val="center"/>
                </w:tcPr>
                <w:p w14:paraId="1EAB198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sz w:val="21"/>
                      <w:szCs w:val="21"/>
                    </w:rPr>
                    <w:t>排水采用雨污分流制，分为废水系统和雨水系统</w:t>
                  </w:r>
                </w:p>
              </w:tc>
            </w:tr>
            <w:tr w14:paraId="4B054BF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6AEE329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vAlign w:val="center"/>
                </w:tcPr>
                <w:p w14:paraId="4A44C41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供气</w:t>
                  </w:r>
                </w:p>
              </w:tc>
              <w:tc>
                <w:tcPr>
                  <w:tcW w:w="6111" w:type="dxa"/>
                  <w:vAlign w:val="center"/>
                </w:tcPr>
                <w:p w14:paraId="5B004A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市政天然气管网供应</w:t>
                  </w:r>
                </w:p>
              </w:tc>
            </w:tr>
            <w:tr w14:paraId="747C5C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533F2D7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vAlign w:val="center"/>
                </w:tcPr>
                <w:p w14:paraId="3D995F2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供电</w:t>
                  </w:r>
                </w:p>
              </w:tc>
              <w:tc>
                <w:tcPr>
                  <w:tcW w:w="6111" w:type="dxa"/>
                  <w:vAlign w:val="center"/>
                </w:tcPr>
                <w:p w14:paraId="6F6D9E4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市政供电系统供应</w:t>
                  </w:r>
                </w:p>
              </w:tc>
            </w:tr>
            <w:tr w14:paraId="614054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0382EC0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vAlign w:val="center"/>
                </w:tcPr>
                <w:p w14:paraId="7B73C74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lang w:eastAsia="zh-CN"/>
                    </w:rPr>
                    <w:t>空调</w:t>
                  </w:r>
                  <w:r>
                    <w:rPr>
                      <w:rFonts w:hint="default" w:ascii="Times New Roman" w:hAnsi="Times New Roman" w:eastAsia="宋体" w:cs="Times New Roman"/>
                      <w:bCs/>
                      <w:color w:val="auto"/>
                      <w:sz w:val="21"/>
                      <w:szCs w:val="21"/>
                    </w:rPr>
                    <w:t>系统</w:t>
                  </w:r>
                </w:p>
              </w:tc>
              <w:tc>
                <w:tcPr>
                  <w:tcW w:w="6111" w:type="dxa"/>
                  <w:vAlign w:val="center"/>
                </w:tcPr>
                <w:p w14:paraId="38E4256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住宅</w:t>
                  </w:r>
                  <w:r>
                    <w:rPr>
                      <w:rFonts w:hint="default" w:ascii="Times New Roman" w:hAnsi="Times New Roman" w:eastAsia="宋体" w:cs="Times New Roman"/>
                      <w:bCs/>
                      <w:color w:val="auto"/>
                      <w:sz w:val="21"/>
                      <w:szCs w:val="21"/>
                      <w:lang w:eastAsia="zh-CN"/>
                    </w:rPr>
                    <w:t>楼、综合楼可以</w:t>
                  </w:r>
                  <w:r>
                    <w:rPr>
                      <w:rFonts w:hint="default" w:ascii="Times New Roman" w:hAnsi="Times New Roman" w:eastAsia="宋体" w:cs="Times New Roman"/>
                      <w:bCs/>
                      <w:color w:val="auto"/>
                      <w:sz w:val="21"/>
                      <w:szCs w:val="21"/>
                    </w:rPr>
                    <w:t>采用分体式空调器</w:t>
                  </w:r>
                </w:p>
              </w:tc>
            </w:tr>
            <w:tr w14:paraId="795F95F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3EB2AF3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shd w:val="clear" w:color="auto" w:fill="auto"/>
                  <w:vAlign w:val="center"/>
                </w:tcPr>
                <w:p w14:paraId="48D5560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sz w:val="21"/>
                      <w:szCs w:val="21"/>
                    </w:rPr>
                    <w:t>通风系统</w:t>
                  </w:r>
                </w:p>
              </w:tc>
              <w:tc>
                <w:tcPr>
                  <w:tcW w:w="6111" w:type="dxa"/>
                  <w:shd w:val="clear" w:color="auto" w:fill="auto"/>
                  <w:vAlign w:val="center"/>
                </w:tcPr>
                <w:p w14:paraId="1B6416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sz w:val="21"/>
                      <w:szCs w:val="21"/>
                      <w:lang w:eastAsia="zh-CN"/>
                    </w:rPr>
                    <w:t>地下车库</w:t>
                  </w:r>
                  <w:r>
                    <w:rPr>
                      <w:rFonts w:hint="default" w:ascii="Times New Roman" w:hAnsi="Times New Roman" w:eastAsia="宋体" w:cs="Times New Roman"/>
                      <w:bCs/>
                      <w:sz w:val="21"/>
                      <w:szCs w:val="21"/>
                    </w:rPr>
                    <w:t>分区为单位设置多个通风换气系统</w:t>
                  </w:r>
                </w:p>
              </w:tc>
            </w:tr>
            <w:tr w14:paraId="327F83D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restart"/>
                  <w:vAlign w:val="center"/>
                </w:tcPr>
                <w:p w14:paraId="3226FE9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环保</w:t>
                  </w:r>
                </w:p>
                <w:p w14:paraId="512F7B2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工程</w:t>
                  </w:r>
                </w:p>
              </w:tc>
              <w:tc>
                <w:tcPr>
                  <w:tcW w:w="1591" w:type="dxa"/>
                  <w:vAlign w:val="center"/>
                </w:tcPr>
                <w:p w14:paraId="1184685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废气系统</w:t>
                  </w:r>
                </w:p>
              </w:tc>
              <w:tc>
                <w:tcPr>
                  <w:tcW w:w="6111" w:type="dxa"/>
                  <w:vAlign w:val="center"/>
                </w:tcPr>
                <w:p w14:paraId="3A6A216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color w:val="auto"/>
                      <w:kern w:val="0"/>
                      <w:sz w:val="21"/>
                      <w:szCs w:val="21"/>
                    </w:rPr>
                  </w:pPr>
                  <w:r>
                    <w:rPr>
                      <w:rFonts w:hint="eastAsia" w:cs="Times New Roman"/>
                      <w:color w:val="auto"/>
                      <w:kern w:val="0"/>
                      <w:sz w:val="21"/>
                      <w:szCs w:val="21"/>
                      <w:lang w:eastAsia="zh-CN"/>
                    </w:rPr>
                    <w:t>每栋</w:t>
                  </w:r>
                  <w:r>
                    <w:rPr>
                      <w:rFonts w:hint="default" w:ascii="Times New Roman" w:hAnsi="Times New Roman" w:cs="Times New Roman"/>
                      <w:color w:val="auto"/>
                      <w:kern w:val="0"/>
                      <w:sz w:val="21"/>
                      <w:szCs w:val="21"/>
                    </w:rPr>
                    <w:t>住宅楼</w:t>
                  </w:r>
                  <w:r>
                    <w:rPr>
                      <w:rFonts w:hint="default" w:ascii="Times New Roman" w:hAnsi="Times New Roman" w:cs="Times New Roman"/>
                      <w:color w:val="auto"/>
                      <w:kern w:val="0"/>
                      <w:sz w:val="21"/>
                      <w:szCs w:val="21"/>
                      <w:lang w:eastAsia="zh-CN"/>
                    </w:rPr>
                    <w:t>内</w:t>
                  </w:r>
                  <w:r>
                    <w:rPr>
                      <w:rFonts w:hint="eastAsia" w:cs="Times New Roman"/>
                      <w:color w:val="auto"/>
                      <w:kern w:val="0"/>
                      <w:sz w:val="21"/>
                      <w:szCs w:val="21"/>
                      <w:lang w:eastAsia="zh-CN"/>
                    </w:rPr>
                    <w:t>均设置有内置式排</w:t>
                  </w:r>
                  <w:r>
                    <w:rPr>
                      <w:rFonts w:hint="default" w:ascii="Times New Roman" w:hAnsi="Times New Roman" w:cs="Times New Roman"/>
                      <w:color w:val="auto"/>
                      <w:kern w:val="0"/>
                      <w:sz w:val="21"/>
                      <w:szCs w:val="21"/>
                      <w:lang w:eastAsia="zh-CN"/>
                    </w:rPr>
                    <w:t>烟通道</w:t>
                  </w:r>
                  <w:r>
                    <w:rPr>
                      <w:rFonts w:hint="eastAsia" w:cs="Times New Roman"/>
                      <w:color w:val="auto"/>
                      <w:kern w:val="0"/>
                      <w:sz w:val="21"/>
                      <w:szCs w:val="21"/>
                      <w:lang w:eastAsia="zh-CN"/>
                    </w:rPr>
                    <w:t>可</w:t>
                  </w:r>
                  <w:r>
                    <w:rPr>
                      <w:rFonts w:hint="default" w:ascii="Times New Roman" w:hAnsi="Times New Roman" w:cs="Times New Roman"/>
                      <w:color w:val="auto"/>
                      <w:kern w:val="0"/>
                      <w:sz w:val="21"/>
                      <w:szCs w:val="21"/>
                      <w:lang w:eastAsia="zh-CN"/>
                    </w:rPr>
                    <w:t>将</w:t>
                  </w:r>
                  <w:r>
                    <w:rPr>
                      <w:rFonts w:hint="default" w:ascii="Times New Roman" w:hAnsi="Times New Roman" w:cs="Times New Roman"/>
                      <w:color w:val="auto"/>
                      <w:kern w:val="0"/>
                      <w:sz w:val="21"/>
                      <w:szCs w:val="21"/>
                    </w:rPr>
                    <w:t>油烟引致</w:t>
                  </w:r>
                  <w:r>
                    <w:rPr>
                      <w:rFonts w:hint="eastAsia" w:cs="Times New Roman"/>
                      <w:color w:val="auto"/>
                      <w:kern w:val="0"/>
                      <w:sz w:val="21"/>
                      <w:szCs w:val="21"/>
                      <w:lang w:eastAsia="zh-CN"/>
                    </w:rPr>
                    <w:t>居民</w:t>
                  </w:r>
                  <w:r>
                    <w:rPr>
                      <w:rFonts w:hint="default" w:ascii="Times New Roman" w:hAnsi="Times New Roman" w:cs="Times New Roman"/>
                      <w:color w:val="auto"/>
                      <w:kern w:val="0"/>
                      <w:sz w:val="21"/>
                      <w:szCs w:val="21"/>
                    </w:rPr>
                    <w:t>楼顶排放</w:t>
                  </w:r>
                  <w:r>
                    <w:rPr>
                      <w:rFonts w:hint="eastAsia" w:cs="Times New Roman"/>
                      <w:color w:val="auto"/>
                      <w:kern w:val="0"/>
                      <w:sz w:val="21"/>
                      <w:szCs w:val="21"/>
                      <w:lang w:eastAsia="zh-CN"/>
                    </w:rPr>
                    <w:t>，</w:t>
                  </w:r>
                  <w:r>
                    <w:rPr>
                      <w:rFonts w:hint="default" w:ascii="Times New Roman" w:hAnsi="Times New Roman" w:cs="Times New Roman"/>
                      <w:color w:val="auto"/>
                      <w:sz w:val="21"/>
                      <w:szCs w:val="21"/>
                    </w:rPr>
                    <w:t>地下车库设置排气筒及通风设施</w:t>
                  </w:r>
                </w:p>
              </w:tc>
            </w:tr>
            <w:tr w14:paraId="59A7C26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4B45BD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vAlign w:val="center"/>
                </w:tcPr>
                <w:p w14:paraId="26536B4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废水处理系统</w:t>
                  </w:r>
                </w:p>
              </w:tc>
              <w:tc>
                <w:tcPr>
                  <w:tcW w:w="6111" w:type="dxa"/>
                  <w:vAlign w:val="center"/>
                </w:tcPr>
                <w:p w14:paraId="0AA5179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bCs/>
                      <w:color w:val="auto"/>
                      <w:sz w:val="21"/>
                      <w:szCs w:val="21"/>
                    </w:rPr>
                  </w:pPr>
                  <w:r>
                    <w:rPr>
                      <w:rFonts w:hint="eastAsia" w:cs="Times New Roman"/>
                      <w:color w:val="auto"/>
                      <w:sz w:val="21"/>
                      <w:szCs w:val="21"/>
                      <w:lang w:eastAsia="zh-CN"/>
                    </w:rPr>
                    <w:t>隔油沉沙池、三级</w:t>
                  </w:r>
                  <w:r>
                    <w:rPr>
                      <w:rFonts w:hint="default" w:ascii="Times New Roman" w:hAnsi="Times New Roman" w:cs="Times New Roman"/>
                      <w:color w:val="auto"/>
                      <w:sz w:val="21"/>
                      <w:szCs w:val="21"/>
                    </w:rPr>
                    <w:t>化粪池</w:t>
                  </w:r>
                </w:p>
              </w:tc>
            </w:tr>
            <w:tr w14:paraId="355C0EE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46CB723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vAlign w:val="center"/>
                </w:tcPr>
                <w:p w14:paraId="06960D9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固废处置</w:t>
                  </w:r>
                </w:p>
              </w:tc>
              <w:tc>
                <w:tcPr>
                  <w:tcW w:w="6111" w:type="dxa"/>
                  <w:vAlign w:val="center"/>
                </w:tcPr>
                <w:p w14:paraId="5FD98F4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bCs/>
                      <w:color w:val="auto"/>
                      <w:sz w:val="21"/>
                      <w:szCs w:val="21"/>
                    </w:rPr>
                  </w:pPr>
                  <w:r>
                    <w:rPr>
                      <w:rFonts w:hint="default" w:ascii="Times New Roman" w:hAnsi="Times New Roman" w:cs="Times New Roman"/>
                      <w:color w:val="auto"/>
                      <w:sz w:val="21"/>
                      <w:szCs w:val="21"/>
                    </w:rPr>
                    <w:t>每单元入户处设置</w:t>
                  </w:r>
                  <w:r>
                    <w:rPr>
                      <w:rFonts w:hint="default" w:ascii="Times New Roman" w:hAnsi="Times New Roman" w:cs="Times New Roman"/>
                      <w:color w:val="auto"/>
                      <w:sz w:val="21"/>
                      <w:szCs w:val="21"/>
                      <w:lang w:eastAsia="zh-CN"/>
                    </w:rPr>
                    <w:t>垃圾</w:t>
                  </w:r>
                  <w:r>
                    <w:rPr>
                      <w:rFonts w:hint="eastAsia" w:cs="Times New Roman"/>
                      <w:color w:val="auto"/>
                      <w:sz w:val="21"/>
                      <w:szCs w:val="21"/>
                      <w:lang w:eastAsia="zh-CN"/>
                    </w:rPr>
                    <w:t>收集</w:t>
                  </w:r>
                  <w:r>
                    <w:rPr>
                      <w:rFonts w:hint="default" w:ascii="Times New Roman" w:hAnsi="Times New Roman" w:cs="Times New Roman"/>
                      <w:color w:val="auto"/>
                      <w:sz w:val="21"/>
                      <w:szCs w:val="21"/>
                      <w:lang w:eastAsia="zh-CN"/>
                    </w:rPr>
                    <w:t>桶</w:t>
                  </w:r>
                  <w:r>
                    <w:rPr>
                      <w:rFonts w:hint="eastAsia" w:cs="Times New Roman"/>
                      <w:color w:val="auto"/>
                      <w:sz w:val="21"/>
                      <w:szCs w:val="21"/>
                      <w:lang w:eastAsia="zh-CN"/>
                    </w:rPr>
                    <w:t>，设置</w:t>
                  </w:r>
                  <w:r>
                    <w:rPr>
                      <w:rFonts w:hint="eastAsia" w:cs="Times New Roman"/>
                      <w:color w:val="auto"/>
                      <w:sz w:val="21"/>
                      <w:szCs w:val="21"/>
                      <w:lang w:val="en-US" w:eastAsia="zh-CN"/>
                    </w:rPr>
                    <w:t>垃圾房</w:t>
                  </w:r>
                </w:p>
              </w:tc>
            </w:tr>
            <w:tr w14:paraId="682CEE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02" w:type="dxa"/>
                  <w:vMerge w:val="continue"/>
                  <w:vAlign w:val="center"/>
                </w:tcPr>
                <w:p w14:paraId="6A6A9B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p>
              </w:tc>
              <w:tc>
                <w:tcPr>
                  <w:tcW w:w="1591" w:type="dxa"/>
                  <w:vAlign w:val="center"/>
                </w:tcPr>
                <w:p w14:paraId="5414E9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绿化</w:t>
                  </w:r>
                </w:p>
              </w:tc>
              <w:tc>
                <w:tcPr>
                  <w:tcW w:w="6111" w:type="dxa"/>
                  <w:vAlign w:val="center"/>
                </w:tcPr>
                <w:p w14:paraId="7EB50F7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lang w:eastAsia="zh-CN"/>
                    </w:rPr>
                  </w:pPr>
                  <w:r>
                    <w:rPr>
                      <w:rFonts w:hint="default" w:ascii="Times New Roman" w:hAnsi="Times New Roman" w:cs="Times New Roman"/>
                      <w:color w:val="auto"/>
                      <w:sz w:val="21"/>
                      <w:szCs w:val="21"/>
                    </w:rPr>
                    <w:t>绿地率</w:t>
                  </w:r>
                  <w:r>
                    <w:rPr>
                      <w:rFonts w:hint="default" w:ascii="Times New Roman" w:hAnsi="Times New Roman" w:cs="Times New Roman"/>
                      <w:color w:val="auto"/>
                      <w:sz w:val="21"/>
                      <w:szCs w:val="21"/>
                      <w:lang w:val="en-US" w:eastAsia="zh-CN"/>
                    </w:rPr>
                    <w:t>3</w:t>
                  </w:r>
                  <w:r>
                    <w:rPr>
                      <w:rFonts w:hint="eastAsia" w:cs="Times New Roman"/>
                      <w:color w:val="auto"/>
                      <w:sz w:val="21"/>
                      <w:szCs w:val="21"/>
                      <w:lang w:val="en-US" w:eastAsia="zh-CN"/>
                    </w:rPr>
                    <w:t>5.88</w:t>
                  </w:r>
                  <w:r>
                    <w:rPr>
                      <w:rFonts w:hint="default" w:ascii="Times New Roman" w:hAnsi="Times New Roman" w:cs="Times New Roman"/>
                      <w:color w:val="auto"/>
                      <w:sz w:val="21"/>
                      <w:szCs w:val="21"/>
                    </w:rPr>
                    <w:t>%</w:t>
                  </w:r>
                </w:p>
              </w:tc>
            </w:tr>
          </w:tbl>
          <w:p w14:paraId="05B0753F">
            <w:pPr>
              <w:spacing w:line="360" w:lineRule="auto"/>
              <w:ind w:firstLine="482" w:firstLineChars="200"/>
              <w:rPr>
                <w:rFonts w:hint="default" w:ascii="Times New Roman" w:hAnsi="Times New Roman" w:cs="Times New Roman"/>
                <w:b/>
                <w:bCs/>
                <w:color w:val="auto"/>
                <w:sz w:val="24"/>
                <w:szCs w:val="24"/>
                <w:lang w:val="en-US" w:eastAsia="zh-CN"/>
              </w:rPr>
            </w:pPr>
            <w:r>
              <w:rPr>
                <w:rFonts w:hint="default" w:ascii="Times New Roman" w:hAnsi="Times New Roman" w:cs="Times New Roman"/>
                <w:b/>
                <w:bCs/>
                <w:color w:val="auto"/>
                <w:sz w:val="24"/>
                <w:szCs w:val="24"/>
                <w:lang w:val="en-US" w:eastAsia="zh-CN"/>
              </w:rPr>
              <w:t>4、公用工程</w:t>
            </w:r>
          </w:p>
          <w:p w14:paraId="153BDB34">
            <w:pPr>
              <w:spacing w:line="360" w:lineRule="auto"/>
              <w:ind w:firstLine="480" w:firstLineChars="200"/>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lang w:val="en-US" w:eastAsia="zh-CN"/>
              </w:rPr>
              <w:t>4.1、</w:t>
            </w:r>
            <w:r>
              <w:rPr>
                <w:rFonts w:hint="default" w:ascii="Times New Roman" w:hAnsi="Times New Roman" w:cs="Times New Roman"/>
                <w:b w:val="0"/>
                <w:bCs w:val="0"/>
                <w:color w:val="auto"/>
                <w:sz w:val="24"/>
                <w:szCs w:val="24"/>
              </w:rPr>
              <w:t>给水</w:t>
            </w:r>
          </w:p>
          <w:p w14:paraId="4FC0BEC9">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kern w:val="0"/>
                <w:sz w:val="24"/>
                <w:szCs w:val="24"/>
              </w:rPr>
              <w:t>本项目水源由</w:t>
            </w:r>
            <w:r>
              <w:rPr>
                <w:rFonts w:hint="default" w:ascii="Times New Roman" w:hAnsi="Times New Roman" w:cs="Times New Roman"/>
                <w:color w:val="auto"/>
                <w:kern w:val="0"/>
                <w:sz w:val="24"/>
                <w:szCs w:val="24"/>
                <w:lang w:eastAsia="zh-CN"/>
              </w:rPr>
              <w:t>市政供水管网</w:t>
            </w:r>
            <w:r>
              <w:rPr>
                <w:rFonts w:hint="default" w:ascii="Times New Roman" w:hAnsi="Times New Roman" w:cs="Times New Roman"/>
                <w:color w:val="auto"/>
                <w:kern w:val="0"/>
                <w:sz w:val="24"/>
                <w:szCs w:val="24"/>
              </w:rPr>
              <w:t>供给</w:t>
            </w:r>
            <w:r>
              <w:rPr>
                <w:rFonts w:hint="default" w:ascii="Times New Roman" w:hAnsi="Times New Roman" w:cs="Times New Roman"/>
                <w:color w:val="auto"/>
                <w:kern w:val="0"/>
                <w:sz w:val="24"/>
                <w:szCs w:val="24"/>
                <w:lang w:eastAsia="zh-CN"/>
              </w:rPr>
              <w:t>，保证其生活、工作及消防用水</w:t>
            </w:r>
            <w:r>
              <w:rPr>
                <w:rFonts w:hint="default" w:ascii="Times New Roman" w:hAnsi="Times New Roman" w:cs="Times New Roman"/>
                <w:color w:val="auto"/>
                <w:kern w:val="0"/>
                <w:sz w:val="24"/>
                <w:szCs w:val="24"/>
              </w:rPr>
              <w:t>。</w:t>
            </w:r>
            <w:r>
              <w:rPr>
                <w:rFonts w:hint="default" w:ascii="Times New Roman" w:hAnsi="Times New Roman" w:cs="Times New Roman"/>
                <w:color w:val="auto"/>
                <w:sz w:val="24"/>
                <w:szCs w:val="24"/>
              </w:rPr>
              <w:t>项目用水主要有居民生活用水、商业区用水、</w:t>
            </w:r>
            <w:r>
              <w:rPr>
                <w:rFonts w:hint="eastAsia" w:ascii="Times New Roman" w:hAnsi="Times New Roman" w:cs="Times New Roman"/>
                <w:color w:val="auto"/>
                <w:kern w:val="0"/>
                <w:sz w:val="24"/>
                <w:szCs w:val="24"/>
                <w:lang w:eastAsia="zh-CN"/>
              </w:rPr>
              <w:t>配套公建设施用房</w:t>
            </w:r>
            <w:r>
              <w:rPr>
                <w:rFonts w:hint="default" w:ascii="Times New Roman" w:hAnsi="Times New Roman" w:cs="Times New Roman"/>
                <w:color w:val="auto"/>
                <w:kern w:val="0"/>
                <w:sz w:val="24"/>
                <w:szCs w:val="24"/>
                <w:lang w:eastAsia="zh-CN"/>
              </w:rPr>
              <w:t>用水</w:t>
            </w:r>
            <w:r>
              <w:rPr>
                <w:rFonts w:hint="eastAsia" w:cs="Times New Roman"/>
                <w:color w:val="auto"/>
                <w:kern w:val="0"/>
                <w:sz w:val="24"/>
                <w:szCs w:val="24"/>
                <w:lang w:eastAsia="zh-CN"/>
              </w:rPr>
              <w:t>、</w:t>
            </w:r>
            <w:r>
              <w:rPr>
                <w:rFonts w:hint="default" w:ascii="Times New Roman" w:hAnsi="Times New Roman" w:cs="Times New Roman"/>
                <w:color w:val="auto"/>
                <w:sz w:val="24"/>
                <w:szCs w:val="24"/>
                <w:lang w:eastAsia="zh-CN"/>
              </w:rPr>
              <w:t>地下车库清洁用水、</w:t>
            </w:r>
            <w:r>
              <w:rPr>
                <w:rFonts w:hint="default" w:ascii="Times New Roman" w:hAnsi="Times New Roman" w:cs="Times New Roman"/>
                <w:color w:val="auto"/>
                <w:sz w:val="24"/>
                <w:szCs w:val="24"/>
              </w:rPr>
              <w:t>绿化用水</w:t>
            </w:r>
            <w:r>
              <w:rPr>
                <w:rFonts w:hint="default" w:ascii="Times New Roman" w:hAnsi="Times New Roman" w:cs="Times New Roman"/>
                <w:color w:val="auto"/>
                <w:sz w:val="24"/>
                <w:szCs w:val="24"/>
                <w:lang w:eastAsia="zh-CN"/>
              </w:rPr>
              <w:t>、消防及其他未预计用水</w:t>
            </w:r>
            <w:r>
              <w:rPr>
                <w:rFonts w:hint="default" w:ascii="Times New Roman" w:hAnsi="Times New Roman" w:cs="Times New Roman"/>
                <w:color w:val="auto"/>
                <w:sz w:val="24"/>
                <w:szCs w:val="24"/>
              </w:rPr>
              <w:t>。用水情况如下：</w:t>
            </w:r>
          </w:p>
          <w:p w14:paraId="23A3D5CC">
            <w:pPr>
              <w:autoSpaceDE w:val="0"/>
              <w:autoSpaceDN w:val="0"/>
              <w:adjustRightInd w:val="0"/>
              <w:spacing w:line="360" w:lineRule="auto"/>
              <w:ind w:firstLine="540" w:firstLineChars="225"/>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1</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居民生活用水</w:t>
            </w:r>
          </w:p>
          <w:p w14:paraId="1AFF6B82">
            <w:pPr>
              <w:autoSpaceDE w:val="0"/>
              <w:autoSpaceDN w:val="0"/>
              <w:adjustRightInd w:val="0"/>
              <w:spacing w:line="360" w:lineRule="auto"/>
              <w:ind w:firstLine="540" w:firstLineChars="225"/>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根据建设方提供的项目设计方案，项目设计住宅总户数</w:t>
            </w:r>
            <w:r>
              <w:rPr>
                <w:rFonts w:hint="eastAsia" w:cs="Times New Roman"/>
                <w:color w:val="auto"/>
                <w:sz w:val="24"/>
                <w:szCs w:val="24"/>
                <w:lang w:val="en-US" w:eastAsia="zh-CN"/>
              </w:rPr>
              <w:t>660</w:t>
            </w:r>
            <w:r>
              <w:rPr>
                <w:rFonts w:hint="default" w:ascii="Times New Roman" w:hAnsi="Times New Roman" w:cs="Times New Roman"/>
                <w:color w:val="auto"/>
                <w:sz w:val="24"/>
                <w:szCs w:val="24"/>
              </w:rPr>
              <w:t>户，平均每户按3.</w:t>
            </w:r>
            <w:r>
              <w:rPr>
                <w:rFonts w:hint="eastAsia" w:cs="Times New Roman"/>
                <w:color w:val="auto"/>
                <w:sz w:val="24"/>
                <w:szCs w:val="24"/>
                <w:lang w:val="en-US" w:eastAsia="zh-CN"/>
              </w:rPr>
              <w:t>2</w:t>
            </w:r>
            <w:r>
              <w:rPr>
                <w:rFonts w:hint="default" w:ascii="Times New Roman" w:hAnsi="Times New Roman" w:cs="Times New Roman"/>
                <w:color w:val="auto"/>
                <w:sz w:val="24"/>
                <w:szCs w:val="24"/>
              </w:rPr>
              <w:t>人计算，人数为</w:t>
            </w:r>
            <w:r>
              <w:rPr>
                <w:rFonts w:hint="eastAsia" w:cs="Times New Roman"/>
                <w:color w:val="auto"/>
                <w:sz w:val="24"/>
                <w:szCs w:val="24"/>
                <w:lang w:val="en-US" w:eastAsia="zh-CN"/>
              </w:rPr>
              <w:t>2112</w:t>
            </w:r>
            <w:r>
              <w:rPr>
                <w:rFonts w:hint="default" w:ascii="Times New Roman" w:hAnsi="Times New Roman" w:cs="Times New Roman"/>
                <w:color w:val="auto"/>
                <w:sz w:val="24"/>
                <w:szCs w:val="24"/>
              </w:rPr>
              <w:t>人。根据《建筑给排水设计规范》（GB50015-20</w:t>
            </w:r>
            <w:r>
              <w:rPr>
                <w:rFonts w:hint="eastAsia" w:cs="Times New Roman"/>
                <w:color w:val="auto"/>
                <w:sz w:val="24"/>
                <w:szCs w:val="24"/>
                <w:lang w:val="en-US" w:eastAsia="zh-CN"/>
              </w:rPr>
              <w:t>03</w:t>
            </w:r>
            <w:r>
              <w:rPr>
                <w:rFonts w:hint="default" w:ascii="Times New Roman" w:hAnsi="Times New Roman" w:cs="Times New Roman"/>
                <w:color w:val="auto"/>
                <w:sz w:val="24"/>
                <w:szCs w:val="24"/>
              </w:rPr>
              <w:t>）（20</w:t>
            </w:r>
            <w:r>
              <w:rPr>
                <w:rFonts w:hint="eastAsia" w:cs="Times New Roman"/>
                <w:color w:val="auto"/>
                <w:sz w:val="24"/>
                <w:szCs w:val="24"/>
                <w:lang w:val="en-US" w:eastAsia="zh-CN"/>
              </w:rPr>
              <w:t>09</w:t>
            </w:r>
            <w:r>
              <w:rPr>
                <w:rFonts w:hint="default" w:ascii="Times New Roman" w:hAnsi="Times New Roman" w:cs="Times New Roman"/>
                <w:color w:val="auto"/>
                <w:sz w:val="24"/>
                <w:szCs w:val="24"/>
              </w:rPr>
              <w:t>年版），用水定额按150L/人·d计算，日用水量为</w:t>
            </w:r>
            <w:r>
              <w:rPr>
                <w:rFonts w:hint="eastAsia" w:cs="Times New Roman"/>
                <w:color w:val="auto"/>
                <w:sz w:val="24"/>
                <w:szCs w:val="24"/>
                <w:lang w:val="en-US" w:eastAsia="zh-CN"/>
              </w:rPr>
              <w:t>316.8</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/d，</w:t>
            </w:r>
            <w:r>
              <w:rPr>
                <w:rFonts w:hint="default" w:ascii="Times New Roman" w:hAnsi="Times New Roman" w:cs="Times New Roman"/>
                <w:color w:val="auto"/>
                <w:kern w:val="0"/>
                <w:sz w:val="24"/>
                <w:szCs w:val="24"/>
              </w:rPr>
              <w:t>全年按3</w:t>
            </w:r>
            <w:r>
              <w:rPr>
                <w:rFonts w:hint="default" w:ascii="Times New Roman" w:hAnsi="Times New Roman" w:cs="Times New Roman"/>
                <w:color w:val="auto"/>
                <w:kern w:val="0"/>
                <w:sz w:val="24"/>
                <w:szCs w:val="24"/>
                <w:lang w:val="en-US" w:eastAsia="zh-CN"/>
              </w:rPr>
              <w:t>65</w:t>
            </w:r>
            <w:r>
              <w:rPr>
                <w:rFonts w:hint="default" w:ascii="Times New Roman" w:hAnsi="Times New Roman" w:cs="Times New Roman"/>
                <w:color w:val="auto"/>
                <w:kern w:val="0"/>
                <w:sz w:val="24"/>
                <w:szCs w:val="24"/>
              </w:rPr>
              <w:t>天计</w:t>
            </w:r>
            <w:r>
              <w:rPr>
                <w:rFonts w:hint="default" w:ascii="Times New Roman" w:hAnsi="Times New Roman" w:cs="Times New Roman"/>
                <w:color w:val="auto"/>
                <w:kern w:val="0"/>
                <w:sz w:val="24"/>
                <w:szCs w:val="24"/>
                <w:lang w:eastAsia="zh-CN"/>
              </w:rPr>
              <w:t>，</w:t>
            </w:r>
            <w:r>
              <w:rPr>
                <w:rFonts w:hint="default" w:ascii="Times New Roman" w:hAnsi="Times New Roman" w:cs="Times New Roman"/>
                <w:color w:val="auto"/>
                <w:sz w:val="24"/>
                <w:szCs w:val="24"/>
              </w:rPr>
              <w:t>即</w:t>
            </w:r>
            <w:r>
              <w:rPr>
                <w:rFonts w:hint="eastAsia" w:cs="Times New Roman"/>
                <w:color w:val="auto"/>
                <w:sz w:val="24"/>
                <w:szCs w:val="24"/>
                <w:lang w:val="en-US" w:eastAsia="zh-CN"/>
              </w:rPr>
              <w:t>115632</w:t>
            </w:r>
            <w:r>
              <w:rPr>
                <w:rFonts w:hint="default" w:ascii="Times New Roman" w:hAnsi="Times New Roman" w:cs="Times New Roman"/>
                <w:color w:val="auto"/>
                <w:kern w:val="0"/>
                <w:sz w:val="24"/>
                <w:szCs w:val="24"/>
              </w:rPr>
              <w:t>m</w:t>
            </w:r>
            <w:r>
              <w:rPr>
                <w:rFonts w:hint="default" w:ascii="Times New Roman" w:hAnsi="Times New Roman" w:cs="Times New Roman"/>
                <w:color w:val="auto"/>
                <w:kern w:val="0"/>
                <w:sz w:val="24"/>
                <w:szCs w:val="24"/>
                <w:vertAlign w:val="superscript"/>
              </w:rPr>
              <w:t>3</w:t>
            </w:r>
            <w:r>
              <w:rPr>
                <w:rFonts w:hint="default" w:ascii="Times New Roman" w:hAnsi="Times New Roman" w:cs="Times New Roman"/>
                <w:color w:val="auto"/>
                <w:kern w:val="0"/>
                <w:sz w:val="24"/>
                <w:szCs w:val="24"/>
              </w:rPr>
              <w:t>/a。</w:t>
            </w:r>
          </w:p>
          <w:p w14:paraId="5A201F37">
            <w:pPr>
              <w:pStyle w:val="31"/>
              <w:rPr>
                <w:rFonts w:hint="default" w:ascii="Times New Roman" w:hAnsi="Times New Roman" w:cs="Times New Roman"/>
                <w:color w:val="auto"/>
              </w:rPr>
            </w:pP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2</w:t>
            </w:r>
            <w:r>
              <w:rPr>
                <w:rFonts w:hint="default" w:ascii="Times New Roman" w:hAnsi="Times New Roman" w:cs="Times New Roman"/>
                <w:color w:val="auto"/>
                <w:lang w:eastAsia="zh-CN"/>
              </w:rPr>
              <w:t>）</w:t>
            </w:r>
            <w:r>
              <w:rPr>
                <w:rFonts w:hint="default" w:ascii="Times New Roman" w:hAnsi="Times New Roman" w:cs="Times New Roman"/>
                <w:color w:val="auto"/>
              </w:rPr>
              <w:t>商业用水</w:t>
            </w:r>
          </w:p>
          <w:p w14:paraId="1F22669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kern w:val="0"/>
                <w:sz w:val="24"/>
                <w:szCs w:val="24"/>
              </w:rPr>
            </w:pPr>
            <w:r>
              <w:rPr>
                <w:rFonts w:hint="default" w:ascii="Times New Roman" w:hAnsi="Times New Roman" w:cs="Times New Roman"/>
                <w:color w:val="auto"/>
                <w:sz w:val="24"/>
                <w:szCs w:val="24"/>
              </w:rPr>
              <w:t>本环评商铺用水量按照商场用水</w:t>
            </w:r>
            <w:r>
              <w:rPr>
                <w:rFonts w:hint="default" w:ascii="Times New Roman" w:hAnsi="Times New Roman" w:cs="Times New Roman"/>
                <w:color w:val="auto"/>
                <w:kern w:val="0"/>
                <w:sz w:val="24"/>
                <w:szCs w:val="24"/>
              </w:rPr>
              <w:t>进行估算</w:t>
            </w:r>
            <w:r>
              <w:rPr>
                <w:rFonts w:hint="default" w:ascii="Times New Roman" w:hAnsi="Times New Roman" w:cs="Times New Roman"/>
                <w:color w:val="auto"/>
                <w:sz w:val="24"/>
                <w:szCs w:val="24"/>
              </w:rPr>
              <w:t>。根据</w:t>
            </w:r>
            <w:r>
              <w:rPr>
                <w:rFonts w:hint="eastAsia" w:cs="Times New Roman"/>
                <w:color w:val="auto"/>
                <w:sz w:val="24"/>
                <w:szCs w:val="24"/>
                <w:lang w:eastAsia="zh-CN"/>
              </w:rPr>
              <w:t>《建筑给排水设计规范》（GB50015-2003）（2009年版）</w:t>
            </w:r>
            <w:r>
              <w:rPr>
                <w:rFonts w:hint="default" w:ascii="Times New Roman" w:hAnsi="Times New Roman" w:cs="Times New Roman"/>
                <w:color w:val="auto"/>
                <w:sz w:val="24"/>
                <w:szCs w:val="24"/>
              </w:rPr>
              <w:t>商场内每平方米的营业面积每日用水定额为5~8L，本项目取6L/</w:t>
            </w:r>
            <w:r>
              <w:rPr>
                <w:rFonts w:hint="default" w:ascii="Times New Roman" w:hAnsi="Times New Roman" w:cs="Times New Roman"/>
                <w:color w:val="auto"/>
                <w:kern w:val="0"/>
                <w:sz w:val="24"/>
                <w:szCs w:val="24"/>
              </w:rPr>
              <w:t>m</w:t>
            </w:r>
            <w:r>
              <w:rPr>
                <w:rFonts w:hint="default" w:ascii="Times New Roman" w:hAnsi="Times New Roman" w:cs="Times New Roman"/>
                <w:color w:val="auto"/>
                <w:kern w:val="0"/>
                <w:sz w:val="24"/>
                <w:szCs w:val="24"/>
                <w:vertAlign w:val="superscript"/>
              </w:rPr>
              <w:t>2</w:t>
            </w:r>
            <w:r>
              <w:rPr>
                <w:rFonts w:hint="default" w:ascii="Times New Roman" w:hAnsi="Times New Roman" w:cs="Times New Roman"/>
                <w:color w:val="auto"/>
                <w:kern w:val="0"/>
                <w:sz w:val="24"/>
                <w:szCs w:val="24"/>
                <w:vertAlign w:val="baseline"/>
              </w:rPr>
              <w:t>·</w:t>
            </w:r>
            <w:r>
              <w:rPr>
                <w:rFonts w:hint="default" w:ascii="Times New Roman" w:hAnsi="Times New Roman" w:cs="Times New Roman"/>
                <w:color w:val="auto"/>
                <w:kern w:val="0"/>
                <w:sz w:val="24"/>
                <w:szCs w:val="24"/>
              </w:rPr>
              <w:t>d，</w:t>
            </w:r>
            <w:r>
              <w:rPr>
                <w:rFonts w:hint="default" w:ascii="Times New Roman" w:hAnsi="Times New Roman" w:cs="Times New Roman"/>
                <w:color w:val="auto"/>
                <w:sz w:val="24"/>
                <w:szCs w:val="24"/>
              </w:rPr>
              <w:t>本项目商业区总建筑面积为</w:t>
            </w:r>
            <w:r>
              <w:rPr>
                <w:rFonts w:hint="eastAsia" w:cs="Times New Roman"/>
                <w:color w:val="auto"/>
                <w:sz w:val="24"/>
                <w:szCs w:val="24"/>
                <w:lang w:val="en-US" w:eastAsia="zh-CN"/>
              </w:rPr>
              <w:t>3214.12</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2</w:t>
            </w:r>
            <w:r>
              <w:rPr>
                <w:rFonts w:hint="default" w:ascii="Times New Roman" w:hAnsi="Times New Roman" w:cs="Times New Roman"/>
                <w:color w:val="auto"/>
                <w:kern w:val="0"/>
                <w:sz w:val="24"/>
                <w:szCs w:val="24"/>
              </w:rPr>
              <w:t>，则项目商业用水量为</w:t>
            </w:r>
            <w:r>
              <w:rPr>
                <w:rFonts w:hint="eastAsia" w:cs="Times New Roman"/>
                <w:color w:val="auto"/>
                <w:kern w:val="0"/>
                <w:sz w:val="24"/>
                <w:szCs w:val="24"/>
                <w:lang w:val="en-US" w:eastAsia="zh-CN"/>
              </w:rPr>
              <w:t>19.28</w:t>
            </w:r>
            <w:r>
              <w:rPr>
                <w:rFonts w:hint="default" w:ascii="Times New Roman" w:hAnsi="Times New Roman" w:cs="Times New Roman"/>
                <w:color w:val="auto"/>
                <w:kern w:val="0"/>
                <w:sz w:val="24"/>
                <w:szCs w:val="24"/>
              </w:rPr>
              <w:t>m</w:t>
            </w:r>
            <w:r>
              <w:rPr>
                <w:rFonts w:hint="default" w:ascii="Times New Roman" w:hAnsi="Times New Roman" w:cs="Times New Roman"/>
                <w:color w:val="auto"/>
                <w:kern w:val="0"/>
                <w:sz w:val="24"/>
                <w:szCs w:val="24"/>
                <w:vertAlign w:val="superscript"/>
              </w:rPr>
              <w:t>3</w:t>
            </w:r>
            <w:r>
              <w:rPr>
                <w:rFonts w:hint="default" w:ascii="Times New Roman" w:hAnsi="Times New Roman" w:cs="Times New Roman"/>
                <w:color w:val="auto"/>
                <w:kern w:val="0"/>
                <w:sz w:val="24"/>
                <w:szCs w:val="24"/>
              </w:rPr>
              <w:t>/d，全年按</w:t>
            </w:r>
            <w:r>
              <w:rPr>
                <w:rFonts w:hint="default" w:ascii="Times New Roman" w:hAnsi="Times New Roman" w:cs="Times New Roman"/>
                <w:color w:val="auto"/>
                <w:kern w:val="0"/>
                <w:sz w:val="24"/>
                <w:szCs w:val="24"/>
                <w:lang w:val="en-US" w:eastAsia="zh-CN"/>
              </w:rPr>
              <w:t>365</w:t>
            </w:r>
            <w:r>
              <w:rPr>
                <w:rFonts w:hint="default" w:ascii="Times New Roman" w:hAnsi="Times New Roman" w:cs="Times New Roman"/>
                <w:color w:val="auto"/>
                <w:kern w:val="0"/>
                <w:sz w:val="24"/>
                <w:szCs w:val="24"/>
              </w:rPr>
              <w:t>天计，即</w:t>
            </w:r>
            <w:r>
              <w:rPr>
                <w:rFonts w:hint="eastAsia" w:cs="Times New Roman"/>
                <w:color w:val="auto"/>
                <w:kern w:val="0"/>
                <w:sz w:val="24"/>
                <w:szCs w:val="24"/>
                <w:lang w:val="en-US" w:eastAsia="zh-CN"/>
              </w:rPr>
              <w:t>7037.2</w:t>
            </w:r>
            <w:r>
              <w:rPr>
                <w:rFonts w:hint="default" w:ascii="Times New Roman" w:hAnsi="Times New Roman" w:cs="Times New Roman"/>
                <w:color w:val="auto"/>
                <w:kern w:val="0"/>
                <w:sz w:val="24"/>
                <w:szCs w:val="24"/>
              </w:rPr>
              <w:t>m</w:t>
            </w:r>
            <w:r>
              <w:rPr>
                <w:rFonts w:hint="default" w:ascii="Times New Roman" w:hAnsi="Times New Roman" w:cs="Times New Roman"/>
                <w:color w:val="auto"/>
                <w:kern w:val="0"/>
                <w:sz w:val="24"/>
                <w:szCs w:val="24"/>
                <w:vertAlign w:val="superscript"/>
              </w:rPr>
              <w:t>3</w:t>
            </w:r>
            <w:r>
              <w:rPr>
                <w:rFonts w:hint="default" w:ascii="Times New Roman" w:hAnsi="Times New Roman" w:cs="Times New Roman"/>
                <w:color w:val="auto"/>
                <w:kern w:val="0"/>
                <w:sz w:val="24"/>
                <w:szCs w:val="24"/>
              </w:rPr>
              <w:t>/a。</w:t>
            </w:r>
          </w:p>
          <w:p w14:paraId="1D42AEA0">
            <w:pPr>
              <w:pStyle w:val="31"/>
              <w:rPr>
                <w:rFonts w:hint="default" w:ascii="Times New Roman" w:hAnsi="Times New Roman" w:cs="Times New Roman"/>
                <w:color w:val="auto"/>
              </w:rPr>
            </w:pPr>
            <w:r>
              <w:rPr>
                <w:rFonts w:hint="eastAsia" w:cs="Times New Roman"/>
                <w:color w:val="auto"/>
                <w:kern w:val="2"/>
                <w:lang w:val="en-US" w:eastAsia="zh-CN"/>
              </w:rPr>
              <w:t>（3）</w:t>
            </w:r>
            <w:r>
              <w:rPr>
                <w:rFonts w:hint="eastAsia" w:cs="Times New Roman"/>
                <w:color w:val="auto"/>
                <w:kern w:val="2"/>
                <w:lang w:eastAsia="zh-CN"/>
              </w:rPr>
              <w:t>配套公建设施用房</w:t>
            </w:r>
            <w:r>
              <w:rPr>
                <w:rFonts w:hint="default" w:ascii="Times New Roman" w:hAnsi="Times New Roman" w:cs="Times New Roman"/>
                <w:color w:val="auto"/>
                <w:kern w:val="2"/>
              </w:rPr>
              <w:t>用水</w:t>
            </w:r>
          </w:p>
          <w:p w14:paraId="6D381FFB">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项目配套公建设施</w:t>
            </w:r>
            <w:r>
              <w:rPr>
                <w:rFonts w:hint="eastAsia" w:cs="Times New Roman"/>
                <w:color w:val="auto"/>
                <w:sz w:val="24"/>
                <w:szCs w:val="24"/>
                <w:lang w:eastAsia="zh-CN"/>
              </w:rPr>
              <w:t>包括物管用房、消防控制室、地上配电房、公共厕所、门卫室</w:t>
            </w:r>
            <w:r>
              <w:rPr>
                <w:rFonts w:hint="default" w:ascii="Times New Roman" w:hAnsi="Times New Roman" w:cs="Times New Roman"/>
                <w:color w:val="auto"/>
                <w:sz w:val="24"/>
                <w:szCs w:val="24"/>
              </w:rPr>
              <w:t>，</w:t>
            </w:r>
            <w:r>
              <w:rPr>
                <w:rFonts w:hint="eastAsia" w:cs="Times New Roman"/>
                <w:color w:val="auto"/>
                <w:sz w:val="24"/>
                <w:szCs w:val="24"/>
                <w:lang w:eastAsia="zh-CN"/>
              </w:rPr>
              <w:t>其总</w:t>
            </w:r>
            <w:r>
              <w:rPr>
                <w:rFonts w:hint="default" w:ascii="Times New Roman" w:hAnsi="Times New Roman" w:cs="Times New Roman"/>
                <w:color w:val="auto"/>
                <w:sz w:val="24"/>
                <w:szCs w:val="24"/>
              </w:rPr>
              <w:t>面积为</w:t>
            </w:r>
            <w:r>
              <w:rPr>
                <w:rFonts w:hint="eastAsia" w:cs="Times New Roman"/>
                <w:color w:val="auto"/>
                <w:sz w:val="24"/>
                <w:szCs w:val="24"/>
                <w:lang w:val="en-US" w:eastAsia="zh-CN"/>
              </w:rPr>
              <w:t>128</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2</w:t>
            </w:r>
            <w:r>
              <w:rPr>
                <w:rFonts w:hint="default" w:ascii="Times New Roman" w:hAnsi="Times New Roman" w:cs="Times New Roman"/>
                <w:color w:val="auto"/>
                <w:sz w:val="24"/>
                <w:szCs w:val="24"/>
              </w:rPr>
              <w:t>。用水量参照商业用房，根据《建筑给排水设计规范》（GB50015-20</w:t>
            </w:r>
            <w:r>
              <w:rPr>
                <w:rFonts w:hint="eastAsia" w:cs="Times New Roman"/>
                <w:color w:val="auto"/>
                <w:sz w:val="24"/>
                <w:szCs w:val="24"/>
                <w:lang w:val="en-US" w:eastAsia="zh-CN"/>
              </w:rPr>
              <w:t>03</w:t>
            </w:r>
            <w:r>
              <w:rPr>
                <w:rFonts w:hint="default" w:ascii="Times New Roman" w:hAnsi="Times New Roman" w:cs="Times New Roman"/>
                <w:color w:val="auto"/>
                <w:sz w:val="24"/>
                <w:szCs w:val="24"/>
              </w:rPr>
              <w:t>）（20</w:t>
            </w:r>
            <w:r>
              <w:rPr>
                <w:rFonts w:hint="eastAsia" w:cs="Times New Roman"/>
                <w:color w:val="auto"/>
                <w:sz w:val="24"/>
                <w:szCs w:val="24"/>
                <w:lang w:val="en-US" w:eastAsia="zh-CN"/>
              </w:rPr>
              <w:t>09</w:t>
            </w:r>
            <w:r>
              <w:rPr>
                <w:rFonts w:hint="default" w:ascii="Times New Roman" w:hAnsi="Times New Roman" w:cs="Times New Roman"/>
                <w:color w:val="auto"/>
                <w:sz w:val="24"/>
                <w:szCs w:val="24"/>
              </w:rPr>
              <w:t>年版）商场内每平方米的营业面积每日用水定额为5~8L，本项目取6L/</w:t>
            </w:r>
            <w:r>
              <w:rPr>
                <w:rFonts w:hint="default" w:ascii="Times New Roman" w:hAnsi="Times New Roman" w:cs="Times New Roman"/>
                <w:color w:val="auto"/>
                <w:kern w:val="0"/>
                <w:sz w:val="24"/>
                <w:szCs w:val="24"/>
              </w:rPr>
              <w:t>m</w:t>
            </w:r>
            <w:r>
              <w:rPr>
                <w:rFonts w:hint="default" w:ascii="Times New Roman" w:hAnsi="Times New Roman" w:cs="Times New Roman"/>
                <w:color w:val="auto"/>
                <w:kern w:val="0"/>
                <w:sz w:val="24"/>
                <w:szCs w:val="24"/>
                <w:vertAlign w:val="superscript"/>
              </w:rPr>
              <w:t>2</w:t>
            </w:r>
            <w:r>
              <w:rPr>
                <w:rFonts w:hint="default" w:ascii="Times New Roman" w:hAnsi="Times New Roman" w:cs="Times New Roman"/>
                <w:color w:val="auto"/>
                <w:kern w:val="0"/>
                <w:sz w:val="24"/>
                <w:szCs w:val="24"/>
                <w:vertAlign w:val="baseline"/>
              </w:rPr>
              <w:t>·</w:t>
            </w:r>
            <w:r>
              <w:rPr>
                <w:rFonts w:hint="default" w:ascii="Times New Roman" w:hAnsi="Times New Roman" w:cs="Times New Roman"/>
                <w:color w:val="auto"/>
                <w:kern w:val="0"/>
                <w:sz w:val="24"/>
                <w:szCs w:val="24"/>
              </w:rPr>
              <w:t>d</w:t>
            </w:r>
            <w:r>
              <w:rPr>
                <w:rFonts w:hint="default" w:ascii="Times New Roman" w:hAnsi="Times New Roman" w:cs="Times New Roman"/>
                <w:color w:val="auto"/>
                <w:kern w:val="0"/>
                <w:sz w:val="24"/>
                <w:szCs w:val="24"/>
                <w:lang w:eastAsia="zh-CN"/>
              </w:rPr>
              <w:t>，</w:t>
            </w:r>
            <w:r>
              <w:rPr>
                <w:rFonts w:hint="default" w:ascii="Times New Roman" w:hAnsi="Times New Roman" w:cs="Times New Roman"/>
                <w:color w:val="auto"/>
                <w:sz w:val="24"/>
                <w:szCs w:val="24"/>
              </w:rPr>
              <w:t>则</w:t>
            </w:r>
            <w:r>
              <w:rPr>
                <w:rFonts w:hint="eastAsia" w:cs="Times New Roman"/>
                <w:color w:val="auto"/>
                <w:kern w:val="2"/>
                <w:sz w:val="24"/>
                <w:szCs w:val="24"/>
                <w:lang w:eastAsia="zh-CN"/>
              </w:rPr>
              <w:t>配套公建设施用房</w:t>
            </w:r>
            <w:r>
              <w:rPr>
                <w:rFonts w:hint="default" w:ascii="Times New Roman" w:hAnsi="Times New Roman" w:cs="Times New Roman"/>
                <w:color w:val="auto"/>
                <w:sz w:val="24"/>
                <w:szCs w:val="24"/>
              </w:rPr>
              <w:t>用水量</w:t>
            </w:r>
            <w:r>
              <w:rPr>
                <w:rFonts w:hint="eastAsia" w:cs="Times New Roman"/>
                <w:color w:val="auto"/>
                <w:sz w:val="24"/>
                <w:szCs w:val="24"/>
                <w:lang w:val="en-US" w:eastAsia="zh-CN"/>
              </w:rPr>
              <w:t>0.768</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/d，</w:t>
            </w:r>
            <w:r>
              <w:rPr>
                <w:rFonts w:hint="default" w:ascii="Times New Roman" w:hAnsi="Times New Roman" w:cs="Times New Roman"/>
                <w:color w:val="auto"/>
                <w:kern w:val="0"/>
                <w:sz w:val="24"/>
                <w:szCs w:val="24"/>
              </w:rPr>
              <w:t>全年按</w:t>
            </w:r>
            <w:r>
              <w:rPr>
                <w:rFonts w:hint="default" w:ascii="Times New Roman" w:hAnsi="Times New Roman" w:cs="Times New Roman"/>
                <w:color w:val="auto"/>
                <w:kern w:val="0"/>
                <w:sz w:val="24"/>
                <w:szCs w:val="24"/>
                <w:lang w:val="en-US" w:eastAsia="zh-CN"/>
              </w:rPr>
              <w:t>365</w:t>
            </w:r>
            <w:r>
              <w:rPr>
                <w:rFonts w:hint="default" w:ascii="Times New Roman" w:hAnsi="Times New Roman" w:cs="Times New Roman"/>
                <w:color w:val="auto"/>
                <w:kern w:val="0"/>
                <w:sz w:val="24"/>
                <w:szCs w:val="24"/>
              </w:rPr>
              <w:t>天计，</w:t>
            </w:r>
            <w:r>
              <w:rPr>
                <w:rFonts w:hint="default" w:ascii="Times New Roman" w:hAnsi="Times New Roman" w:cs="Times New Roman"/>
                <w:color w:val="auto"/>
                <w:sz w:val="24"/>
                <w:szCs w:val="24"/>
              </w:rPr>
              <w:t>即</w:t>
            </w:r>
            <w:r>
              <w:rPr>
                <w:rFonts w:hint="eastAsia" w:cs="Times New Roman"/>
                <w:color w:val="auto"/>
                <w:sz w:val="24"/>
                <w:szCs w:val="24"/>
                <w:lang w:val="en-US" w:eastAsia="zh-CN"/>
              </w:rPr>
              <w:t>280.32</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/a</w:t>
            </w:r>
            <w:r>
              <w:rPr>
                <w:rFonts w:hint="default" w:ascii="Times New Roman" w:hAnsi="Times New Roman" w:cs="Times New Roman"/>
                <w:color w:val="auto"/>
                <w:sz w:val="24"/>
                <w:szCs w:val="24"/>
                <w:lang w:eastAsia="zh-CN"/>
              </w:rPr>
              <w:t>。</w:t>
            </w:r>
          </w:p>
          <w:p w14:paraId="5B097C0E">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lang w:eastAsia="zh-CN"/>
              </w:rPr>
            </w:pPr>
            <w:r>
              <w:rPr>
                <w:rFonts w:hint="eastAsia" w:cs="Times New Roman"/>
                <w:color w:val="auto"/>
                <w:lang w:eastAsia="zh-CN"/>
              </w:rPr>
              <w:t>（</w:t>
            </w:r>
            <w:r>
              <w:rPr>
                <w:rFonts w:hint="eastAsia" w:cs="Times New Roman"/>
                <w:color w:val="auto"/>
                <w:lang w:val="en-US" w:eastAsia="zh-CN"/>
              </w:rPr>
              <w:t>4</w:t>
            </w:r>
            <w:r>
              <w:rPr>
                <w:rFonts w:hint="eastAsia" w:cs="Times New Roman"/>
                <w:color w:val="auto"/>
                <w:lang w:eastAsia="zh-CN"/>
              </w:rPr>
              <w:t>）</w:t>
            </w:r>
            <w:r>
              <w:rPr>
                <w:rFonts w:hint="default" w:ascii="Times New Roman" w:hAnsi="Times New Roman" w:cs="Times New Roman"/>
                <w:color w:val="auto"/>
                <w:lang w:eastAsia="zh-CN"/>
              </w:rPr>
              <w:t>地下车库清洁用水</w:t>
            </w:r>
          </w:p>
          <w:p w14:paraId="55D5733C">
            <w:pPr>
              <w:pStyle w:val="3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lang w:eastAsia="zh-CN"/>
              </w:rPr>
            </w:pPr>
            <w:r>
              <w:rPr>
                <w:rFonts w:hint="default" w:ascii="Times New Roman" w:hAnsi="Times New Roman" w:cs="Times New Roman"/>
                <w:color w:val="auto"/>
                <w:lang w:eastAsia="zh-CN"/>
              </w:rPr>
              <w:t>项目地下车库清洗产生一定的废水量。根据同类型项目，其清洗用水量为</w:t>
            </w:r>
            <w:r>
              <w:rPr>
                <w:rFonts w:hint="default" w:ascii="Times New Roman" w:hAnsi="Times New Roman" w:cs="Times New Roman"/>
                <w:color w:val="auto"/>
                <w:lang w:val="en-US" w:eastAsia="zh-CN"/>
              </w:rPr>
              <w:t>10L/个停车位，全年约清洗50次，项目设置有</w:t>
            </w:r>
            <w:r>
              <w:rPr>
                <w:rFonts w:hint="eastAsia" w:cs="Times New Roman"/>
                <w:color w:val="auto"/>
                <w:lang w:val="en-US" w:eastAsia="zh-CN"/>
              </w:rPr>
              <w:t>273</w:t>
            </w:r>
            <w:r>
              <w:rPr>
                <w:rFonts w:hint="default" w:ascii="Times New Roman" w:hAnsi="Times New Roman" w:cs="Times New Roman"/>
                <w:color w:val="auto"/>
                <w:lang w:val="en-US" w:eastAsia="zh-CN"/>
              </w:rPr>
              <w:t>个地下停车位，则项目运营期间产生的地下车库清扫用水量为</w:t>
            </w:r>
            <w:r>
              <w:rPr>
                <w:rFonts w:hint="eastAsia" w:cs="Times New Roman"/>
                <w:color w:val="auto"/>
                <w:lang w:val="en-US" w:eastAsia="zh-CN"/>
              </w:rPr>
              <w:t>136.5</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/a</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kern w:val="0"/>
                <w:sz w:val="24"/>
                <w:szCs w:val="24"/>
              </w:rPr>
              <w:t>全年按</w:t>
            </w:r>
            <w:r>
              <w:rPr>
                <w:rFonts w:hint="default" w:ascii="Times New Roman" w:hAnsi="Times New Roman" w:cs="Times New Roman"/>
                <w:color w:val="auto"/>
                <w:kern w:val="0"/>
                <w:sz w:val="24"/>
                <w:szCs w:val="24"/>
                <w:lang w:val="en-US" w:eastAsia="zh-CN"/>
              </w:rPr>
              <w:t>365</w:t>
            </w:r>
            <w:r>
              <w:rPr>
                <w:rFonts w:hint="default" w:ascii="Times New Roman" w:hAnsi="Times New Roman" w:cs="Times New Roman"/>
                <w:color w:val="auto"/>
                <w:kern w:val="0"/>
                <w:sz w:val="24"/>
                <w:szCs w:val="24"/>
              </w:rPr>
              <w:t>天计</w:t>
            </w:r>
            <w:r>
              <w:rPr>
                <w:rFonts w:hint="default" w:ascii="Times New Roman" w:hAnsi="Times New Roman" w:cs="Times New Roman"/>
                <w:color w:val="auto"/>
                <w:kern w:val="0"/>
                <w:sz w:val="24"/>
                <w:szCs w:val="24"/>
                <w:lang w:eastAsia="zh-CN"/>
              </w:rPr>
              <w:t>，</w:t>
            </w:r>
            <w:r>
              <w:rPr>
                <w:rFonts w:hint="eastAsia" w:cs="Times New Roman"/>
                <w:color w:val="auto"/>
                <w:kern w:val="0"/>
                <w:sz w:val="24"/>
                <w:szCs w:val="24"/>
                <w:lang w:val="en-US" w:eastAsia="zh-CN"/>
              </w:rPr>
              <w:t>0.37</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/d</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w:t>
            </w:r>
          </w:p>
          <w:p w14:paraId="3AC9D06E">
            <w:pPr>
              <w:pStyle w:val="31"/>
              <w:rPr>
                <w:rFonts w:hint="default" w:ascii="Times New Roman" w:hAnsi="Times New Roman" w:cs="Times New Roman"/>
                <w:color w:val="auto"/>
              </w:rPr>
            </w:pPr>
            <w:r>
              <w:rPr>
                <w:rFonts w:hint="eastAsia" w:cs="Times New Roman"/>
                <w:color w:val="auto"/>
                <w:lang w:eastAsia="zh-CN"/>
              </w:rPr>
              <w:t>（</w:t>
            </w:r>
            <w:r>
              <w:rPr>
                <w:rFonts w:hint="eastAsia" w:cs="Times New Roman"/>
                <w:color w:val="auto"/>
                <w:lang w:val="en-US" w:eastAsia="zh-CN"/>
              </w:rPr>
              <w:t>5</w:t>
            </w:r>
            <w:r>
              <w:rPr>
                <w:rFonts w:hint="eastAsia" w:cs="Times New Roman"/>
                <w:color w:val="auto"/>
                <w:lang w:eastAsia="zh-CN"/>
              </w:rPr>
              <w:t>）</w:t>
            </w:r>
            <w:r>
              <w:rPr>
                <w:rFonts w:hint="default" w:ascii="Times New Roman" w:hAnsi="Times New Roman" w:cs="Times New Roman"/>
                <w:color w:val="auto"/>
              </w:rPr>
              <w:t>绿化浇洒用水</w:t>
            </w:r>
          </w:p>
          <w:p w14:paraId="7A9BABF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kern w:val="0"/>
                <w:sz w:val="24"/>
                <w:szCs w:val="24"/>
              </w:rPr>
            </w:pPr>
            <w:r>
              <w:rPr>
                <w:rFonts w:hint="default" w:ascii="Times New Roman" w:hAnsi="Times New Roman" w:cs="Times New Roman"/>
                <w:color w:val="auto"/>
                <w:sz w:val="24"/>
                <w:szCs w:val="24"/>
              </w:rPr>
              <w:t>地块的绿化用地面积为</w:t>
            </w:r>
            <w:r>
              <w:rPr>
                <w:rFonts w:hint="eastAsia" w:cs="Times New Roman"/>
                <w:color w:val="auto"/>
                <w:sz w:val="24"/>
                <w:szCs w:val="24"/>
                <w:lang w:val="en-US" w:eastAsia="zh-CN"/>
              </w:rPr>
              <w:t>7808.27</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2</w:t>
            </w:r>
            <w:r>
              <w:rPr>
                <w:rFonts w:hint="default" w:ascii="Times New Roman" w:hAnsi="Times New Roman" w:cs="Times New Roman"/>
                <w:color w:val="auto"/>
                <w:sz w:val="24"/>
                <w:szCs w:val="24"/>
              </w:rPr>
              <w:t>，绿化用水量按</w:t>
            </w:r>
            <w:r>
              <w:rPr>
                <w:rFonts w:hint="default" w:ascii="Times New Roman" w:hAnsi="Times New Roman" w:cs="Times New Roman"/>
                <w:color w:val="auto"/>
                <w:sz w:val="24"/>
                <w:szCs w:val="24"/>
                <w:lang w:val="en-US" w:eastAsia="zh-CN"/>
              </w:rPr>
              <w:t>1</w:t>
            </w:r>
            <w:r>
              <w:rPr>
                <w:rFonts w:hint="default" w:ascii="Times New Roman" w:hAnsi="Times New Roman" w:cs="Times New Roman"/>
                <w:color w:val="auto"/>
                <w:kern w:val="0"/>
                <w:sz w:val="24"/>
                <w:szCs w:val="24"/>
              </w:rPr>
              <w:t>L/m</w:t>
            </w:r>
            <w:r>
              <w:rPr>
                <w:rFonts w:hint="default" w:ascii="Times New Roman" w:hAnsi="Times New Roman" w:cs="Times New Roman"/>
                <w:color w:val="auto"/>
                <w:kern w:val="0"/>
                <w:sz w:val="24"/>
                <w:szCs w:val="24"/>
                <w:vertAlign w:val="superscript"/>
              </w:rPr>
              <w:t>2</w:t>
            </w:r>
            <w:r>
              <w:rPr>
                <w:rFonts w:hint="default" w:ascii="Times New Roman" w:hAnsi="Times New Roman" w:cs="Times New Roman"/>
                <w:color w:val="auto"/>
                <w:kern w:val="0"/>
                <w:sz w:val="24"/>
                <w:szCs w:val="24"/>
              </w:rPr>
              <w:t>·d</w:t>
            </w:r>
            <w:r>
              <w:rPr>
                <w:rFonts w:hint="default" w:ascii="Times New Roman" w:hAnsi="Times New Roman" w:cs="Times New Roman"/>
                <w:color w:val="auto"/>
                <w:sz w:val="24"/>
                <w:szCs w:val="24"/>
              </w:rPr>
              <w:t>，则本项目绿化平均用水量为</w:t>
            </w:r>
            <w:r>
              <w:rPr>
                <w:rFonts w:hint="eastAsia" w:cs="Times New Roman"/>
                <w:color w:val="auto"/>
                <w:sz w:val="24"/>
                <w:szCs w:val="24"/>
                <w:lang w:val="en-US" w:eastAsia="zh-CN"/>
              </w:rPr>
              <w:t>7.81</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/d</w:t>
            </w:r>
            <w:r>
              <w:rPr>
                <w:rFonts w:hint="default" w:ascii="Times New Roman" w:hAnsi="Times New Roman" w:cs="Times New Roman"/>
                <w:color w:val="auto"/>
                <w:sz w:val="24"/>
                <w:szCs w:val="24"/>
                <w:lang w:eastAsia="zh-CN"/>
              </w:rPr>
              <w:t>，年浇洒按照</w:t>
            </w:r>
            <w:r>
              <w:rPr>
                <w:rFonts w:hint="default" w:ascii="Times New Roman" w:hAnsi="Times New Roman" w:cs="Times New Roman"/>
                <w:color w:val="auto"/>
                <w:sz w:val="24"/>
                <w:szCs w:val="24"/>
                <w:lang w:val="en-US" w:eastAsia="zh-CN"/>
              </w:rPr>
              <w:t>100天计算，则年用水量为</w:t>
            </w:r>
            <w:r>
              <w:rPr>
                <w:rFonts w:hint="eastAsia" w:cs="Times New Roman"/>
                <w:color w:val="auto"/>
                <w:sz w:val="24"/>
                <w:szCs w:val="24"/>
                <w:lang w:val="en-US" w:eastAsia="zh-CN"/>
              </w:rPr>
              <w:t>781</w:t>
            </w: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/a。绿化用水全部损耗无外排。</w:t>
            </w:r>
          </w:p>
          <w:p w14:paraId="6C9E01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right="0" w:rightChars="0"/>
              <w:jc w:val="both"/>
              <w:textAlignment w:val="auto"/>
              <w:rPr>
                <w:rFonts w:hint="default" w:ascii="Times New Roman" w:hAnsi="Times New Roman" w:cs="Times New Roman"/>
                <w:color w:val="auto"/>
                <w:sz w:val="24"/>
                <w:szCs w:val="24"/>
                <w:lang w:eastAsia="zh-CN"/>
              </w:rPr>
            </w:pPr>
            <w:r>
              <w:rPr>
                <w:rFonts w:hint="eastAsia" w:cs="Times New Roman"/>
                <w:color w:val="auto"/>
                <w:sz w:val="24"/>
                <w:szCs w:val="24"/>
                <w:lang w:val="en-US" w:eastAsia="zh-CN"/>
              </w:rPr>
              <w:t>（6）</w:t>
            </w:r>
            <w:r>
              <w:rPr>
                <w:rFonts w:hint="default" w:ascii="Times New Roman" w:hAnsi="Times New Roman" w:cs="Times New Roman"/>
                <w:color w:val="auto"/>
                <w:sz w:val="24"/>
                <w:szCs w:val="24"/>
                <w:lang w:eastAsia="zh-CN"/>
              </w:rPr>
              <w:t>消防及其他未预计用水量</w:t>
            </w:r>
          </w:p>
          <w:p w14:paraId="21120B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vertAlign w:val="superscript"/>
                <w:lang w:eastAsia="zh-CN"/>
              </w:rPr>
            </w:pPr>
            <w:r>
              <w:rPr>
                <w:rFonts w:hint="default" w:ascii="Times New Roman" w:hAnsi="Times New Roman" w:cs="Times New Roman"/>
                <w:color w:val="auto"/>
                <w:sz w:val="24"/>
                <w:szCs w:val="24"/>
                <w:lang w:eastAsia="zh-CN"/>
              </w:rPr>
              <w:t>按照（</w:t>
            </w:r>
            <w:r>
              <w:rPr>
                <w:rFonts w:hint="default" w:ascii="Times New Roman" w:hAnsi="Times New Roman" w:cs="Times New Roman"/>
                <w:color w:val="auto"/>
                <w:sz w:val="24"/>
                <w:szCs w:val="24"/>
                <w:lang w:val="en-US" w:eastAsia="zh-CN"/>
              </w:rPr>
              <w:t>1</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w:t>
            </w:r>
            <w:r>
              <w:rPr>
                <w:rFonts w:hint="eastAsia" w:cs="Times New Roman"/>
                <w:color w:val="auto"/>
                <w:sz w:val="24"/>
                <w:szCs w:val="24"/>
                <w:lang w:val="en-US" w:eastAsia="zh-CN"/>
              </w:rPr>
              <w:t>5</w:t>
            </w:r>
            <w:r>
              <w:rPr>
                <w:rFonts w:hint="default" w:ascii="Times New Roman" w:hAnsi="Times New Roman" w:cs="Times New Roman"/>
                <w:color w:val="auto"/>
                <w:sz w:val="24"/>
                <w:szCs w:val="24"/>
                <w:lang w:val="en-US" w:eastAsia="zh-CN"/>
              </w:rPr>
              <w:t>）总用水量的10%计，大约需要</w:t>
            </w:r>
            <w:r>
              <w:rPr>
                <w:rFonts w:hint="eastAsia" w:cs="Times New Roman"/>
                <w:color w:val="auto"/>
                <w:kern w:val="0"/>
                <w:sz w:val="24"/>
                <w:szCs w:val="24"/>
                <w:lang w:val="en-US" w:eastAsia="zh-CN"/>
              </w:rPr>
              <w:t>12386.702</w:t>
            </w:r>
            <w:r>
              <w:rPr>
                <w:rFonts w:hint="default" w:ascii="Times New Roman" w:hAnsi="Times New Roman" w:cs="Times New Roman"/>
                <w:color w:val="auto"/>
                <w:sz w:val="24"/>
                <w:szCs w:val="24"/>
                <w:lang w:val="en-US" w:eastAsia="zh-CN"/>
              </w:rPr>
              <w:t>m</w:t>
            </w:r>
            <w:r>
              <w:rPr>
                <w:rFonts w:hint="default" w:ascii="Times New Roman" w:hAnsi="Times New Roman" w:cs="Times New Roman"/>
                <w:color w:val="auto"/>
                <w:sz w:val="24"/>
                <w:szCs w:val="24"/>
                <w:vertAlign w:val="superscript"/>
                <w:lang w:val="en-US" w:eastAsia="zh-CN"/>
              </w:rPr>
              <w:t>3</w:t>
            </w:r>
            <w:r>
              <w:rPr>
                <w:rFonts w:hint="default" w:ascii="Times New Roman" w:hAnsi="Times New Roman" w:cs="Times New Roman"/>
                <w:color w:val="auto"/>
                <w:sz w:val="24"/>
                <w:szCs w:val="24"/>
                <w:vertAlign w:val="baseline"/>
                <w:lang w:val="en-US" w:eastAsia="zh-CN"/>
              </w:rPr>
              <w:t>/a。</w:t>
            </w:r>
          </w:p>
          <w:p w14:paraId="7E8160C4">
            <w:pPr>
              <w:spacing w:line="360" w:lineRule="auto"/>
              <w:ind w:firstLine="480"/>
              <w:rPr>
                <w:rFonts w:hint="default" w:ascii="Times New Roman" w:hAnsi="Times New Roman" w:eastAsia="宋体" w:cs="Times New Roman"/>
                <w:color w:val="auto"/>
              </w:rPr>
            </w:pPr>
            <w:r>
              <w:rPr>
                <w:rFonts w:hint="default" w:ascii="Times New Roman" w:hAnsi="Times New Roman" w:cs="Times New Roman"/>
                <w:color w:val="auto"/>
                <w:sz w:val="24"/>
                <w:szCs w:val="24"/>
                <w:lang w:val="en-US" w:eastAsia="zh-CN"/>
              </w:rPr>
              <w:t>4.2、排水</w:t>
            </w:r>
          </w:p>
          <w:p w14:paraId="5E9658A9">
            <w:pPr>
              <w:pStyle w:val="32"/>
              <w:widowControl w:val="0"/>
              <w:rPr>
                <w:rFonts w:hint="default" w:ascii="Times New Roman" w:hAnsi="Times New Roman" w:eastAsia="宋体" w:cs="Times New Roman"/>
                <w:color w:val="auto"/>
              </w:rPr>
            </w:pPr>
            <w:r>
              <w:rPr>
                <w:rFonts w:hint="default" w:ascii="Times New Roman" w:hAnsi="Times New Roman" w:eastAsia="宋体" w:cs="Times New Roman"/>
                <w:color w:val="auto"/>
              </w:rPr>
              <w:t>项目工程排水采用雨污分流制，分为废水系统和雨水系统。</w:t>
            </w:r>
          </w:p>
          <w:p w14:paraId="2B4C8D8D">
            <w:pPr>
              <w:pStyle w:val="32"/>
              <w:widowControl w:val="0"/>
              <w:rPr>
                <w:rFonts w:hint="default" w:ascii="Times New Roman" w:hAnsi="Times New Roman" w:eastAsia="宋体" w:cs="Times New Roman"/>
                <w:color w:val="auto"/>
              </w:rPr>
            </w:pPr>
            <w:r>
              <w:rPr>
                <w:rFonts w:hint="default" w:ascii="Times New Roman" w:hAnsi="Times New Roman" w:eastAsia="宋体" w:cs="Times New Roman"/>
                <w:color w:val="auto"/>
              </w:rPr>
              <w:t>雨水：</w:t>
            </w:r>
            <w:r>
              <w:rPr>
                <w:rFonts w:hint="default" w:ascii="Times New Roman" w:hAnsi="Times New Roman" w:eastAsia="宋体" w:cs="Times New Roman"/>
                <w:color w:val="auto"/>
                <w:lang w:eastAsia="zh-CN"/>
              </w:rPr>
              <w:t>经雨水收集管网收集后排入市政雨水管网</w:t>
            </w:r>
            <w:r>
              <w:rPr>
                <w:rFonts w:hint="default" w:ascii="Times New Roman" w:hAnsi="Times New Roman" w:eastAsia="宋体" w:cs="Times New Roman"/>
                <w:color w:val="auto"/>
              </w:rPr>
              <w:t>。</w:t>
            </w:r>
          </w:p>
          <w:p w14:paraId="6F4A24C1">
            <w:pPr>
              <w:pStyle w:val="32"/>
              <w:widowControl w:val="0"/>
              <w:rPr>
                <w:rFonts w:hint="default" w:ascii="Times New Roman" w:hAnsi="Times New Roman" w:eastAsia="宋体" w:cs="Times New Roman"/>
                <w:color w:val="auto"/>
              </w:rPr>
            </w:pPr>
            <w:r>
              <w:rPr>
                <w:rFonts w:hint="default" w:ascii="Times New Roman" w:hAnsi="Times New Roman" w:eastAsia="宋体" w:cs="Times New Roman"/>
                <w:color w:val="auto"/>
              </w:rPr>
              <w:t>污水：</w:t>
            </w:r>
            <w:r>
              <w:rPr>
                <w:rFonts w:hint="default" w:ascii="Times New Roman" w:hAnsi="Times New Roman" w:eastAsia="宋体" w:cs="Times New Roman"/>
                <w:color w:val="auto"/>
                <w:lang w:eastAsia="zh-CN"/>
              </w:rPr>
              <w:t>项目主要污水有</w:t>
            </w:r>
            <w:r>
              <w:rPr>
                <w:rFonts w:hint="default" w:ascii="Times New Roman" w:hAnsi="Times New Roman" w:eastAsia="宋体" w:cs="Times New Roman"/>
                <w:color w:val="auto"/>
                <w:sz w:val="24"/>
                <w:szCs w:val="24"/>
              </w:rPr>
              <w:t>居民生活</w:t>
            </w:r>
            <w:r>
              <w:rPr>
                <w:rFonts w:hint="default" w:ascii="Times New Roman" w:hAnsi="Times New Roman" w:eastAsia="宋体" w:cs="Times New Roman"/>
                <w:color w:val="auto"/>
                <w:sz w:val="24"/>
                <w:szCs w:val="24"/>
                <w:lang w:eastAsia="zh-CN"/>
              </w:rPr>
              <w:t>排</w:t>
            </w:r>
            <w:r>
              <w:rPr>
                <w:rFonts w:hint="default" w:ascii="Times New Roman" w:hAnsi="Times New Roman" w:eastAsia="宋体" w:cs="Times New Roman"/>
                <w:color w:val="auto"/>
                <w:sz w:val="24"/>
                <w:szCs w:val="24"/>
              </w:rPr>
              <w:t>水、商业区</w:t>
            </w:r>
            <w:r>
              <w:rPr>
                <w:rFonts w:hint="default" w:ascii="Times New Roman" w:hAnsi="Times New Roman" w:eastAsia="宋体" w:cs="Times New Roman"/>
                <w:color w:val="auto"/>
                <w:sz w:val="24"/>
                <w:szCs w:val="24"/>
                <w:lang w:eastAsia="zh-CN"/>
              </w:rPr>
              <w:t>排</w:t>
            </w:r>
            <w:r>
              <w:rPr>
                <w:rFonts w:hint="default" w:ascii="Times New Roman" w:hAnsi="Times New Roman" w:eastAsia="宋体" w:cs="Times New Roman"/>
                <w:color w:val="auto"/>
                <w:sz w:val="24"/>
                <w:szCs w:val="24"/>
              </w:rPr>
              <w:t>水、</w:t>
            </w:r>
            <w:r>
              <w:rPr>
                <w:rFonts w:hint="eastAsia" w:ascii="Times New Roman" w:hAnsi="Times New Roman" w:eastAsia="宋体" w:cs="Times New Roman"/>
                <w:color w:val="auto"/>
                <w:sz w:val="24"/>
                <w:szCs w:val="24"/>
                <w:lang w:eastAsia="zh-CN"/>
              </w:rPr>
              <w:t>配套公建设施用房</w:t>
            </w:r>
            <w:r>
              <w:rPr>
                <w:rFonts w:hint="default" w:ascii="Times New Roman" w:hAnsi="Times New Roman" w:eastAsia="宋体" w:cs="Times New Roman"/>
                <w:color w:val="auto"/>
                <w:sz w:val="24"/>
                <w:szCs w:val="24"/>
                <w:lang w:eastAsia="zh-CN"/>
              </w:rPr>
              <w:t>排水、地下车库清洁排水。本工程地处葛店污水处理厂服务范围内，</w:t>
            </w:r>
            <w:r>
              <w:rPr>
                <w:rFonts w:hint="eastAsia" w:eastAsia="宋体" w:cs="Times New Roman"/>
                <w:color w:val="auto"/>
                <w:sz w:val="24"/>
                <w:szCs w:val="24"/>
                <w:lang w:eastAsia="zh-CN"/>
              </w:rPr>
              <w:t>项目</w:t>
            </w:r>
            <w:r>
              <w:rPr>
                <w:rFonts w:hint="default" w:ascii="Times New Roman" w:hAnsi="Times New Roman" w:eastAsia="宋体" w:cs="Times New Roman"/>
                <w:color w:val="auto"/>
                <w:sz w:val="24"/>
                <w:szCs w:val="24"/>
                <w:lang w:eastAsia="zh-CN"/>
              </w:rPr>
              <w:t>地下车库清洁排水</w:t>
            </w:r>
            <w:r>
              <w:rPr>
                <w:rFonts w:hint="eastAsia" w:eastAsia="宋体" w:cs="Times New Roman"/>
                <w:color w:val="auto"/>
                <w:sz w:val="24"/>
                <w:szCs w:val="24"/>
                <w:lang w:eastAsia="zh-CN"/>
              </w:rPr>
              <w:t>经过隔油沉砂池后均和</w:t>
            </w:r>
            <w:r>
              <w:rPr>
                <w:rFonts w:hint="default" w:ascii="Times New Roman" w:hAnsi="Times New Roman" w:eastAsia="宋体" w:cs="Times New Roman"/>
                <w:color w:val="auto"/>
                <w:sz w:val="24"/>
                <w:szCs w:val="24"/>
              </w:rPr>
              <w:t>居民生活</w:t>
            </w:r>
            <w:r>
              <w:rPr>
                <w:rFonts w:hint="eastAsia" w:eastAsia="宋体" w:cs="Times New Roman"/>
                <w:color w:val="auto"/>
                <w:sz w:val="24"/>
                <w:szCs w:val="24"/>
                <w:lang w:eastAsia="zh-CN"/>
              </w:rPr>
              <w:t>、</w:t>
            </w:r>
            <w:r>
              <w:rPr>
                <w:rFonts w:hint="default" w:ascii="Times New Roman" w:hAnsi="Times New Roman" w:eastAsia="宋体" w:cs="Times New Roman"/>
                <w:color w:val="auto"/>
                <w:sz w:val="24"/>
                <w:szCs w:val="24"/>
              </w:rPr>
              <w:t>商业区</w:t>
            </w:r>
            <w:r>
              <w:rPr>
                <w:rFonts w:hint="eastAsia" w:eastAsia="宋体" w:cs="Times New Roman"/>
                <w:color w:val="auto"/>
                <w:sz w:val="24"/>
                <w:szCs w:val="24"/>
                <w:lang w:eastAsia="zh-CN"/>
              </w:rPr>
              <w:t>、</w:t>
            </w:r>
            <w:r>
              <w:rPr>
                <w:rFonts w:hint="eastAsia" w:ascii="Times New Roman" w:hAnsi="Times New Roman" w:eastAsia="宋体" w:cs="Times New Roman"/>
                <w:color w:val="auto"/>
                <w:sz w:val="24"/>
                <w:szCs w:val="24"/>
                <w:lang w:eastAsia="zh-CN"/>
              </w:rPr>
              <w:t>配套公建设施用房</w:t>
            </w:r>
            <w:r>
              <w:rPr>
                <w:rFonts w:hint="eastAsia" w:eastAsia="宋体" w:cs="Times New Roman"/>
                <w:color w:val="auto"/>
                <w:sz w:val="24"/>
                <w:szCs w:val="24"/>
                <w:lang w:eastAsia="zh-CN"/>
              </w:rPr>
              <w:t>的生活</w:t>
            </w:r>
            <w:r>
              <w:rPr>
                <w:rFonts w:hint="default" w:ascii="Times New Roman" w:hAnsi="Times New Roman" w:eastAsia="宋体" w:cs="Times New Roman"/>
                <w:color w:val="auto"/>
                <w:sz w:val="24"/>
                <w:szCs w:val="24"/>
                <w:lang w:eastAsia="zh-CN"/>
              </w:rPr>
              <w:t>污水</w:t>
            </w:r>
            <w:r>
              <w:rPr>
                <w:rFonts w:hint="eastAsia" w:eastAsia="宋体" w:cs="Times New Roman"/>
                <w:color w:val="auto"/>
                <w:sz w:val="24"/>
                <w:szCs w:val="24"/>
                <w:lang w:eastAsia="zh-CN"/>
              </w:rPr>
              <w:t>一起</w:t>
            </w:r>
            <w:r>
              <w:rPr>
                <w:rFonts w:hint="default" w:ascii="Times New Roman" w:hAnsi="Times New Roman" w:eastAsia="宋体" w:cs="Times New Roman"/>
                <w:color w:val="auto"/>
              </w:rPr>
              <w:t>经化粪池处理后</w:t>
            </w:r>
            <w:r>
              <w:rPr>
                <w:rFonts w:hint="eastAsia" w:eastAsia="宋体" w:cs="Times New Roman"/>
                <w:color w:val="auto"/>
                <w:lang w:eastAsia="zh-CN"/>
              </w:rPr>
              <w:t>通过项目总排口排入</w:t>
            </w:r>
            <w:r>
              <w:rPr>
                <w:rFonts w:hint="default" w:ascii="Times New Roman" w:hAnsi="Times New Roman" w:eastAsia="宋体" w:cs="Times New Roman"/>
                <w:color w:val="auto"/>
              </w:rPr>
              <w:t>市政</w:t>
            </w:r>
            <w:r>
              <w:rPr>
                <w:rFonts w:hint="eastAsia" w:eastAsia="宋体" w:cs="Times New Roman"/>
                <w:color w:val="auto"/>
                <w:lang w:eastAsia="zh-CN"/>
              </w:rPr>
              <w:t>污水</w:t>
            </w:r>
            <w:r>
              <w:rPr>
                <w:rFonts w:hint="default" w:ascii="Times New Roman" w:hAnsi="Times New Roman" w:eastAsia="宋体" w:cs="Times New Roman"/>
                <w:color w:val="auto"/>
              </w:rPr>
              <w:t>管网</w:t>
            </w:r>
            <w:r>
              <w:rPr>
                <w:rFonts w:hint="eastAsia" w:eastAsia="宋体" w:cs="Times New Roman"/>
                <w:color w:val="auto"/>
                <w:lang w:eastAsia="zh-CN"/>
              </w:rPr>
              <w:t>，然后</w:t>
            </w:r>
            <w:r>
              <w:rPr>
                <w:rFonts w:hint="default" w:ascii="Times New Roman" w:hAnsi="Times New Roman" w:eastAsia="宋体" w:cs="Times New Roman"/>
                <w:color w:val="auto"/>
              </w:rPr>
              <w:t>进入鄂州葛店经济开发区葛店污水处理厂，</w:t>
            </w:r>
            <w:r>
              <w:rPr>
                <w:rFonts w:hint="eastAsia" w:eastAsia="宋体" w:cs="Times New Roman"/>
                <w:color w:val="auto"/>
                <w:lang w:eastAsia="zh-CN"/>
              </w:rPr>
              <w:t>最后</w:t>
            </w:r>
            <w:r>
              <w:rPr>
                <w:rFonts w:hint="default" w:ascii="Times New Roman" w:hAnsi="Times New Roman" w:eastAsia="宋体" w:cs="Times New Roman"/>
                <w:color w:val="auto"/>
              </w:rPr>
              <w:t>尾水排入长江</w:t>
            </w:r>
            <w:r>
              <w:rPr>
                <w:rFonts w:hint="eastAsia" w:eastAsia="宋体" w:cs="Times New Roman"/>
                <w:color w:val="auto"/>
                <w:lang w:eastAsia="zh-CN"/>
              </w:rPr>
              <w:t>（鄂州段）</w:t>
            </w:r>
            <w:r>
              <w:rPr>
                <w:rFonts w:hint="default" w:ascii="Times New Roman" w:hAnsi="Times New Roman" w:eastAsia="宋体" w:cs="Times New Roman"/>
                <w:color w:val="auto"/>
              </w:rPr>
              <w:t>。</w:t>
            </w:r>
          </w:p>
          <w:p w14:paraId="7868CCC8">
            <w:pPr>
              <w:keepNext w:val="0"/>
              <w:keepLines w:val="0"/>
              <w:pageBreakBefore w:val="0"/>
              <w:numPr>
                <w:ilvl w:val="0"/>
                <w:numId w:val="3"/>
              </w:numPr>
              <w:kinsoku/>
              <w:wordWrap/>
              <w:overflowPunct/>
              <w:topLinePunct w:val="0"/>
              <w:autoSpaceDE w:val="0"/>
              <w:autoSpaceDN w:val="0"/>
              <w:bidi w:val="0"/>
              <w:adjustRightInd/>
              <w:snapToGrid/>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居民生活排水</w:t>
            </w:r>
          </w:p>
          <w:p w14:paraId="769A4BD9">
            <w:pPr>
              <w:keepNext w:val="0"/>
              <w:keepLines w:val="0"/>
              <w:pageBreakBefore w:val="0"/>
              <w:numPr>
                <w:ilvl w:val="0"/>
                <w:numId w:val="0"/>
              </w:numPr>
              <w:kinsoku/>
              <w:wordWrap/>
              <w:overflowPunct/>
              <w:topLinePunct w:val="0"/>
              <w:autoSpaceDE w:val="0"/>
              <w:autoSpaceDN w:val="0"/>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pacing w:val="0"/>
                <w:sz w:val="24"/>
                <w:szCs w:val="24"/>
              </w:rPr>
            </w:pPr>
            <w:r>
              <w:rPr>
                <w:rFonts w:hint="default" w:ascii="Times New Roman" w:hAnsi="Times New Roman" w:eastAsia="宋体" w:cs="Times New Roman"/>
                <w:color w:val="auto"/>
                <w:spacing w:val="0"/>
                <w:sz w:val="24"/>
                <w:szCs w:val="24"/>
                <w:lang w:eastAsia="zh-CN"/>
              </w:rPr>
              <w:t>排水系数按</w:t>
            </w:r>
            <w:r>
              <w:rPr>
                <w:rFonts w:hint="default" w:ascii="Times New Roman" w:hAnsi="Times New Roman" w:eastAsia="宋体" w:cs="Times New Roman"/>
                <w:color w:val="auto"/>
                <w:spacing w:val="0"/>
                <w:sz w:val="24"/>
                <w:szCs w:val="24"/>
                <w:lang w:val="en-US" w:eastAsia="zh-CN"/>
              </w:rPr>
              <w:t>0.8</w:t>
            </w:r>
            <w:r>
              <w:rPr>
                <w:rFonts w:hint="default" w:ascii="Times New Roman" w:hAnsi="Times New Roman" w:eastAsia="宋体" w:cs="Times New Roman"/>
                <w:color w:val="auto"/>
                <w:spacing w:val="0"/>
                <w:sz w:val="24"/>
                <w:szCs w:val="24"/>
              </w:rPr>
              <w:t>计算，</w:t>
            </w:r>
            <w:r>
              <w:rPr>
                <w:rFonts w:hint="default" w:ascii="Times New Roman" w:hAnsi="Times New Roman" w:eastAsia="宋体" w:cs="Times New Roman"/>
                <w:color w:val="auto"/>
                <w:spacing w:val="0"/>
                <w:sz w:val="24"/>
                <w:szCs w:val="24"/>
                <w:lang w:eastAsia="zh-CN"/>
              </w:rPr>
              <w:t>则居民生活</w:t>
            </w:r>
            <w:r>
              <w:rPr>
                <w:rFonts w:hint="default" w:ascii="Times New Roman" w:hAnsi="Times New Roman" w:eastAsia="宋体" w:cs="Times New Roman"/>
                <w:color w:val="auto"/>
                <w:spacing w:val="0"/>
                <w:sz w:val="24"/>
                <w:szCs w:val="24"/>
              </w:rPr>
              <w:t>污水排放量为</w:t>
            </w:r>
            <w:r>
              <w:rPr>
                <w:rFonts w:hint="eastAsia" w:cs="Times New Roman"/>
                <w:color w:val="auto"/>
                <w:spacing w:val="0"/>
                <w:sz w:val="24"/>
                <w:szCs w:val="24"/>
                <w:lang w:val="en-US" w:eastAsia="zh-CN"/>
              </w:rPr>
              <w:t>253.44</w:t>
            </w:r>
            <w:r>
              <w:rPr>
                <w:rFonts w:hint="default" w:ascii="Times New Roman" w:hAnsi="Times New Roman" w:eastAsia="宋体" w:cs="Times New Roman"/>
                <w:color w:val="auto"/>
                <w:spacing w:val="0"/>
                <w:sz w:val="24"/>
                <w:szCs w:val="24"/>
              </w:rPr>
              <w:t>m</w:t>
            </w:r>
            <w:r>
              <w:rPr>
                <w:rFonts w:hint="default" w:ascii="Times New Roman" w:hAnsi="Times New Roman" w:eastAsia="宋体" w:cs="Times New Roman"/>
                <w:color w:val="auto"/>
                <w:spacing w:val="0"/>
                <w:sz w:val="24"/>
                <w:szCs w:val="24"/>
                <w:vertAlign w:val="superscript"/>
              </w:rPr>
              <w:t>3</w:t>
            </w:r>
            <w:r>
              <w:rPr>
                <w:rFonts w:hint="default" w:ascii="Times New Roman" w:hAnsi="Times New Roman" w:eastAsia="宋体" w:cs="Times New Roman"/>
                <w:color w:val="auto"/>
                <w:spacing w:val="0"/>
                <w:sz w:val="24"/>
                <w:szCs w:val="24"/>
              </w:rPr>
              <w:t>/d，</w:t>
            </w:r>
            <w:r>
              <w:rPr>
                <w:rFonts w:hint="default" w:ascii="Times New Roman" w:hAnsi="Times New Roman" w:eastAsia="宋体" w:cs="Times New Roman"/>
                <w:color w:val="auto"/>
                <w:spacing w:val="0"/>
                <w:sz w:val="24"/>
                <w:szCs w:val="24"/>
                <w:lang w:eastAsia="zh-CN"/>
              </w:rPr>
              <w:t>年排水量为</w:t>
            </w:r>
            <w:r>
              <w:rPr>
                <w:rFonts w:hint="eastAsia" w:cs="Times New Roman"/>
                <w:color w:val="auto"/>
                <w:spacing w:val="0"/>
                <w:sz w:val="24"/>
                <w:szCs w:val="24"/>
                <w:lang w:val="en-US" w:eastAsia="zh-CN"/>
              </w:rPr>
              <w:t>92505.6</w:t>
            </w:r>
            <w:r>
              <w:rPr>
                <w:rFonts w:hint="default" w:ascii="Times New Roman" w:hAnsi="Times New Roman" w:eastAsia="宋体" w:cs="Times New Roman"/>
                <w:color w:val="auto"/>
                <w:spacing w:val="0"/>
                <w:kern w:val="0"/>
                <w:sz w:val="24"/>
                <w:szCs w:val="24"/>
              </w:rPr>
              <w:t>m</w:t>
            </w:r>
            <w:r>
              <w:rPr>
                <w:rFonts w:hint="default" w:ascii="Times New Roman" w:hAnsi="Times New Roman" w:eastAsia="宋体" w:cs="Times New Roman"/>
                <w:color w:val="auto"/>
                <w:spacing w:val="0"/>
                <w:kern w:val="0"/>
                <w:sz w:val="24"/>
                <w:szCs w:val="24"/>
                <w:vertAlign w:val="superscript"/>
              </w:rPr>
              <w:t>3</w:t>
            </w:r>
            <w:r>
              <w:rPr>
                <w:rFonts w:hint="default" w:ascii="Times New Roman" w:hAnsi="Times New Roman" w:eastAsia="宋体" w:cs="Times New Roman"/>
                <w:color w:val="auto"/>
                <w:spacing w:val="0"/>
                <w:kern w:val="0"/>
                <w:sz w:val="24"/>
                <w:szCs w:val="24"/>
              </w:rPr>
              <w:t>/a</w:t>
            </w:r>
            <w:r>
              <w:rPr>
                <w:rFonts w:hint="default" w:ascii="Times New Roman" w:hAnsi="Times New Roman" w:eastAsia="宋体" w:cs="Times New Roman"/>
                <w:color w:val="auto"/>
                <w:spacing w:val="0"/>
                <w:sz w:val="24"/>
                <w:szCs w:val="24"/>
              </w:rPr>
              <w:t>。</w:t>
            </w:r>
          </w:p>
          <w:p w14:paraId="01C4491C">
            <w:pPr>
              <w:pStyle w:val="32"/>
              <w:keepNext w:val="0"/>
              <w:keepLines w:val="0"/>
              <w:pageBreakBefore w:val="0"/>
              <w:widowControl w:val="0"/>
              <w:numPr>
                <w:ilvl w:val="0"/>
                <w:numId w:val="0"/>
              </w:numPr>
              <w:kinsoku/>
              <w:wordWrap/>
              <w:overflowPunct/>
              <w:topLinePunct w:val="0"/>
              <w:bidi w:val="0"/>
              <w:adjustRightInd/>
              <w:snapToGrid/>
              <w:spacing w:line="360" w:lineRule="auto"/>
              <w:ind w:left="0" w:leftChars="0" w:right="0" w:rightChars="0" w:firstLine="480" w:firstLineChars="200"/>
              <w:textAlignment w:val="auto"/>
              <w:outlineLvl w:val="9"/>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lang w:val="en-US" w:eastAsia="zh-CN"/>
              </w:rPr>
              <w:t>（2）</w:t>
            </w:r>
            <w:r>
              <w:rPr>
                <w:rFonts w:hint="default" w:ascii="Times New Roman" w:hAnsi="Times New Roman" w:eastAsia="宋体" w:cs="Times New Roman"/>
                <w:color w:val="auto"/>
                <w:sz w:val="24"/>
                <w:szCs w:val="24"/>
              </w:rPr>
              <w:t>商业区</w:t>
            </w:r>
            <w:r>
              <w:rPr>
                <w:rFonts w:hint="default" w:ascii="Times New Roman" w:hAnsi="Times New Roman" w:eastAsia="宋体" w:cs="Times New Roman"/>
                <w:color w:val="auto"/>
                <w:sz w:val="24"/>
                <w:szCs w:val="24"/>
                <w:lang w:eastAsia="zh-CN"/>
              </w:rPr>
              <w:t>排</w:t>
            </w:r>
            <w:r>
              <w:rPr>
                <w:rFonts w:hint="default" w:ascii="Times New Roman" w:hAnsi="Times New Roman" w:eastAsia="宋体" w:cs="Times New Roman"/>
                <w:color w:val="auto"/>
                <w:sz w:val="24"/>
                <w:szCs w:val="24"/>
              </w:rPr>
              <w:t>水</w:t>
            </w:r>
          </w:p>
          <w:p w14:paraId="2C5DBE38">
            <w:pPr>
              <w:pStyle w:val="32"/>
              <w:keepNext w:val="0"/>
              <w:keepLines w:val="0"/>
              <w:pageBreakBefore w:val="0"/>
              <w:widowControl w:val="0"/>
              <w:numPr>
                <w:ilvl w:val="0"/>
                <w:numId w:val="0"/>
              </w:numPr>
              <w:kinsoku/>
              <w:wordWrap/>
              <w:overflowPunct/>
              <w:topLinePunct w:val="0"/>
              <w:bidi w:val="0"/>
              <w:adjustRightInd/>
              <w:snapToGrid/>
              <w:spacing w:line="360" w:lineRule="auto"/>
              <w:ind w:left="0" w:leftChars="0" w:right="0" w:rightChars="0" w:firstLine="480" w:firstLineChars="200"/>
              <w:textAlignment w:val="auto"/>
              <w:outlineLvl w:val="9"/>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排水系数按</w:t>
            </w:r>
            <w:r>
              <w:rPr>
                <w:rFonts w:hint="default" w:ascii="Times New Roman" w:hAnsi="Times New Roman" w:eastAsia="宋体" w:cs="Times New Roman"/>
                <w:color w:val="auto"/>
                <w:sz w:val="24"/>
                <w:szCs w:val="24"/>
                <w:lang w:val="en-US" w:eastAsia="zh-CN"/>
              </w:rPr>
              <w:t>0.8</w:t>
            </w:r>
            <w:r>
              <w:rPr>
                <w:rFonts w:hint="default" w:ascii="Times New Roman" w:hAnsi="Times New Roman" w:eastAsia="宋体" w:cs="Times New Roman"/>
                <w:color w:val="auto"/>
                <w:sz w:val="24"/>
                <w:szCs w:val="24"/>
              </w:rPr>
              <w:t>计算，</w:t>
            </w:r>
            <w:r>
              <w:rPr>
                <w:rFonts w:hint="default" w:ascii="Times New Roman" w:hAnsi="Times New Roman" w:eastAsia="宋体" w:cs="Times New Roman"/>
                <w:color w:val="auto"/>
                <w:sz w:val="24"/>
                <w:szCs w:val="24"/>
                <w:lang w:eastAsia="zh-CN"/>
              </w:rPr>
              <w:t>商业区用水</w:t>
            </w:r>
            <w:r>
              <w:rPr>
                <w:rFonts w:hint="default" w:ascii="Times New Roman" w:hAnsi="Times New Roman" w:eastAsia="宋体" w:cs="Times New Roman"/>
                <w:color w:val="auto"/>
                <w:sz w:val="24"/>
                <w:szCs w:val="24"/>
              </w:rPr>
              <w:t>排放量为</w:t>
            </w:r>
            <w:r>
              <w:rPr>
                <w:rFonts w:hint="eastAsia" w:eastAsia="宋体" w:cs="Times New Roman"/>
                <w:color w:val="auto"/>
                <w:sz w:val="24"/>
                <w:szCs w:val="24"/>
                <w:lang w:val="en-US" w:eastAsia="zh-CN"/>
              </w:rPr>
              <w:t>15.424</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w:t>
            </w:r>
            <w:r>
              <w:rPr>
                <w:rFonts w:hint="default" w:ascii="Times New Roman" w:hAnsi="Times New Roman" w:eastAsia="宋体" w:cs="Times New Roman"/>
                <w:color w:val="auto"/>
                <w:sz w:val="24"/>
                <w:szCs w:val="24"/>
                <w:lang w:eastAsia="zh-CN"/>
              </w:rPr>
              <w:t>年排水量为</w:t>
            </w:r>
            <w:r>
              <w:rPr>
                <w:rFonts w:hint="eastAsia" w:eastAsia="宋体" w:cs="Times New Roman"/>
                <w:color w:val="auto"/>
                <w:sz w:val="24"/>
                <w:szCs w:val="24"/>
                <w:lang w:val="en-US" w:eastAsia="zh-CN"/>
              </w:rPr>
              <w:t>5629.76</w:t>
            </w:r>
            <w:r>
              <w:rPr>
                <w:rFonts w:hint="default" w:ascii="Times New Roman" w:hAnsi="Times New Roman" w:eastAsia="宋体" w:cs="Times New Roman"/>
                <w:color w:val="auto"/>
                <w:kern w:val="0"/>
                <w:sz w:val="24"/>
                <w:szCs w:val="24"/>
              </w:rPr>
              <w:t>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rPr>
              <w:t>/a</w:t>
            </w:r>
            <w:r>
              <w:rPr>
                <w:rFonts w:hint="default" w:ascii="Times New Roman" w:hAnsi="Times New Roman" w:eastAsia="宋体" w:cs="Times New Roman"/>
                <w:color w:val="auto"/>
                <w:sz w:val="24"/>
                <w:szCs w:val="24"/>
              </w:rPr>
              <w:t>。</w:t>
            </w:r>
          </w:p>
          <w:p w14:paraId="6EE3EB20">
            <w:pPr>
              <w:pStyle w:val="32"/>
              <w:keepNext w:val="0"/>
              <w:keepLines w:val="0"/>
              <w:pageBreakBefore w:val="0"/>
              <w:widowControl w:val="0"/>
              <w:numPr>
                <w:ilvl w:val="0"/>
                <w:numId w:val="4"/>
              </w:numPr>
              <w:kinsoku/>
              <w:wordWrap/>
              <w:overflowPunct/>
              <w:topLinePunct w:val="0"/>
              <w:bidi w:val="0"/>
              <w:adjustRightInd/>
              <w:snapToGrid/>
              <w:spacing w:line="360" w:lineRule="auto"/>
              <w:ind w:left="0" w:leftChars="0" w:right="0" w:rightChars="0" w:firstLine="480" w:firstLineChars="200"/>
              <w:textAlignment w:val="auto"/>
              <w:outlineLvl w:val="9"/>
              <w:rPr>
                <w:rFonts w:hint="default"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配套公建设施用房</w:t>
            </w:r>
            <w:r>
              <w:rPr>
                <w:rFonts w:hint="default" w:ascii="Times New Roman" w:hAnsi="Times New Roman" w:eastAsia="宋体" w:cs="Times New Roman"/>
                <w:color w:val="auto"/>
                <w:sz w:val="24"/>
                <w:szCs w:val="24"/>
                <w:lang w:eastAsia="zh-CN"/>
              </w:rPr>
              <w:t>排水</w:t>
            </w:r>
          </w:p>
          <w:p w14:paraId="12585F72">
            <w:pPr>
              <w:pStyle w:val="32"/>
              <w:keepNext w:val="0"/>
              <w:keepLines w:val="0"/>
              <w:pageBreakBefore w:val="0"/>
              <w:widowControl w:val="0"/>
              <w:numPr>
                <w:ilvl w:val="0"/>
                <w:numId w:val="0"/>
              </w:numPr>
              <w:kinsoku/>
              <w:wordWrap/>
              <w:overflowPunct/>
              <w:topLinePunct w:val="0"/>
              <w:bidi w:val="0"/>
              <w:adjustRightInd/>
              <w:snapToGrid/>
              <w:spacing w:line="360" w:lineRule="auto"/>
              <w:ind w:left="0" w:leftChars="0" w:right="0" w:rightChars="0" w:firstLine="480" w:firstLineChars="200"/>
              <w:textAlignment w:val="auto"/>
              <w:outlineLvl w:val="9"/>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排水系数按</w:t>
            </w:r>
            <w:r>
              <w:rPr>
                <w:rFonts w:hint="default" w:ascii="Times New Roman" w:hAnsi="Times New Roman" w:eastAsia="宋体" w:cs="Times New Roman"/>
                <w:color w:val="auto"/>
                <w:sz w:val="24"/>
                <w:szCs w:val="24"/>
                <w:lang w:val="en-US" w:eastAsia="zh-CN"/>
              </w:rPr>
              <w:t>0.8</w:t>
            </w:r>
            <w:r>
              <w:rPr>
                <w:rFonts w:hint="default" w:ascii="Times New Roman" w:hAnsi="Times New Roman" w:eastAsia="宋体" w:cs="Times New Roman"/>
                <w:color w:val="auto"/>
                <w:sz w:val="24"/>
                <w:szCs w:val="24"/>
              </w:rPr>
              <w:t>计算，</w:t>
            </w:r>
            <w:r>
              <w:rPr>
                <w:rFonts w:hint="default" w:ascii="Times New Roman" w:hAnsi="Times New Roman" w:eastAsia="宋体" w:cs="Times New Roman"/>
                <w:color w:val="auto"/>
                <w:sz w:val="24"/>
                <w:szCs w:val="24"/>
                <w:lang w:eastAsia="zh-CN"/>
              </w:rPr>
              <w:t>物业管理用水</w:t>
            </w:r>
            <w:r>
              <w:rPr>
                <w:rFonts w:hint="default" w:ascii="Times New Roman" w:hAnsi="Times New Roman" w:eastAsia="宋体" w:cs="Times New Roman"/>
                <w:color w:val="auto"/>
                <w:sz w:val="24"/>
                <w:szCs w:val="24"/>
              </w:rPr>
              <w:t>排放量为</w:t>
            </w:r>
            <w:r>
              <w:rPr>
                <w:rFonts w:hint="eastAsia" w:eastAsia="宋体" w:cs="Times New Roman"/>
                <w:color w:val="auto"/>
                <w:sz w:val="24"/>
                <w:szCs w:val="24"/>
                <w:lang w:val="en-US" w:eastAsia="zh-CN"/>
              </w:rPr>
              <w:t>0.6144</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w:t>
            </w:r>
            <w:r>
              <w:rPr>
                <w:rFonts w:hint="default" w:ascii="Times New Roman" w:hAnsi="Times New Roman" w:eastAsia="宋体" w:cs="Times New Roman"/>
                <w:color w:val="auto"/>
                <w:sz w:val="24"/>
                <w:szCs w:val="24"/>
                <w:lang w:eastAsia="zh-CN"/>
              </w:rPr>
              <w:t>年排水量为</w:t>
            </w:r>
            <w:r>
              <w:rPr>
                <w:rFonts w:hint="eastAsia" w:eastAsia="宋体" w:cs="Times New Roman"/>
                <w:color w:val="auto"/>
                <w:sz w:val="24"/>
                <w:szCs w:val="24"/>
                <w:lang w:val="en-US" w:eastAsia="zh-CN"/>
              </w:rPr>
              <w:t>224.256</w:t>
            </w:r>
            <w:r>
              <w:rPr>
                <w:rFonts w:hint="default" w:ascii="Times New Roman" w:hAnsi="Times New Roman" w:eastAsia="宋体" w:cs="Times New Roman"/>
                <w:color w:val="auto"/>
                <w:kern w:val="0"/>
                <w:sz w:val="24"/>
                <w:szCs w:val="24"/>
              </w:rPr>
              <w:t>m</w:t>
            </w:r>
            <w:r>
              <w:rPr>
                <w:rFonts w:hint="default" w:ascii="Times New Roman" w:hAnsi="Times New Roman" w:eastAsia="宋体" w:cs="Times New Roman"/>
                <w:color w:val="auto"/>
                <w:kern w:val="0"/>
                <w:sz w:val="24"/>
                <w:szCs w:val="24"/>
                <w:vertAlign w:val="superscript"/>
              </w:rPr>
              <w:t>3</w:t>
            </w:r>
            <w:r>
              <w:rPr>
                <w:rFonts w:hint="default" w:ascii="Times New Roman" w:hAnsi="Times New Roman" w:eastAsia="宋体" w:cs="Times New Roman"/>
                <w:color w:val="auto"/>
                <w:kern w:val="0"/>
                <w:sz w:val="24"/>
                <w:szCs w:val="24"/>
              </w:rPr>
              <w:t>/a</w:t>
            </w:r>
            <w:r>
              <w:rPr>
                <w:rFonts w:hint="default" w:ascii="Times New Roman" w:hAnsi="Times New Roman" w:eastAsia="宋体" w:cs="Times New Roman"/>
                <w:color w:val="auto"/>
                <w:sz w:val="24"/>
                <w:szCs w:val="24"/>
              </w:rPr>
              <w:t>。</w:t>
            </w:r>
          </w:p>
          <w:p w14:paraId="1E7E32E1">
            <w:pPr>
              <w:pStyle w:val="32"/>
              <w:keepNext w:val="0"/>
              <w:keepLines w:val="0"/>
              <w:pageBreakBefore w:val="0"/>
              <w:widowControl w:val="0"/>
              <w:numPr>
                <w:ilvl w:val="0"/>
                <w:numId w:val="4"/>
              </w:numPr>
              <w:kinsoku/>
              <w:wordWrap/>
              <w:overflowPunct/>
              <w:topLinePunct w:val="0"/>
              <w:bidi w:val="0"/>
              <w:adjustRightInd/>
              <w:snapToGrid/>
              <w:spacing w:line="360" w:lineRule="auto"/>
              <w:ind w:left="0" w:leftChars="0" w:right="0" w:rightChars="0" w:firstLine="480" w:firstLineChars="200"/>
              <w:textAlignment w:val="auto"/>
              <w:outlineLvl w:val="9"/>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地下车库清洁排水：</w:t>
            </w:r>
          </w:p>
          <w:p w14:paraId="75FAF2D8">
            <w:pPr>
              <w:pStyle w:val="32"/>
              <w:keepNext w:val="0"/>
              <w:keepLines w:val="0"/>
              <w:pageBreakBefore w:val="0"/>
              <w:widowControl w:val="0"/>
              <w:numPr>
                <w:ilvl w:val="0"/>
                <w:numId w:val="0"/>
              </w:numPr>
              <w:kinsoku/>
              <w:wordWrap/>
              <w:overflowPunct/>
              <w:topLinePunct w:val="0"/>
              <w:bidi w:val="0"/>
              <w:adjustRightInd/>
              <w:snapToGrid/>
              <w:spacing w:line="360" w:lineRule="auto"/>
              <w:ind w:left="0" w:leftChars="0" w:right="0" w:rightChars="0" w:firstLine="468" w:firstLineChars="200"/>
              <w:textAlignment w:val="auto"/>
              <w:outlineLvl w:val="9"/>
              <w:rPr>
                <w:rFonts w:hint="default" w:ascii="Times New Roman" w:hAnsi="Times New Roman" w:eastAsia="宋体" w:cs="Times New Roman"/>
                <w:color w:val="auto"/>
                <w:spacing w:val="-3"/>
                <w:sz w:val="24"/>
                <w:szCs w:val="24"/>
                <w:lang w:val="en-US" w:eastAsia="zh-CN"/>
              </w:rPr>
            </w:pPr>
            <w:r>
              <w:rPr>
                <w:rFonts w:hint="default" w:ascii="Times New Roman" w:hAnsi="Times New Roman" w:eastAsia="宋体" w:cs="Times New Roman"/>
                <w:color w:val="auto"/>
                <w:spacing w:val="-3"/>
                <w:sz w:val="24"/>
                <w:szCs w:val="24"/>
                <w:lang w:eastAsia="zh-CN"/>
              </w:rPr>
              <w:t>排水系数按</w:t>
            </w:r>
            <w:r>
              <w:rPr>
                <w:rFonts w:hint="default" w:ascii="Times New Roman" w:hAnsi="Times New Roman" w:eastAsia="宋体" w:cs="Times New Roman"/>
                <w:color w:val="auto"/>
                <w:spacing w:val="-3"/>
                <w:sz w:val="24"/>
                <w:szCs w:val="24"/>
                <w:lang w:val="en-US" w:eastAsia="zh-CN"/>
              </w:rPr>
              <w:t>0.8</w:t>
            </w:r>
            <w:r>
              <w:rPr>
                <w:rFonts w:hint="default" w:ascii="Times New Roman" w:hAnsi="Times New Roman" w:eastAsia="宋体" w:cs="Times New Roman"/>
                <w:color w:val="auto"/>
                <w:spacing w:val="-3"/>
                <w:sz w:val="24"/>
                <w:szCs w:val="24"/>
              </w:rPr>
              <w:t>计算，</w:t>
            </w:r>
            <w:r>
              <w:rPr>
                <w:rFonts w:hint="default" w:ascii="Times New Roman" w:hAnsi="Times New Roman" w:eastAsia="宋体" w:cs="Times New Roman"/>
                <w:color w:val="auto"/>
                <w:spacing w:val="-3"/>
                <w:sz w:val="24"/>
                <w:szCs w:val="24"/>
                <w:lang w:eastAsia="zh-CN"/>
              </w:rPr>
              <w:t>地下车库清洁用水</w:t>
            </w:r>
            <w:r>
              <w:rPr>
                <w:rFonts w:hint="default" w:ascii="Times New Roman" w:hAnsi="Times New Roman" w:eastAsia="宋体" w:cs="Times New Roman"/>
                <w:color w:val="auto"/>
                <w:spacing w:val="-3"/>
                <w:sz w:val="24"/>
                <w:szCs w:val="24"/>
              </w:rPr>
              <w:t>排放量为</w:t>
            </w:r>
            <w:r>
              <w:rPr>
                <w:rFonts w:hint="eastAsia" w:eastAsia="宋体" w:cs="Times New Roman"/>
                <w:color w:val="auto"/>
                <w:spacing w:val="-3"/>
                <w:sz w:val="24"/>
                <w:szCs w:val="24"/>
                <w:lang w:val="en-US" w:eastAsia="zh-CN"/>
              </w:rPr>
              <w:t>0.30</w:t>
            </w:r>
            <w:r>
              <w:rPr>
                <w:rFonts w:hint="default" w:ascii="Times New Roman" w:hAnsi="Times New Roman" w:eastAsia="宋体" w:cs="Times New Roman"/>
                <w:color w:val="auto"/>
                <w:spacing w:val="-3"/>
                <w:sz w:val="24"/>
                <w:szCs w:val="24"/>
              </w:rPr>
              <w:t>m</w:t>
            </w:r>
            <w:r>
              <w:rPr>
                <w:rFonts w:hint="default" w:ascii="Times New Roman" w:hAnsi="Times New Roman" w:eastAsia="宋体" w:cs="Times New Roman"/>
                <w:color w:val="auto"/>
                <w:spacing w:val="-3"/>
                <w:sz w:val="24"/>
                <w:szCs w:val="24"/>
                <w:vertAlign w:val="superscript"/>
              </w:rPr>
              <w:t>3</w:t>
            </w:r>
            <w:r>
              <w:rPr>
                <w:rFonts w:hint="default" w:ascii="Times New Roman" w:hAnsi="Times New Roman" w:eastAsia="宋体" w:cs="Times New Roman"/>
                <w:color w:val="auto"/>
                <w:spacing w:val="-3"/>
                <w:sz w:val="24"/>
                <w:szCs w:val="24"/>
              </w:rPr>
              <w:t>/d，</w:t>
            </w:r>
            <w:r>
              <w:rPr>
                <w:rFonts w:hint="default" w:ascii="Times New Roman" w:hAnsi="Times New Roman" w:eastAsia="宋体" w:cs="Times New Roman"/>
                <w:color w:val="auto"/>
                <w:spacing w:val="-3"/>
                <w:sz w:val="24"/>
                <w:szCs w:val="24"/>
                <w:lang w:eastAsia="zh-CN"/>
              </w:rPr>
              <w:t>年排水量为</w:t>
            </w:r>
            <w:r>
              <w:rPr>
                <w:rFonts w:hint="eastAsia" w:eastAsia="宋体" w:cs="Times New Roman"/>
                <w:color w:val="auto"/>
                <w:spacing w:val="-3"/>
                <w:sz w:val="24"/>
                <w:szCs w:val="24"/>
                <w:lang w:val="en-US" w:eastAsia="zh-CN"/>
              </w:rPr>
              <w:t>109.2</w:t>
            </w:r>
            <w:r>
              <w:rPr>
                <w:rFonts w:hint="default" w:ascii="Times New Roman" w:hAnsi="Times New Roman" w:eastAsia="宋体" w:cs="Times New Roman"/>
                <w:color w:val="auto"/>
                <w:spacing w:val="-3"/>
                <w:kern w:val="0"/>
                <w:sz w:val="24"/>
                <w:szCs w:val="24"/>
              </w:rPr>
              <w:t>m</w:t>
            </w:r>
            <w:r>
              <w:rPr>
                <w:rFonts w:hint="default" w:ascii="Times New Roman" w:hAnsi="Times New Roman" w:eastAsia="宋体" w:cs="Times New Roman"/>
                <w:color w:val="auto"/>
                <w:spacing w:val="-3"/>
                <w:kern w:val="0"/>
                <w:sz w:val="24"/>
                <w:szCs w:val="24"/>
                <w:vertAlign w:val="superscript"/>
              </w:rPr>
              <w:t>3</w:t>
            </w:r>
            <w:r>
              <w:rPr>
                <w:rFonts w:hint="default" w:ascii="Times New Roman" w:hAnsi="Times New Roman" w:eastAsia="宋体" w:cs="Times New Roman"/>
                <w:color w:val="auto"/>
                <w:spacing w:val="-3"/>
                <w:kern w:val="0"/>
                <w:sz w:val="24"/>
                <w:szCs w:val="24"/>
              </w:rPr>
              <w:t>/a</w:t>
            </w:r>
            <w:r>
              <w:rPr>
                <w:rFonts w:hint="default" w:ascii="Times New Roman" w:hAnsi="Times New Roman" w:eastAsia="宋体" w:cs="Times New Roman"/>
                <w:color w:val="auto"/>
                <w:spacing w:val="-3"/>
                <w:sz w:val="24"/>
                <w:szCs w:val="24"/>
              </w:rPr>
              <w:t>。</w:t>
            </w:r>
          </w:p>
          <w:p w14:paraId="58BFA046">
            <w:pPr>
              <w:spacing w:line="360" w:lineRule="auto"/>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项目运营期水平衡表见下表1-3。</w:t>
            </w:r>
          </w:p>
          <w:p w14:paraId="0218529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表1-3  项目项目运营期水平衡表</w:t>
            </w:r>
          </w:p>
          <w:tbl>
            <w:tblPr>
              <w:tblStyle w:val="15"/>
              <w:tblW w:w="8504" w:type="dxa"/>
              <w:jc w:val="center"/>
              <w:tblLayout w:type="fixed"/>
              <w:tblCellMar>
                <w:top w:w="0" w:type="dxa"/>
                <w:left w:w="108" w:type="dxa"/>
                <w:bottom w:w="0" w:type="dxa"/>
                <w:right w:w="108" w:type="dxa"/>
              </w:tblCellMar>
            </w:tblPr>
            <w:tblGrid>
              <w:gridCol w:w="1798"/>
              <w:gridCol w:w="1009"/>
              <w:gridCol w:w="1080"/>
              <w:gridCol w:w="1080"/>
              <w:gridCol w:w="1242"/>
              <w:gridCol w:w="1176"/>
              <w:gridCol w:w="1119"/>
            </w:tblGrid>
            <w:tr w14:paraId="20F97644">
              <w:tblPrEx>
                <w:tblCellMar>
                  <w:top w:w="0" w:type="dxa"/>
                  <w:left w:w="108" w:type="dxa"/>
                  <w:bottom w:w="0" w:type="dxa"/>
                  <w:right w:w="108" w:type="dxa"/>
                </w:tblCellMar>
              </w:tblPrEx>
              <w:trPr>
                <w:trHeight w:val="397" w:hRule="atLeast"/>
                <w:jc w:val="center"/>
              </w:trPr>
              <w:tc>
                <w:tcPr>
                  <w:tcW w:w="1798" w:type="dxa"/>
                  <w:tcBorders>
                    <w:top w:val="single" w:color="auto" w:sz="12" w:space="0"/>
                    <w:bottom w:val="single" w:color="auto" w:sz="8" w:space="0"/>
                    <w:right w:val="single" w:color="auto" w:sz="8" w:space="0"/>
                  </w:tcBorders>
                  <w:vAlign w:val="center"/>
                </w:tcPr>
                <w:p w14:paraId="072FD8E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项目</w:t>
                  </w:r>
                </w:p>
              </w:tc>
              <w:tc>
                <w:tcPr>
                  <w:tcW w:w="1009" w:type="dxa"/>
                  <w:tcBorders>
                    <w:top w:val="single" w:color="auto" w:sz="12" w:space="0"/>
                    <w:left w:val="single" w:color="auto" w:sz="8" w:space="0"/>
                    <w:bottom w:val="single" w:color="auto" w:sz="8" w:space="0"/>
                    <w:right w:val="single" w:color="auto" w:sz="8" w:space="0"/>
                  </w:tcBorders>
                  <w:vAlign w:val="center"/>
                </w:tcPr>
                <w:p w14:paraId="68C2DD7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排水</w:t>
                  </w:r>
                </w:p>
                <w:p w14:paraId="4C82990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系数</w:t>
                  </w:r>
                </w:p>
              </w:tc>
              <w:tc>
                <w:tcPr>
                  <w:tcW w:w="1080" w:type="dxa"/>
                  <w:tcBorders>
                    <w:top w:val="single" w:color="auto" w:sz="12" w:space="0"/>
                    <w:left w:val="single" w:color="auto" w:sz="8" w:space="0"/>
                    <w:bottom w:val="single" w:color="auto" w:sz="8" w:space="0"/>
                    <w:right w:val="single" w:color="auto" w:sz="8" w:space="0"/>
                  </w:tcBorders>
                  <w:vAlign w:val="center"/>
                </w:tcPr>
                <w:p w14:paraId="61F35255">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日用水量</w:t>
                  </w:r>
                </w:p>
                <w:p w14:paraId="544F879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r>
                    <w:rPr>
                      <w:rFonts w:hint="default" w:ascii="Times New Roman" w:hAnsi="Times New Roman" w:eastAsia="宋体" w:cs="Times New Roman"/>
                      <w:color w:val="auto"/>
                      <w:spacing w:val="-3"/>
                      <w:sz w:val="21"/>
                      <w:szCs w:val="21"/>
                    </w:rPr>
                    <w:t>m</w:t>
                  </w:r>
                  <w:r>
                    <w:rPr>
                      <w:rFonts w:hint="default" w:ascii="Times New Roman" w:hAnsi="Times New Roman" w:eastAsia="宋体" w:cs="Times New Roman"/>
                      <w:color w:val="auto"/>
                      <w:spacing w:val="-3"/>
                      <w:sz w:val="21"/>
                      <w:szCs w:val="21"/>
                      <w:vertAlign w:val="superscript"/>
                    </w:rPr>
                    <w:t>3</w:t>
                  </w:r>
                  <w:r>
                    <w:rPr>
                      <w:rFonts w:hint="default" w:ascii="Times New Roman" w:hAnsi="Times New Roman" w:eastAsia="宋体" w:cs="Times New Roman"/>
                      <w:color w:val="auto"/>
                      <w:spacing w:val="-3"/>
                      <w:sz w:val="21"/>
                      <w:szCs w:val="21"/>
                    </w:rPr>
                    <w:t>/d</w:t>
                  </w:r>
                  <w:r>
                    <w:rPr>
                      <w:rFonts w:hint="default" w:ascii="Times New Roman" w:hAnsi="Times New Roman" w:cs="Times New Roman"/>
                      <w:color w:val="auto"/>
                      <w:kern w:val="0"/>
                      <w:sz w:val="21"/>
                      <w:szCs w:val="21"/>
                      <w:lang w:val="en-US" w:eastAsia="zh-CN"/>
                    </w:rPr>
                    <w:t>）</w:t>
                  </w:r>
                </w:p>
              </w:tc>
              <w:tc>
                <w:tcPr>
                  <w:tcW w:w="1080" w:type="dxa"/>
                  <w:tcBorders>
                    <w:top w:val="single" w:color="auto" w:sz="12" w:space="0"/>
                    <w:left w:val="single" w:color="auto" w:sz="8" w:space="0"/>
                    <w:bottom w:val="single" w:color="auto" w:sz="8" w:space="0"/>
                    <w:right w:val="single" w:color="auto" w:sz="8" w:space="0"/>
                  </w:tcBorders>
                  <w:vAlign w:val="center"/>
                </w:tcPr>
                <w:p w14:paraId="02D3ACD5">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日排水量</w:t>
                  </w:r>
                </w:p>
                <w:p w14:paraId="2E3ED63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cs="Times New Roman"/>
                      <w:color w:val="auto"/>
                      <w:kern w:val="0"/>
                      <w:sz w:val="21"/>
                      <w:szCs w:val="21"/>
                      <w:lang w:eastAsia="zh-CN"/>
                    </w:rPr>
                    <w:t>（</w:t>
                  </w:r>
                  <w:r>
                    <w:rPr>
                      <w:rFonts w:hint="default" w:ascii="Times New Roman" w:hAnsi="Times New Roman" w:eastAsia="宋体" w:cs="Times New Roman"/>
                      <w:color w:val="auto"/>
                      <w:spacing w:val="-3"/>
                      <w:sz w:val="21"/>
                      <w:szCs w:val="21"/>
                    </w:rPr>
                    <w:t>m</w:t>
                  </w:r>
                  <w:r>
                    <w:rPr>
                      <w:rFonts w:hint="default" w:ascii="Times New Roman" w:hAnsi="Times New Roman" w:eastAsia="宋体" w:cs="Times New Roman"/>
                      <w:color w:val="auto"/>
                      <w:spacing w:val="-3"/>
                      <w:sz w:val="21"/>
                      <w:szCs w:val="21"/>
                      <w:vertAlign w:val="superscript"/>
                    </w:rPr>
                    <w:t>3</w:t>
                  </w:r>
                  <w:r>
                    <w:rPr>
                      <w:rFonts w:hint="default" w:ascii="Times New Roman" w:hAnsi="Times New Roman" w:eastAsia="宋体" w:cs="Times New Roman"/>
                      <w:color w:val="auto"/>
                      <w:spacing w:val="-3"/>
                      <w:sz w:val="21"/>
                      <w:szCs w:val="21"/>
                    </w:rPr>
                    <w:t>/d</w:t>
                  </w:r>
                  <w:r>
                    <w:rPr>
                      <w:rFonts w:hint="default" w:ascii="Times New Roman" w:hAnsi="Times New Roman" w:cs="Times New Roman"/>
                      <w:color w:val="auto"/>
                      <w:kern w:val="0"/>
                      <w:sz w:val="21"/>
                      <w:szCs w:val="21"/>
                      <w:lang w:eastAsia="zh-CN"/>
                    </w:rPr>
                    <w:t>）</w:t>
                  </w:r>
                </w:p>
              </w:tc>
              <w:tc>
                <w:tcPr>
                  <w:tcW w:w="1242" w:type="dxa"/>
                  <w:tcBorders>
                    <w:top w:val="single" w:color="auto" w:sz="12" w:space="0"/>
                    <w:left w:val="single" w:color="auto" w:sz="8" w:space="0"/>
                    <w:bottom w:val="single" w:color="auto" w:sz="8" w:space="0"/>
                    <w:right w:val="single" w:color="auto" w:sz="8" w:space="0"/>
                  </w:tcBorders>
                  <w:vAlign w:val="center"/>
                </w:tcPr>
                <w:p w14:paraId="6A71E90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年用水量</w:t>
                  </w:r>
                </w:p>
                <w:p w14:paraId="516179E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cs="Times New Roman"/>
                      <w:color w:val="auto"/>
                      <w:kern w:val="0"/>
                      <w:sz w:val="21"/>
                      <w:szCs w:val="21"/>
                      <w:lang w:eastAsia="zh-CN"/>
                    </w:rPr>
                    <w:t>（</w:t>
                  </w:r>
                  <w:r>
                    <w:rPr>
                      <w:rFonts w:hint="default" w:ascii="Times New Roman" w:hAnsi="Times New Roman" w:eastAsia="宋体" w:cs="Times New Roman"/>
                      <w:color w:val="auto"/>
                      <w:kern w:val="0"/>
                      <w:sz w:val="21"/>
                      <w:szCs w:val="21"/>
                    </w:rPr>
                    <w:t>m</w:t>
                  </w:r>
                  <w:r>
                    <w:rPr>
                      <w:rFonts w:hint="default" w:ascii="Times New Roman" w:hAnsi="Times New Roman" w:eastAsia="宋体" w:cs="Times New Roman"/>
                      <w:color w:val="auto"/>
                      <w:kern w:val="0"/>
                      <w:sz w:val="21"/>
                      <w:szCs w:val="21"/>
                      <w:vertAlign w:val="superscript"/>
                    </w:rPr>
                    <w:t>3</w:t>
                  </w:r>
                  <w:r>
                    <w:rPr>
                      <w:rFonts w:hint="default" w:ascii="Times New Roman" w:hAnsi="Times New Roman" w:eastAsia="宋体" w:cs="Times New Roman"/>
                      <w:color w:val="auto"/>
                      <w:kern w:val="0"/>
                      <w:sz w:val="21"/>
                      <w:szCs w:val="21"/>
                    </w:rPr>
                    <w:t>/a</w:t>
                  </w:r>
                  <w:r>
                    <w:rPr>
                      <w:rFonts w:hint="default" w:ascii="Times New Roman" w:hAnsi="Times New Roman" w:cs="Times New Roman"/>
                      <w:color w:val="auto"/>
                      <w:kern w:val="0"/>
                      <w:sz w:val="21"/>
                      <w:szCs w:val="21"/>
                      <w:lang w:eastAsia="zh-CN"/>
                    </w:rPr>
                    <w:t>）</w:t>
                  </w:r>
                </w:p>
              </w:tc>
              <w:tc>
                <w:tcPr>
                  <w:tcW w:w="1176" w:type="dxa"/>
                  <w:tcBorders>
                    <w:top w:val="single" w:color="auto" w:sz="12" w:space="0"/>
                    <w:left w:val="single" w:color="auto" w:sz="8" w:space="0"/>
                    <w:bottom w:val="single" w:color="auto" w:sz="8" w:space="0"/>
                    <w:right w:val="single" w:color="auto" w:sz="8" w:space="0"/>
                  </w:tcBorders>
                  <w:vAlign w:val="center"/>
                </w:tcPr>
                <w:p w14:paraId="7EE0B34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年排水量</w:t>
                  </w:r>
                </w:p>
                <w:p w14:paraId="20D9BBD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cs="Times New Roman"/>
                      <w:color w:val="auto"/>
                      <w:kern w:val="0"/>
                      <w:sz w:val="21"/>
                      <w:szCs w:val="21"/>
                      <w:lang w:eastAsia="zh-CN"/>
                    </w:rPr>
                    <w:t>（</w:t>
                  </w:r>
                  <w:r>
                    <w:rPr>
                      <w:rFonts w:hint="default" w:ascii="Times New Roman" w:hAnsi="Times New Roman" w:eastAsia="宋体" w:cs="Times New Roman"/>
                      <w:color w:val="auto"/>
                      <w:kern w:val="0"/>
                      <w:sz w:val="21"/>
                      <w:szCs w:val="21"/>
                    </w:rPr>
                    <w:t>m</w:t>
                  </w:r>
                  <w:r>
                    <w:rPr>
                      <w:rFonts w:hint="default" w:ascii="Times New Roman" w:hAnsi="Times New Roman" w:eastAsia="宋体" w:cs="Times New Roman"/>
                      <w:color w:val="auto"/>
                      <w:kern w:val="0"/>
                      <w:sz w:val="21"/>
                      <w:szCs w:val="21"/>
                      <w:vertAlign w:val="superscript"/>
                    </w:rPr>
                    <w:t>3</w:t>
                  </w:r>
                  <w:r>
                    <w:rPr>
                      <w:rFonts w:hint="default" w:ascii="Times New Roman" w:hAnsi="Times New Roman" w:eastAsia="宋体" w:cs="Times New Roman"/>
                      <w:color w:val="auto"/>
                      <w:kern w:val="0"/>
                      <w:sz w:val="21"/>
                      <w:szCs w:val="21"/>
                    </w:rPr>
                    <w:t>/a</w:t>
                  </w:r>
                  <w:r>
                    <w:rPr>
                      <w:rFonts w:hint="default" w:ascii="Times New Roman" w:hAnsi="Times New Roman" w:cs="Times New Roman"/>
                      <w:color w:val="auto"/>
                      <w:kern w:val="0"/>
                      <w:sz w:val="21"/>
                      <w:szCs w:val="21"/>
                      <w:lang w:eastAsia="zh-CN"/>
                    </w:rPr>
                    <w:t>）</w:t>
                  </w:r>
                </w:p>
              </w:tc>
              <w:tc>
                <w:tcPr>
                  <w:tcW w:w="1119" w:type="dxa"/>
                  <w:tcBorders>
                    <w:top w:val="single" w:color="auto" w:sz="12" w:space="0"/>
                    <w:left w:val="single" w:color="auto" w:sz="8" w:space="0"/>
                    <w:bottom w:val="single" w:color="auto" w:sz="8" w:space="0"/>
                  </w:tcBorders>
                  <w:vAlign w:val="center"/>
                </w:tcPr>
                <w:p w14:paraId="47A8705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备注</w:t>
                  </w:r>
                </w:p>
              </w:tc>
            </w:tr>
            <w:tr w14:paraId="4E26DCD3">
              <w:tblPrEx>
                <w:tblCellMar>
                  <w:top w:w="0" w:type="dxa"/>
                  <w:left w:w="108" w:type="dxa"/>
                  <w:bottom w:w="0" w:type="dxa"/>
                  <w:right w:w="108" w:type="dxa"/>
                </w:tblCellMar>
              </w:tblPrEx>
              <w:trPr>
                <w:trHeight w:val="397" w:hRule="atLeast"/>
                <w:jc w:val="center"/>
              </w:trPr>
              <w:tc>
                <w:tcPr>
                  <w:tcW w:w="1798" w:type="dxa"/>
                  <w:tcBorders>
                    <w:top w:val="single" w:color="auto" w:sz="8" w:space="0"/>
                    <w:bottom w:val="single" w:color="auto" w:sz="8" w:space="0"/>
                    <w:right w:val="single" w:color="auto" w:sz="8" w:space="0"/>
                  </w:tcBorders>
                  <w:vAlign w:val="center"/>
                </w:tcPr>
                <w:p w14:paraId="4C4F1D0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居民生活用水</w:t>
                  </w:r>
                </w:p>
              </w:tc>
              <w:tc>
                <w:tcPr>
                  <w:tcW w:w="1009" w:type="dxa"/>
                  <w:vMerge w:val="restart"/>
                  <w:tcBorders>
                    <w:top w:val="single" w:color="auto" w:sz="8" w:space="0"/>
                    <w:left w:val="single" w:color="auto" w:sz="8" w:space="0"/>
                    <w:right w:val="single" w:color="auto" w:sz="8" w:space="0"/>
                  </w:tcBorders>
                  <w:vAlign w:val="center"/>
                </w:tcPr>
                <w:p w14:paraId="2A7B211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0.8</w:t>
                  </w:r>
                </w:p>
              </w:tc>
              <w:tc>
                <w:tcPr>
                  <w:tcW w:w="1080" w:type="dxa"/>
                  <w:tcBorders>
                    <w:top w:val="single" w:color="auto" w:sz="8" w:space="0"/>
                    <w:left w:val="single" w:color="auto" w:sz="8" w:space="0"/>
                    <w:bottom w:val="single" w:color="auto" w:sz="8" w:space="0"/>
                    <w:right w:val="single" w:color="auto" w:sz="8" w:space="0"/>
                  </w:tcBorders>
                  <w:vAlign w:val="center"/>
                </w:tcPr>
                <w:p w14:paraId="11900C4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316.8</w:t>
                  </w:r>
                </w:p>
              </w:tc>
              <w:tc>
                <w:tcPr>
                  <w:tcW w:w="1080" w:type="dxa"/>
                  <w:tcBorders>
                    <w:top w:val="single" w:color="auto" w:sz="8" w:space="0"/>
                    <w:left w:val="single" w:color="auto" w:sz="8" w:space="0"/>
                    <w:bottom w:val="single" w:color="auto" w:sz="8" w:space="0"/>
                    <w:right w:val="single" w:color="auto" w:sz="8" w:space="0"/>
                  </w:tcBorders>
                  <w:vAlign w:val="center"/>
                </w:tcPr>
                <w:p w14:paraId="2567262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spacing w:val="-9"/>
                      <w:sz w:val="21"/>
                      <w:szCs w:val="21"/>
                      <w:lang w:val="en-US" w:eastAsia="zh-CN"/>
                    </w:rPr>
                    <w:t>253.44</w:t>
                  </w:r>
                </w:p>
              </w:tc>
              <w:tc>
                <w:tcPr>
                  <w:tcW w:w="1242" w:type="dxa"/>
                  <w:tcBorders>
                    <w:top w:val="single" w:color="auto" w:sz="8" w:space="0"/>
                    <w:left w:val="single" w:color="auto" w:sz="8" w:space="0"/>
                    <w:bottom w:val="single" w:color="auto" w:sz="8" w:space="0"/>
                    <w:right w:val="single" w:color="auto" w:sz="8" w:space="0"/>
                  </w:tcBorders>
                  <w:vAlign w:val="center"/>
                </w:tcPr>
                <w:p w14:paraId="367573F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115632</w:t>
                  </w:r>
                </w:p>
              </w:tc>
              <w:tc>
                <w:tcPr>
                  <w:tcW w:w="1176" w:type="dxa"/>
                  <w:tcBorders>
                    <w:top w:val="single" w:color="auto" w:sz="8" w:space="0"/>
                    <w:left w:val="single" w:color="auto" w:sz="8" w:space="0"/>
                    <w:bottom w:val="single" w:color="auto" w:sz="8" w:space="0"/>
                    <w:right w:val="single" w:color="auto" w:sz="8" w:space="0"/>
                  </w:tcBorders>
                  <w:vAlign w:val="center"/>
                </w:tcPr>
                <w:p w14:paraId="6251EFB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spacing w:val="-9"/>
                      <w:sz w:val="21"/>
                      <w:szCs w:val="21"/>
                      <w:lang w:val="en-US" w:eastAsia="zh-CN"/>
                    </w:rPr>
                    <w:t>92505.6</w:t>
                  </w:r>
                </w:p>
              </w:tc>
              <w:tc>
                <w:tcPr>
                  <w:tcW w:w="1119" w:type="dxa"/>
                  <w:tcBorders>
                    <w:top w:val="single" w:color="auto" w:sz="8" w:space="0"/>
                    <w:left w:val="single" w:color="auto" w:sz="8" w:space="0"/>
                    <w:bottom w:val="single" w:color="auto" w:sz="8" w:space="0"/>
                  </w:tcBorders>
                  <w:vAlign w:val="center"/>
                </w:tcPr>
                <w:p w14:paraId="4335D6A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150L/人·d</w:t>
                  </w:r>
                </w:p>
              </w:tc>
            </w:tr>
            <w:tr w14:paraId="17E062BC">
              <w:tblPrEx>
                <w:tblCellMar>
                  <w:top w:w="0" w:type="dxa"/>
                  <w:left w:w="108" w:type="dxa"/>
                  <w:bottom w:w="0" w:type="dxa"/>
                  <w:right w:w="108" w:type="dxa"/>
                </w:tblCellMar>
              </w:tblPrEx>
              <w:trPr>
                <w:trHeight w:val="397" w:hRule="atLeast"/>
                <w:jc w:val="center"/>
              </w:trPr>
              <w:tc>
                <w:tcPr>
                  <w:tcW w:w="1798" w:type="dxa"/>
                  <w:tcBorders>
                    <w:top w:val="single" w:color="auto" w:sz="8" w:space="0"/>
                    <w:bottom w:val="single" w:color="auto" w:sz="8" w:space="0"/>
                    <w:right w:val="single" w:color="auto" w:sz="8" w:space="0"/>
                  </w:tcBorders>
                  <w:vAlign w:val="center"/>
                </w:tcPr>
                <w:p w14:paraId="4147D15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商业区用水</w:t>
                  </w:r>
                </w:p>
              </w:tc>
              <w:tc>
                <w:tcPr>
                  <w:tcW w:w="1009" w:type="dxa"/>
                  <w:vMerge w:val="continue"/>
                  <w:tcBorders>
                    <w:left w:val="single" w:color="auto" w:sz="8" w:space="0"/>
                    <w:right w:val="single" w:color="auto" w:sz="8" w:space="0"/>
                  </w:tcBorders>
                  <w:vAlign w:val="center"/>
                </w:tcPr>
                <w:p w14:paraId="66D2657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p>
              </w:tc>
              <w:tc>
                <w:tcPr>
                  <w:tcW w:w="1080" w:type="dxa"/>
                  <w:tcBorders>
                    <w:top w:val="single" w:color="auto" w:sz="8" w:space="0"/>
                    <w:left w:val="single" w:color="auto" w:sz="8" w:space="0"/>
                    <w:bottom w:val="single" w:color="auto" w:sz="8" w:space="0"/>
                    <w:right w:val="single" w:color="auto" w:sz="8" w:space="0"/>
                  </w:tcBorders>
                  <w:vAlign w:val="center"/>
                </w:tcPr>
                <w:p w14:paraId="0C3CE80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19.28</w:t>
                  </w:r>
                </w:p>
              </w:tc>
              <w:tc>
                <w:tcPr>
                  <w:tcW w:w="1080" w:type="dxa"/>
                  <w:tcBorders>
                    <w:top w:val="single" w:color="auto" w:sz="8" w:space="0"/>
                    <w:left w:val="single" w:color="auto" w:sz="8" w:space="0"/>
                    <w:bottom w:val="single" w:color="auto" w:sz="8" w:space="0"/>
                    <w:right w:val="single" w:color="auto" w:sz="8" w:space="0"/>
                  </w:tcBorders>
                  <w:vAlign w:val="center"/>
                </w:tcPr>
                <w:p w14:paraId="456CC86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sz w:val="21"/>
                      <w:szCs w:val="21"/>
                      <w:lang w:val="en-US" w:eastAsia="zh-CN"/>
                    </w:rPr>
                    <w:t>15.424</w:t>
                  </w:r>
                </w:p>
              </w:tc>
              <w:tc>
                <w:tcPr>
                  <w:tcW w:w="1242" w:type="dxa"/>
                  <w:tcBorders>
                    <w:top w:val="single" w:color="auto" w:sz="8" w:space="0"/>
                    <w:left w:val="single" w:color="auto" w:sz="8" w:space="0"/>
                    <w:bottom w:val="single" w:color="auto" w:sz="8" w:space="0"/>
                    <w:right w:val="single" w:color="auto" w:sz="8" w:space="0"/>
                  </w:tcBorders>
                  <w:vAlign w:val="center"/>
                </w:tcPr>
                <w:p w14:paraId="0C6F8D8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7037.2</w:t>
                  </w:r>
                </w:p>
              </w:tc>
              <w:tc>
                <w:tcPr>
                  <w:tcW w:w="1176" w:type="dxa"/>
                  <w:tcBorders>
                    <w:top w:val="single" w:color="auto" w:sz="8" w:space="0"/>
                    <w:left w:val="single" w:color="auto" w:sz="8" w:space="0"/>
                    <w:bottom w:val="single" w:color="auto" w:sz="8" w:space="0"/>
                    <w:right w:val="single" w:color="auto" w:sz="8" w:space="0"/>
                  </w:tcBorders>
                  <w:vAlign w:val="center"/>
                </w:tcPr>
                <w:p w14:paraId="3C9D78B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sz w:val="21"/>
                      <w:szCs w:val="21"/>
                      <w:lang w:val="en-US" w:eastAsia="zh-CN"/>
                    </w:rPr>
                    <w:t>5629.76</w:t>
                  </w:r>
                </w:p>
              </w:tc>
              <w:tc>
                <w:tcPr>
                  <w:tcW w:w="1119" w:type="dxa"/>
                  <w:tcBorders>
                    <w:top w:val="single" w:color="auto" w:sz="8" w:space="0"/>
                    <w:left w:val="single" w:color="auto" w:sz="8" w:space="0"/>
                    <w:bottom w:val="single" w:color="auto" w:sz="8" w:space="0"/>
                  </w:tcBorders>
                  <w:vAlign w:val="center"/>
                </w:tcPr>
                <w:p w14:paraId="56C21A4B">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6L/人·d</w:t>
                  </w:r>
                </w:p>
              </w:tc>
            </w:tr>
            <w:tr w14:paraId="288AF078">
              <w:tblPrEx>
                <w:tblCellMar>
                  <w:top w:w="0" w:type="dxa"/>
                  <w:left w:w="108" w:type="dxa"/>
                  <w:bottom w:w="0" w:type="dxa"/>
                  <w:right w:w="108" w:type="dxa"/>
                </w:tblCellMar>
              </w:tblPrEx>
              <w:trPr>
                <w:trHeight w:val="397" w:hRule="atLeast"/>
                <w:jc w:val="center"/>
              </w:trPr>
              <w:tc>
                <w:tcPr>
                  <w:tcW w:w="1798" w:type="dxa"/>
                  <w:tcBorders>
                    <w:top w:val="single" w:color="auto" w:sz="8" w:space="0"/>
                    <w:bottom w:val="single" w:color="auto" w:sz="8" w:space="0"/>
                    <w:right w:val="single" w:color="auto" w:sz="8" w:space="0"/>
                  </w:tcBorders>
                  <w:vAlign w:val="center"/>
                </w:tcPr>
                <w:p w14:paraId="1DDF909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配套公建设施</w:t>
                  </w:r>
                </w:p>
                <w:p w14:paraId="7C6DBF4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sz w:val="21"/>
                      <w:szCs w:val="21"/>
                      <w:lang w:eastAsia="zh-CN"/>
                    </w:rPr>
                    <w:t>用房</w:t>
                  </w:r>
                  <w:r>
                    <w:rPr>
                      <w:rFonts w:hint="default" w:ascii="Times New Roman" w:hAnsi="Times New Roman" w:eastAsia="宋体" w:cs="Times New Roman"/>
                      <w:color w:val="auto"/>
                      <w:kern w:val="0"/>
                      <w:sz w:val="21"/>
                      <w:szCs w:val="21"/>
                    </w:rPr>
                    <w:t>用水</w:t>
                  </w:r>
                </w:p>
              </w:tc>
              <w:tc>
                <w:tcPr>
                  <w:tcW w:w="1009" w:type="dxa"/>
                  <w:vMerge w:val="continue"/>
                  <w:tcBorders>
                    <w:left w:val="single" w:color="auto" w:sz="8" w:space="0"/>
                    <w:right w:val="single" w:color="auto" w:sz="8" w:space="0"/>
                  </w:tcBorders>
                  <w:vAlign w:val="center"/>
                </w:tcPr>
                <w:p w14:paraId="5F09C89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p>
              </w:tc>
              <w:tc>
                <w:tcPr>
                  <w:tcW w:w="1080" w:type="dxa"/>
                  <w:tcBorders>
                    <w:top w:val="single" w:color="auto" w:sz="8" w:space="0"/>
                    <w:left w:val="single" w:color="auto" w:sz="8" w:space="0"/>
                    <w:bottom w:val="single" w:color="auto" w:sz="8" w:space="0"/>
                    <w:right w:val="single" w:color="auto" w:sz="8" w:space="0"/>
                  </w:tcBorders>
                  <w:vAlign w:val="center"/>
                </w:tcPr>
                <w:p w14:paraId="72AD855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0.768</w:t>
                  </w:r>
                </w:p>
              </w:tc>
              <w:tc>
                <w:tcPr>
                  <w:tcW w:w="1080" w:type="dxa"/>
                  <w:tcBorders>
                    <w:top w:val="single" w:color="auto" w:sz="8" w:space="0"/>
                    <w:left w:val="single" w:color="auto" w:sz="8" w:space="0"/>
                    <w:bottom w:val="single" w:color="auto" w:sz="8" w:space="0"/>
                    <w:right w:val="single" w:color="auto" w:sz="8" w:space="0"/>
                  </w:tcBorders>
                  <w:vAlign w:val="center"/>
                </w:tcPr>
                <w:p w14:paraId="13679A0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sz w:val="21"/>
                      <w:szCs w:val="21"/>
                      <w:lang w:val="en-US" w:eastAsia="zh-CN"/>
                    </w:rPr>
                    <w:t>0.6144</w:t>
                  </w:r>
                </w:p>
              </w:tc>
              <w:tc>
                <w:tcPr>
                  <w:tcW w:w="1242" w:type="dxa"/>
                  <w:tcBorders>
                    <w:top w:val="single" w:color="auto" w:sz="8" w:space="0"/>
                    <w:left w:val="single" w:color="auto" w:sz="8" w:space="0"/>
                    <w:bottom w:val="single" w:color="auto" w:sz="8" w:space="0"/>
                    <w:right w:val="single" w:color="auto" w:sz="8" w:space="0"/>
                  </w:tcBorders>
                  <w:vAlign w:val="center"/>
                </w:tcPr>
                <w:p w14:paraId="6B9F22C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280.32</w:t>
                  </w:r>
                </w:p>
              </w:tc>
              <w:tc>
                <w:tcPr>
                  <w:tcW w:w="1176" w:type="dxa"/>
                  <w:tcBorders>
                    <w:top w:val="single" w:color="auto" w:sz="8" w:space="0"/>
                    <w:left w:val="single" w:color="auto" w:sz="8" w:space="0"/>
                    <w:bottom w:val="single" w:color="auto" w:sz="8" w:space="0"/>
                    <w:right w:val="single" w:color="auto" w:sz="8" w:space="0"/>
                  </w:tcBorders>
                  <w:vAlign w:val="center"/>
                </w:tcPr>
                <w:p w14:paraId="3ED7D88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sz w:val="21"/>
                      <w:szCs w:val="21"/>
                      <w:lang w:val="en-US" w:eastAsia="zh-CN"/>
                    </w:rPr>
                    <w:t>224.256</w:t>
                  </w:r>
                </w:p>
              </w:tc>
              <w:tc>
                <w:tcPr>
                  <w:tcW w:w="1119" w:type="dxa"/>
                  <w:tcBorders>
                    <w:top w:val="single" w:color="auto" w:sz="8" w:space="0"/>
                    <w:left w:val="single" w:color="auto" w:sz="8" w:space="0"/>
                    <w:bottom w:val="single" w:color="auto" w:sz="8" w:space="0"/>
                  </w:tcBorders>
                  <w:vAlign w:val="center"/>
                </w:tcPr>
                <w:p w14:paraId="66291BE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6L/人·d</w:t>
                  </w:r>
                </w:p>
              </w:tc>
            </w:tr>
            <w:tr w14:paraId="5C2ECD7F">
              <w:tblPrEx>
                <w:tblCellMar>
                  <w:top w:w="0" w:type="dxa"/>
                  <w:left w:w="108" w:type="dxa"/>
                  <w:bottom w:w="0" w:type="dxa"/>
                  <w:right w:w="108" w:type="dxa"/>
                </w:tblCellMar>
              </w:tblPrEx>
              <w:trPr>
                <w:trHeight w:val="397" w:hRule="atLeast"/>
                <w:jc w:val="center"/>
              </w:trPr>
              <w:tc>
                <w:tcPr>
                  <w:tcW w:w="1798" w:type="dxa"/>
                  <w:tcBorders>
                    <w:top w:val="single" w:color="auto" w:sz="8" w:space="0"/>
                    <w:bottom w:val="single" w:color="auto" w:sz="8" w:space="0"/>
                    <w:right w:val="single" w:color="auto" w:sz="8" w:space="0"/>
                  </w:tcBorders>
                  <w:vAlign w:val="center"/>
                </w:tcPr>
                <w:p w14:paraId="213E2D1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地下车库用水</w:t>
                  </w:r>
                </w:p>
              </w:tc>
              <w:tc>
                <w:tcPr>
                  <w:tcW w:w="1009" w:type="dxa"/>
                  <w:vMerge w:val="continue"/>
                  <w:tcBorders>
                    <w:left w:val="single" w:color="auto" w:sz="8" w:space="0"/>
                    <w:bottom w:val="single" w:color="auto" w:sz="8" w:space="0"/>
                    <w:right w:val="single" w:color="auto" w:sz="8" w:space="0"/>
                  </w:tcBorders>
                  <w:vAlign w:val="center"/>
                </w:tcPr>
                <w:p w14:paraId="05DD2CD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p>
              </w:tc>
              <w:tc>
                <w:tcPr>
                  <w:tcW w:w="1080" w:type="dxa"/>
                  <w:tcBorders>
                    <w:top w:val="single" w:color="auto" w:sz="8" w:space="0"/>
                    <w:left w:val="single" w:color="auto" w:sz="8" w:space="0"/>
                    <w:bottom w:val="single" w:color="auto" w:sz="8" w:space="0"/>
                    <w:right w:val="single" w:color="auto" w:sz="8" w:space="0"/>
                  </w:tcBorders>
                  <w:vAlign w:val="center"/>
                </w:tcPr>
                <w:p w14:paraId="498779F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0.37</w:t>
                  </w:r>
                </w:p>
              </w:tc>
              <w:tc>
                <w:tcPr>
                  <w:tcW w:w="1080" w:type="dxa"/>
                  <w:tcBorders>
                    <w:top w:val="single" w:color="auto" w:sz="8" w:space="0"/>
                    <w:left w:val="single" w:color="auto" w:sz="8" w:space="0"/>
                    <w:bottom w:val="single" w:color="auto" w:sz="8" w:space="0"/>
                    <w:right w:val="single" w:color="auto" w:sz="8" w:space="0"/>
                  </w:tcBorders>
                  <w:vAlign w:val="center"/>
                </w:tcPr>
                <w:p w14:paraId="597878F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eastAsia="宋体" w:cs="Times New Roman"/>
                      <w:color w:val="auto"/>
                      <w:spacing w:val="-3"/>
                      <w:sz w:val="21"/>
                      <w:szCs w:val="21"/>
                      <w:lang w:val="en-US" w:eastAsia="zh-CN"/>
                    </w:rPr>
                    <w:t>0.</w:t>
                  </w:r>
                  <w:r>
                    <w:rPr>
                      <w:rFonts w:hint="eastAsia" w:cs="Times New Roman"/>
                      <w:color w:val="auto"/>
                      <w:spacing w:val="-3"/>
                      <w:sz w:val="21"/>
                      <w:szCs w:val="21"/>
                      <w:lang w:val="en-US" w:eastAsia="zh-CN"/>
                    </w:rPr>
                    <w:t>30</w:t>
                  </w:r>
                </w:p>
              </w:tc>
              <w:tc>
                <w:tcPr>
                  <w:tcW w:w="1242" w:type="dxa"/>
                  <w:tcBorders>
                    <w:top w:val="single" w:color="auto" w:sz="8" w:space="0"/>
                    <w:left w:val="single" w:color="auto" w:sz="8" w:space="0"/>
                    <w:bottom w:val="single" w:color="auto" w:sz="8" w:space="0"/>
                    <w:right w:val="single" w:color="auto" w:sz="8" w:space="0"/>
                  </w:tcBorders>
                  <w:vAlign w:val="center"/>
                </w:tcPr>
                <w:p w14:paraId="59AF258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136.5</w:t>
                  </w:r>
                </w:p>
              </w:tc>
              <w:tc>
                <w:tcPr>
                  <w:tcW w:w="1176" w:type="dxa"/>
                  <w:tcBorders>
                    <w:top w:val="single" w:color="auto" w:sz="8" w:space="0"/>
                    <w:left w:val="single" w:color="auto" w:sz="8" w:space="0"/>
                    <w:bottom w:val="single" w:color="auto" w:sz="8" w:space="0"/>
                    <w:right w:val="single" w:color="auto" w:sz="8" w:space="0"/>
                  </w:tcBorders>
                  <w:vAlign w:val="center"/>
                </w:tcPr>
                <w:p w14:paraId="105482F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109.2</w:t>
                  </w:r>
                </w:p>
              </w:tc>
              <w:tc>
                <w:tcPr>
                  <w:tcW w:w="1119" w:type="dxa"/>
                  <w:tcBorders>
                    <w:top w:val="single" w:color="auto" w:sz="8" w:space="0"/>
                    <w:left w:val="single" w:color="auto" w:sz="8" w:space="0"/>
                    <w:bottom w:val="single" w:color="auto" w:sz="8" w:space="0"/>
                  </w:tcBorders>
                  <w:vAlign w:val="center"/>
                </w:tcPr>
                <w:p w14:paraId="7EE650B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lang w:val="en-US" w:eastAsia="zh-CN"/>
                    </w:rPr>
                    <w:t>10L/个停车位</w:t>
                  </w:r>
                </w:p>
              </w:tc>
            </w:tr>
            <w:tr w14:paraId="654149BE">
              <w:tblPrEx>
                <w:tblCellMar>
                  <w:top w:w="0" w:type="dxa"/>
                  <w:left w:w="108" w:type="dxa"/>
                  <w:bottom w:w="0" w:type="dxa"/>
                  <w:right w:w="108" w:type="dxa"/>
                </w:tblCellMar>
              </w:tblPrEx>
              <w:trPr>
                <w:trHeight w:val="397" w:hRule="atLeast"/>
                <w:jc w:val="center"/>
              </w:trPr>
              <w:tc>
                <w:tcPr>
                  <w:tcW w:w="2807" w:type="dxa"/>
                  <w:gridSpan w:val="2"/>
                  <w:tcBorders>
                    <w:top w:val="single" w:color="auto" w:sz="8" w:space="0"/>
                    <w:bottom w:val="single" w:color="auto" w:sz="8" w:space="0"/>
                    <w:right w:val="single" w:color="auto" w:sz="8" w:space="0"/>
                  </w:tcBorders>
                  <w:vAlign w:val="center"/>
                </w:tcPr>
                <w:p w14:paraId="376C693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绿化浇洒用水</w:t>
                  </w:r>
                </w:p>
              </w:tc>
              <w:tc>
                <w:tcPr>
                  <w:tcW w:w="1080" w:type="dxa"/>
                  <w:tcBorders>
                    <w:top w:val="single" w:color="auto" w:sz="8" w:space="0"/>
                    <w:left w:val="single" w:color="auto" w:sz="8" w:space="0"/>
                    <w:bottom w:val="single" w:color="auto" w:sz="8" w:space="0"/>
                    <w:right w:val="single" w:color="auto" w:sz="8" w:space="0"/>
                  </w:tcBorders>
                  <w:vAlign w:val="center"/>
                </w:tcPr>
                <w:p w14:paraId="4C713FF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7.81</w:t>
                  </w:r>
                </w:p>
              </w:tc>
              <w:tc>
                <w:tcPr>
                  <w:tcW w:w="1080" w:type="dxa"/>
                  <w:tcBorders>
                    <w:top w:val="single" w:color="auto" w:sz="8" w:space="0"/>
                    <w:left w:val="single" w:color="auto" w:sz="8" w:space="0"/>
                    <w:bottom w:val="single" w:color="auto" w:sz="8" w:space="0"/>
                    <w:right w:val="single" w:color="auto" w:sz="8" w:space="0"/>
                  </w:tcBorders>
                  <w:vAlign w:val="center"/>
                </w:tcPr>
                <w:p w14:paraId="4C40C0D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242" w:type="dxa"/>
                  <w:tcBorders>
                    <w:top w:val="single" w:color="auto" w:sz="8" w:space="0"/>
                    <w:left w:val="single" w:color="auto" w:sz="8" w:space="0"/>
                    <w:bottom w:val="single" w:color="auto" w:sz="8" w:space="0"/>
                    <w:right w:val="single" w:color="auto" w:sz="8" w:space="0"/>
                  </w:tcBorders>
                  <w:vAlign w:val="center"/>
                </w:tcPr>
                <w:p w14:paraId="5D843DB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781</w:t>
                  </w:r>
                </w:p>
              </w:tc>
              <w:tc>
                <w:tcPr>
                  <w:tcW w:w="1176" w:type="dxa"/>
                  <w:tcBorders>
                    <w:top w:val="single" w:color="auto" w:sz="8" w:space="0"/>
                    <w:left w:val="single" w:color="auto" w:sz="8" w:space="0"/>
                    <w:bottom w:val="single" w:color="auto" w:sz="8" w:space="0"/>
                    <w:right w:val="single" w:color="auto" w:sz="8" w:space="0"/>
                  </w:tcBorders>
                  <w:vAlign w:val="center"/>
                </w:tcPr>
                <w:p w14:paraId="005C842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119" w:type="dxa"/>
                  <w:tcBorders>
                    <w:top w:val="single" w:color="auto" w:sz="8" w:space="0"/>
                    <w:left w:val="single" w:color="auto" w:sz="8" w:space="0"/>
                    <w:bottom w:val="single" w:color="auto" w:sz="8" w:space="0"/>
                  </w:tcBorders>
                  <w:vAlign w:val="center"/>
                </w:tcPr>
                <w:p w14:paraId="1EB0A11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1L/m</w:t>
                  </w:r>
                  <w:r>
                    <w:rPr>
                      <w:rFonts w:hint="default" w:ascii="Times New Roman" w:hAnsi="Times New Roman" w:eastAsia="宋体" w:cs="Times New Roman"/>
                      <w:color w:val="auto"/>
                      <w:sz w:val="21"/>
                      <w:szCs w:val="21"/>
                      <w:vertAlign w:val="superscript"/>
                    </w:rPr>
                    <w:t>2</w:t>
                  </w:r>
                  <w:r>
                    <w:rPr>
                      <w:rFonts w:hint="default" w:ascii="Times New Roman" w:hAnsi="Times New Roman" w:cs="Times New Roman"/>
                      <w:color w:val="auto"/>
                      <w:kern w:val="0"/>
                      <w:sz w:val="21"/>
                      <w:szCs w:val="21"/>
                    </w:rPr>
                    <w:t>·</w:t>
                  </w:r>
                  <w:r>
                    <w:rPr>
                      <w:rFonts w:hint="default" w:ascii="Times New Roman" w:hAnsi="Times New Roman" w:eastAsia="宋体" w:cs="Times New Roman"/>
                      <w:color w:val="auto"/>
                      <w:sz w:val="21"/>
                      <w:szCs w:val="21"/>
                    </w:rPr>
                    <w:t>次</w:t>
                  </w:r>
                </w:p>
              </w:tc>
            </w:tr>
            <w:tr w14:paraId="5BA7C42D">
              <w:tblPrEx>
                <w:tblCellMar>
                  <w:top w:w="0" w:type="dxa"/>
                  <w:left w:w="108" w:type="dxa"/>
                  <w:bottom w:w="0" w:type="dxa"/>
                  <w:right w:w="108" w:type="dxa"/>
                </w:tblCellMar>
              </w:tblPrEx>
              <w:trPr>
                <w:trHeight w:val="397" w:hRule="atLeast"/>
                <w:jc w:val="center"/>
              </w:trPr>
              <w:tc>
                <w:tcPr>
                  <w:tcW w:w="2807" w:type="dxa"/>
                  <w:gridSpan w:val="2"/>
                  <w:tcBorders>
                    <w:top w:val="single" w:color="auto" w:sz="8" w:space="0"/>
                    <w:bottom w:val="single" w:color="auto" w:sz="8" w:space="0"/>
                    <w:right w:val="single" w:color="auto" w:sz="8" w:space="0"/>
                  </w:tcBorders>
                  <w:vAlign w:val="center"/>
                </w:tcPr>
                <w:p w14:paraId="3F86AEB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lang w:eastAsia="zh-CN"/>
                    </w:rPr>
                  </w:pPr>
                  <w:r>
                    <w:rPr>
                      <w:rFonts w:hint="default" w:ascii="Times New Roman" w:hAnsi="Times New Roman" w:cs="Times New Roman"/>
                      <w:color w:val="auto"/>
                      <w:kern w:val="0"/>
                      <w:sz w:val="21"/>
                      <w:szCs w:val="21"/>
                      <w:lang w:eastAsia="zh-CN"/>
                    </w:rPr>
                    <w:t>消防及未预见用水</w:t>
                  </w:r>
                </w:p>
              </w:tc>
              <w:tc>
                <w:tcPr>
                  <w:tcW w:w="1080" w:type="dxa"/>
                  <w:tcBorders>
                    <w:top w:val="single" w:color="auto" w:sz="8" w:space="0"/>
                    <w:left w:val="single" w:color="auto" w:sz="8" w:space="0"/>
                    <w:bottom w:val="single" w:color="auto" w:sz="8" w:space="0"/>
                    <w:right w:val="single" w:color="auto" w:sz="8" w:space="0"/>
                  </w:tcBorders>
                  <w:vAlign w:val="center"/>
                </w:tcPr>
                <w:p w14:paraId="043FD62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w:t>
                  </w:r>
                </w:p>
              </w:tc>
              <w:tc>
                <w:tcPr>
                  <w:tcW w:w="1080" w:type="dxa"/>
                  <w:tcBorders>
                    <w:top w:val="single" w:color="auto" w:sz="8" w:space="0"/>
                    <w:left w:val="single" w:color="auto" w:sz="8" w:space="0"/>
                    <w:bottom w:val="single" w:color="auto" w:sz="8" w:space="0"/>
                    <w:right w:val="single" w:color="auto" w:sz="8" w:space="0"/>
                  </w:tcBorders>
                  <w:vAlign w:val="center"/>
                </w:tcPr>
                <w:p w14:paraId="21C1F94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242" w:type="dxa"/>
                  <w:tcBorders>
                    <w:top w:val="single" w:color="auto" w:sz="8" w:space="0"/>
                    <w:left w:val="single" w:color="auto" w:sz="8" w:space="0"/>
                    <w:bottom w:val="single" w:color="auto" w:sz="8" w:space="0"/>
                    <w:right w:val="single" w:color="auto" w:sz="8" w:space="0"/>
                  </w:tcBorders>
                  <w:vAlign w:val="center"/>
                </w:tcPr>
                <w:p w14:paraId="6C50B47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 w:val="21"/>
                      <w:szCs w:val="21"/>
                      <w:lang w:val="en-US" w:eastAsia="zh-CN"/>
                    </w:rPr>
                  </w:pPr>
                  <w:r>
                    <w:rPr>
                      <w:rFonts w:hint="eastAsia" w:cs="Times New Roman"/>
                      <w:color w:val="auto"/>
                      <w:kern w:val="0"/>
                      <w:sz w:val="21"/>
                      <w:szCs w:val="21"/>
                      <w:lang w:val="en-US" w:eastAsia="zh-CN"/>
                    </w:rPr>
                    <w:t>12386.702</w:t>
                  </w:r>
                </w:p>
              </w:tc>
              <w:tc>
                <w:tcPr>
                  <w:tcW w:w="1176" w:type="dxa"/>
                  <w:tcBorders>
                    <w:top w:val="single" w:color="auto" w:sz="8" w:space="0"/>
                    <w:left w:val="single" w:color="auto" w:sz="8" w:space="0"/>
                    <w:bottom w:val="single" w:color="auto" w:sz="8" w:space="0"/>
                    <w:right w:val="single" w:color="auto" w:sz="8" w:space="0"/>
                  </w:tcBorders>
                  <w:vAlign w:val="center"/>
                </w:tcPr>
                <w:p w14:paraId="69661C3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119" w:type="dxa"/>
                  <w:tcBorders>
                    <w:top w:val="single" w:color="auto" w:sz="8" w:space="0"/>
                    <w:left w:val="single" w:color="auto" w:sz="8" w:space="0"/>
                    <w:bottom w:val="single" w:color="auto" w:sz="8" w:space="0"/>
                  </w:tcBorders>
                  <w:vAlign w:val="center"/>
                </w:tcPr>
                <w:p w14:paraId="1896EFB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w:t>
                  </w:r>
                </w:p>
              </w:tc>
            </w:tr>
            <w:tr w14:paraId="47559034">
              <w:tblPrEx>
                <w:tblCellMar>
                  <w:top w:w="0" w:type="dxa"/>
                  <w:left w:w="108" w:type="dxa"/>
                  <w:bottom w:w="0" w:type="dxa"/>
                  <w:right w:w="108" w:type="dxa"/>
                </w:tblCellMar>
              </w:tblPrEx>
              <w:trPr>
                <w:trHeight w:val="397" w:hRule="atLeast"/>
                <w:jc w:val="center"/>
              </w:trPr>
              <w:tc>
                <w:tcPr>
                  <w:tcW w:w="2807" w:type="dxa"/>
                  <w:gridSpan w:val="2"/>
                  <w:tcBorders>
                    <w:top w:val="single" w:color="auto" w:sz="8" w:space="0"/>
                    <w:bottom w:val="single" w:color="auto" w:sz="12" w:space="0"/>
                    <w:right w:val="single" w:color="auto" w:sz="8" w:space="0"/>
                  </w:tcBorders>
                  <w:vAlign w:val="center"/>
                </w:tcPr>
                <w:p w14:paraId="425F9DF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kern w:val="0"/>
                      <w:sz w:val="21"/>
                      <w:szCs w:val="21"/>
                    </w:rPr>
                    <w:t>合计</w:t>
                  </w:r>
                </w:p>
              </w:tc>
              <w:tc>
                <w:tcPr>
                  <w:tcW w:w="1080" w:type="dxa"/>
                  <w:tcBorders>
                    <w:top w:val="single" w:color="auto" w:sz="8" w:space="0"/>
                    <w:left w:val="single" w:color="auto" w:sz="8" w:space="0"/>
                    <w:bottom w:val="single" w:color="auto" w:sz="12" w:space="0"/>
                    <w:right w:val="single" w:color="auto" w:sz="8" w:space="0"/>
                  </w:tcBorders>
                  <w:vAlign w:val="center"/>
                </w:tcPr>
                <w:p w14:paraId="4F452AA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345.028</w:t>
                  </w:r>
                </w:p>
              </w:tc>
              <w:tc>
                <w:tcPr>
                  <w:tcW w:w="1080" w:type="dxa"/>
                  <w:tcBorders>
                    <w:top w:val="single" w:color="auto" w:sz="8" w:space="0"/>
                    <w:left w:val="single" w:color="auto" w:sz="8" w:space="0"/>
                    <w:bottom w:val="single" w:color="auto" w:sz="12" w:space="0"/>
                    <w:right w:val="single" w:color="auto" w:sz="8" w:space="0"/>
                  </w:tcBorders>
                  <w:vAlign w:val="center"/>
                </w:tcPr>
                <w:p w14:paraId="4A4036B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269.7784</w:t>
                  </w:r>
                </w:p>
              </w:tc>
              <w:tc>
                <w:tcPr>
                  <w:tcW w:w="1242" w:type="dxa"/>
                  <w:tcBorders>
                    <w:top w:val="single" w:color="auto" w:sz="8" w:space="0"/>
                    <w:left w:val="single" w:color="auto" w:sz="8" w:space="0"/>
                    <w:bottom w:val="single" w:color="auto" w:sz="12" w:space="0"/>
                    <w:right w:val="single" w:color="auto" w:sz="8" w:space="0"/>
                  </w:tcBorders>
                  <w:vAlign w:val="center"/>
                </w:tcPr>
                <w:p w14:paraId="590EF2B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136253.722</w:t>
                  </w:r>
                </w:p>
              </w:tc>
              <w:tc>
                <w:tcPr>
                  <w:tcW w:w="1176" w:type="dxa"/>
                  <w:tcBorders>
                    <w:top w:val="single" w:color="auto" w:sz="8" w:space="0"/>
                    <w:left w:val="single" w:color="auto" w:sz="8" w:space="0"/>
                    <w:bottom w:val="single" w:color="auto" w:sz="12" w:space="0"/>
                    <w:right w:val="single" w:color="auto" w:sz="8" w:space="0"/>
                  </w:tcBorders>
                  <w:vAlign w:val="center"/>
                </w:tcPr>
                <w:p w14:paraId="71A9C7B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98468.816</w:t>
                  </w:r>
                </w:p>
              </w:tc>
              <w:tc>
                <w:tcPr>
                  <w:tcW w:w="1119" w:type="dxa"/>
                  <w:tcBorders>
                    <w:top w:val="single" w:color="auto" w:sz="8" w:space="0"/>
                    <w:left w:val="single" w:color="auto" w:sz="8" w:space="0"/>
                    <w:bottom w:val="single" w:color="auto" w:sz="12" w:space="0"/>
                  </w:tcBorders>
                  <w:vAlign w:val="center"/>
                </w:tcPr>
                <w:p w14:paraId="6A31104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w:t>
                  </w:r>
                </w:p>
              </w:tc>
            </w:tr>
          </w:tbl>
          <w:p w14:paraId="48BF291A">
            <w:pPr>
              <w:spacing w:line="360" w:lineRule="auto"/>
              <w:ind w:firstLine="480" w:firstLineChars="200"/>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项目水平衡图如下：</w:t>
            </w:r>
          </w:p>
          <w:p w14:paraId="49F2DE70">
            <w:pPr>
              <w:spacing w:line="360" w:lineRule="auto"/>
              <w:ind w:firstLine="480" w:firstLineChars="200"/>
              <w:jc w:val="both"/>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object>
                <v:shape id="_x0000_i1025" o:spt="75" type="#_x0000_t75" style="height:262.8pt;width:407.1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14:paraId="19B6ABDF">
            <w:pPr>
              <w:jc w:val="center"/>
              <w:rPr>
                <w:rFonts w:hint="default" w:ascii="Times New Roman" w:hAnsi="Times New Roman" w:eastAsia="宋体" w:cs="Times New Roman"/>
                <w:b/>
                <w:bCs/>
                <w:lang w:eastAsia="zh-CN"/>
              </w:rPr>
            </w:pPr>
            <w:r>
              <w:rPr>
                <w:rFonts w:hint="default" w:ascii="Times New Roman" w:hAnsi="Times New Roman" w:cs="Times New Roman"/>
                <w:b/>
                <w:bCs/>
                <w:lang w:eastAsia="zh-CN"/>
              </w:rPr>
              <w:t>图</w:t>
            </w:r>
            <w:r>
              <w:rPr>
                <w:rFonts w:hint="default" w:ascii="Times New Roman" w:hAnsi="Times New Roman" w:cs="Times New Roman"/>
                <w:b/>
                <w:bCs/>
                <w:lang w:val="en-US" w:eastAsia="zh-CN"/>
              </w:rPr>
              <w:t>1-1  项目水平衡示意图（</w:t>
            </w:r>
            <w:r>
              <w:rPr>
                <w:rFonts w:hint="default" w:ascii="Times New Roman" w:hAnsi="Times New Roman" w:eastAsia="宋体" w:cs="Times New Roman"/>
                <w:b/>
                <w:bCs/>
                <w:color w:val="auto"/>
                <w:kern w:val="0"/>
                <w:sz w:val="21"/>
                <w:szCs w:val="21"/>
              </w:rPr>
              <w:t>m</w:t>
            </w:r>
            <w:r>
              <w:rPr>
                <w:rFonts w:hint="default" w:ascii="Times New Roman" w:hAnsi="Times New Roman" w:eastAsia="宋体" w:cs="Times New Roman"/>
                <w:b/>
                <w:bCs/>
                <w:color w:val="auto"/>
                <w:kern w:val="0"/>
                <w:sz w:val="21"/>
                <w:szCs w:val="21"/>
                <w:vertAlign w:val="superscript"/>
              </w:rPr>
              <w:t>3</w:t>
            </w:r>
            <w:r>
              <w:rPr>
                <w:rFonts w:hint="default" w:ascii="Times New Roman" w:hAnsi="Times New Roman" w:eastAsia="宋体" w:cs="Times New Roman"/>
                <w:b/>
                <w:bCs/>
                <w:color w:val="auto"/>
                <w:kern w:val="0"/>
                <w:sz w:val="21"/>
                <w:szCs w:val="21"/>
              </w:rPr>
              <w:t>/a</w:t>
            </w:r>
            <w:r>
              <w:rPr>
                <w:rFonts w:hint="default" w:ascii="Times New Roman" w:hAnsi="Times New Roman" w:cs="Times New Roman"/>
                <w:b/>
                <w:bCs/>
                <w:lang w:val="en-US" w:eastAsia="zh-CN"/>
              </w:rPr>
              <w:t>）</w:t>
            </w:r>
          </w:p>
          <w:p w14:paraId="3B60A9FF">
            <w:pPr>
              <w:spacing w:line="360" w:lineRule="auto"/>
              <w:ind w:firstLine="480" w:firstLineChars="200"/>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4.3</w:t>
            </w:r>
            <w:r>
              <w:rPr>
                <w:rFonts w:hint="default" w:ascii="Times New Roman" w:hAnsi="Times New Roman" w:cs="Times New Roman"/>
                <w:color w:val="auto"/>
                <w:sz w:val="24"/>
                <w:szCs w:val="24"/>
              </w:rPr>
              <w:t>供电</w:t>
            </w:r>
          </w:p>
          <w:p w14:paraId="575CE5F3">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项目电源来自市政集中供电系统，采用地埋方式铺设线路连接到配变电设施，项目的配变电设施放置在配电室内</w:t>
            </w:r>
            <w:r>
              <w:rPr>
                <w:rFonts w:hint="eastAsia" w:cs="Times New Roman"/>
                <w:color w:val="auto"/>
                <w:sz w:val="24"/>
                <w:szCs w:val="24"/>
                <w:lang w:eastAsia="zh-CN"/>
              </w:rPr>
              <w:t>，同时项目建有发电机房以便停电时为电梯供电使用。</w:t>
            </w:r>
          </w:p>
          <w:p w14:paraId="13F71AB4">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4.4</w:t>
            </w:r>
            <w:r>
              <w:rPr>
                <w:rFonts w:hint="default" w:ascii="Times New Roman" w:hAnsi="Times New Roman" w:cs="Times New Roman"/>
                <w:color w:val="auto"/>
                <w:sz w:val="24"/>
                <w:szCs w:val="24"/>
              </w:rPr>
              <w:t>燃气</w:t>
            </w:r>
          </w:p>
          <w:p w14:paraId="01665351">
            <w:pPr>
              <w:spacing w:line="360" w:lineRule="auto"/>
              <w:ind w:firstLine="480" w:firstLineChars="200"/>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本项目无天然气调压站，不设储气设备，项目所需天然气为周边已有调压站调压后的燃气，由市政燃气管道直接引入小区即可供居民及商业用气。项目所用天然气主要为居民日常生活用气。</w:t>
            </w:r>
          </w:p>
          <w:p w14:paraId="62B02AAB">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4.5</w:t>
            </w:r>
            <w:r>
              <w:rPr>
                <w:rFonts w:hint="default" w:ascii="Times New Roman" w:hAnsi="Times New Roman" w:cs="Times New Roman"/>
                <w:color w:val="auto"/>
                <w:sz w:val="24"/>
                <w:szCs w:val="24"/>
              </w:rPr>
              <w:t>消防</w:t>
            </w:r>
          </w:p>
          <w:p w14:paraId="3035360A">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项目按照《建筑设计防火规范》（GB50016-2014），项目四周道路为小区主要消防疏散通道，内不环路为主要消防通道，宽6m，能最大限度的满足消防要求，小区车型入口为消防车出入库，所有入口均为人流消防疏散口，符合规范设计的要求。</w:t>
            </w:r>
          </w:p>
          <w:p w14:paraId="70260FBC">
            <w:pPr>
              <w:widowControl/>
              <w:spacing w:line="360" w:lineRule="auto"/>
              <w:ind w:firstLine="480" w:firstLineChars="200"/>
              <w:jc w:val="left"/>
              <w:rPr>
                <w:rFonts w:hint="default" w:ascii="Times New Roman" w:hAnsi="Times New Roman" w:cs="Times New Roman"/>
                <w:b w:val="0"/>
                <w:bCs w:val="0"/>
                <w:color w:val="auto"/>
                <w:kern w:val="0"/>
                <w:sz w:val="24"/>
                <w:szCs w:val="24"/>
              </w:rPr>
            </w:pPr>
            <w:r>
              <w:rPr>
                <w:rFonts w:hint="default" w:ascii="Times New Roman" w:hAnsi="Times New Roman" w:cs="Times New Roman"/>
                <w:b w:val="0"/>
                <w:bCs w:val="0"/>
                <w:color w:val="auto"/>
                <w:sz w:val="24"/>
                <w:szCs w:val="24"/>
                <w:lang w:val="en-US" w:eastAsia="zh-CN"/>
              </w:rPr>
              <w:t>4.6</w:t>
            </w:r>
            <w:r>
              <w:rPr>
                <w:rFonts w:hint="default" w:ascii="Times New Roman" w:hAnsi="Times New Roman" w:cs="Times New Roman"/>
                <w:b w:val="0"/>
                <w:bCs w:val="0"/>
                <w:color w:val="auto"/>
                <w:kern w:val="0"/>
                <w:sz w:val="24"/>
                <w:szCs w:val="24"/>
              </w:rPr>
              <w:t>空调</w:t>
            </w:r>
            <w:r>
              <w:rPr>
                <w:rFonts w:hint="default" w:ascii="Times New Roman" w:hAnsi="Times New Roman" w:cs="Times New Roman"/>
                <w:b w:val="0"/>
                <w:bCs w:val="0"/>
                <w:color w:val="auto"/>
                <w:kern w:val="0"/>
                <w:sz w:val="24"/>
                <w:szCs w:val="24"/>
                <w:lang w:eastAsia="zh-CN"/>
              </w:rPr>
              <w:t>系统</w:t>
            </w:r>
          </w:p>
          <w:p w14:paraId="47219895">
            <w:pPr>
              <w:spacing w:line="360" w:lineRule="auto"/>
              <w:ind w:firstLine="480" w:firstLineChars="200"/>
              <w:rPr>
                <w:rFonts w:hint="default" w:ascii="Times New Roman" w:hAnsi="Times New Roman" w:cs="Times New Roman"/>
                <w:color w:val="auto"/>
                <w:kern w:val="0"/>
                <w:sz w:val="24"/>
                <w:szCs w:val="24"/>
                <w:lang w:val="en-US" w:eastAsia="zh-CN"/>
              </w:rPr>
            </w:pPr>
            <w:r>
              <w:rPr>
                <w:rFonts w:hint="default" w:ascii="Times New Roman" w:hAnsi="Times New Roman" w:cs="Times New Roman"/>
                <w:color w:val="auto"/>
                <w:sz w:val="24"/>
                <w:szCs w:val="24"/>
              </w:rPr>
              <w:t>本项目住宅空调系统由用户自行选择，制冷及采暖可采用分体式空调机，并主要以1台外机对1台内机的形式布置。项目商业用房空调系统可采用分体式空调或多联机</w:t>
            </w:r>
            <w:r>
              <w:rPr>
                <w:rFonts w:hint="default" w:ascii="Times New Roman" w:hAnsi="Times New Roman" w:cs="Times New Roman"/>
                <w:color w:val="auto"/>
                <w:sz w:val="24"/>
                <w:szCs w:val="24"/>
                <w:lang w:eastAsia="zh-CN"/>
              </w:rPr>
              <w:t>来</w:t>
            </w:r>
            <w:r>
              <w:rPr>
                <w:rFonts w:hint="default" w:ascii="Times New Roman" w:hAnsi="Times New Roman" w:cs="Times New Roman"/>
                <w:color w:val="auto"/>
                <w:sz w:val="24"/>
                <w:szCs w:val="24"/>
              </w:rPr>
              <w:t>实现夏季制冷、冬季供暖。</w:t>
            </w:r>
          </w:p>
          <w:p w14:paraId="4005BC3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lang w:val="en-US" w:eastAsia="zh-CN"/>
              </w:rPr>
              <w:t>4.7</w:t>
            </w:r>
            <w:r>
              <w:rPr>
                <w:rFonts w:hint="default" w:ascii="Times New Roman" w:hAnsi="Times New Roman" w:cs="Times New Roman"/>
                <w:color w:val="auto"/>
                <w:kern w:val="0"/>
                <w:sz w:val="24"/>
                <w:szCs w:val="24"/>
              </w:rPr>
              <w:t>通风</w:t>
            </w:r>
            <w:r>
              <w:rPr>
                <w:rFonts w:hint="default" w:ascii="Times New Roman" w:hAnsi="Times New Roman" w:cs="Times New Roman"/>
                <w:color w:val="auto"/>
                <w:kern w:val="0"/>
                <w:sz w:val="24"/>
                <w:szCs w:val="24"/>
                <w:lang w:eastAsia="zh-CN"/>
              </w:rPr>
              <w:t>系统</w:t>
            </w:r>
          </w:p>
          <w:p w14:paraId="7959D568">
            <w:pPr>
              <w:pStyle w:val="32"/>
              <w:widowControl w:val="0"/>
              <w:rPr>
                <w:rFonts w:hint="default" w:ascii="Times New Roman" w:hAnsi="Times New Roman" w:eastAsia="宋体" w:cs="Times New Roman"/>
                <w:color w:val="auto"/>
                <w:sz w:val="24"/>
                <w:szCs w:val="24"/>
              </w:rPr>
            </w:pPr>
            <w:r>
              <w:rPr>
                <w:rFonts w:hint="default" w:ascii="Times New Roman" w:hAnsi="Times New Roman" w:eastAsia="宋体" w:cs="Times New Roman"/>
              </w:rPr>
              <w:t>地下车库采用全面机械通风，设置独立的送风、排风系统。换气次数每小时不小于6次，排风机选用变速风机。排风口采用百叶窗式设计，</w:t>
            </w:r>
            <w:r>
              <w:rPr>
                <w:rFonts w:hint="default" w:ascii="Times New Roman" w:hAnsi="Times New Roman" w:eastAsia="宋体" w:cs="Times New Roman"/>
                <w:color w:val="auto"/>
              </w:rPr>
              <w:t>设置在</w:t>
            </w:r>
            <w:r>
              <w:rPr>
                <w:rFonts w:hint="eastAsia" w:eastAsia="宋体" w:cs="Times New Roman"/>
                <w:color w:val="auto"/>
                <w:lang w:eastAsia="zh-CN"/>
              </w:rPr>
              <w:t>绿地广场中间的</w:t>
            </w:r>
            <w:r>
              <w:rPr>
                <w:rFonts w:hint="default" w:ascii="Times New Roman" w:hAnsi="Times New Roman" w:eastAsia="宋体" w:cs="Times New Roman"/>
                <w:color w:val="auto"/>
              </w:rPr>
              <w:t>绿化带中，要求与周边居民楼距离在10m以上，排风口除外观美观大方外还减小了汽车尾气对居民的环境影响。</w:t>
            </w:r>
          </w:p>
          <w:p w14:paraId="5D8598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4.8油烟系统</w:t>
            </w:r>
          </w:p>
          <w:p w14:paraId="778B2EF0">
            <w:pPr>
              <w:pStyle w:val="3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rPr>
              <w:t>项目油烟</w:t>
            </w:r>
            <w:r>
              <w:rPr>
                <w:rFonts w:hint="eastAsia" w:eastAsia="宋体" w:cs="Times New Roman"/>
                <w:color w:val="auto"/>
                <w:lang w:eastAsia="zh-CN"/>
              </w:rPr>
              <w:t>主要为</w:t>
            </w:r>
            <w:r>
              <w:rPr>
                <w:rFonts w:hint="default" w:ascii="Times New Roman" w:hAnsi="Times New Roman" w:eastAsia="宋体" w:cs="Times New Roman"/>
                <w:color w:val="auto"/>
              </w:rPr>
              <w:t>居民厨房排烟</w:t>
            </w:r>
            <w:r>
              <w:rPr>
                <w:rFonts w:hint="eastAsia" w:eastAsia="宋体" w:cs="Times New Roman"/>
                <w:color w:val="auto"/>
                <w:lang w:eastAsia="zh-CN"/>
              </w:rPr>
              <w:t>，</w:t>
            </w:r>
            <w:r>
              <w:rPr>
                <w:rFonts w:hint="default" w:ascii="Times New Roman" w:hAnsi="Times New Roman" w:eastAsia="宋体" w:cs="Times New Roman"/>
                <w:color w:val="auto"/>
                <w:lang w:eastAsia="zh-CN"/>
              </w:rPr>
              <w:t>对于居民厨房排烟，</w:t>
            </w:r>
            <w:r>
              <w:rPr>
                <w:rFonts w:hint="default" w:ascii="Times New Roman" w:hAnsi="Times New Roman" w:eastAsia="宋体" w:cs="Times New Roman"/>
                <w:color w:val="auto"/>
              </w:rPr>
              <w:t>建设单位鼓励住户安装油烟净化器</w:t>
            </w:r>
            <w:r>
              <w:rPr>
                <w:rFonts w:hint="eastAsia" w:eastAsia="宋体" w:cs="Times New Roman"/>
                <w:color w:val="auto"/>
                <w:lang w:eastAsia="zh-CN"/>
              </w:rPr>
              <w:t>（建议居民油烟净化装置的净化效率至少达到</w:t>
            </w:r>
            <w:r>
              <w:rPr>
                <w:rFonts w:hint="eastAsia" w:eastAsia="宋体" w:cs="Times New Roman"/>
                <w:color w:val="auto"/>
                <w:lang w:val="en-US" w:eastAsia="zh-CN"/>
              </w:rPr>
              <w:t>80%以上</w:t>
            </w:r>
            <w:r>
              <w:rPr>
                <w:rFonts w:hint="eastAsia" w:eastAsia="宋体" w:cs="Times New Roman"/>
                <w:color w:val="auto"/>
                <w:lang w:eastAsia="zh-CN"/>
              </w:rPr>
              <w:t>）</w:t>
            </w:r>
            <w:r>
              <w:rPr>
                <w:rFonts w:hint="default" w:ascii="Times New Roman" w:hAnsi="Times New Roman" w:eastAsia="宋体" w:cs="Times New Roman"/>
                <w:color w:val="auto"/>
              </w:rPr>
              <w:t>，并</w:t>
            </w:r>
            <w:r>
              <w:rPr>
                <w:rFonts w:hint="eastAsia" w:eastAsia="宋体" w:cs="Times New Roman"/>
                <w:color w:val="auto"/>
                <w:lang w:eastAsia="zh-CN"/>
              </w:rPr>
              <w:t>每一户</w:t>
            </w:r>
            <w:r>
              <w:rPr>
                <w:rFonts w:hint="default" w:ascii="Times New Roman" w:hAnsi="Times New Roman" w:eastAsia="宋体" w:cs="Times New Roman"/>
                <w:color w:val="auto"/>
              </w:rPr>
              <w:t>提前预留</w:t>
            </w:r>
            <w:r>
              <w:rPr>
                <w:rFonts w:hint="eastAsia" w:eastAsia="宋体" w:cs="Times New Roman"/>
                <w:color w:val="auto"/>
                <w:lang w:eastAsia="zh-CN"/>
              </w:rPr>
              <w:t>油烟净化器的</w:t>
            </w:r>
            <w:r>
              <w:rPr>
                <w:rFonts w:hint="default" w:ascii="Times New Roman" w:hAnsi="Times New Roman" w:eastAsia="宋体" w:cs="Times New Roman"/>
                <w:color w:val="auto"/>
              </w:rPr>
              <w:t>安装位置，</w:t>
            </w:r>
            <w:r>
              <w:rPr>
                <w:rFonts w:hint="eastAsia" w:eastAsia="宋体" w:cs="Times New Roman"/>
                <w:color w:val="auto"/>
                <w:lang w:eastAsia="zh-CN"/>
              </w:rPr>
              <w:t>在每一栋住宅楼设置有</w:t>
            </w:r>
            <w:r>
              <w:rPr>
                <w:rFonts w:hint="default" w:ascii="Times New Roman" w:hAnsi="Times New Roman" w:eastAsia="宋体" w:cs="Times New Roman"/>
                <w:color w:val="auto"/>
              </w:rPr>
              <w:t>内置式排油烟道</w:t>
            </w:r>
            <w:r>
              <w:rPr>
                <w:rFonts w:hint="eastAsia" w:eastAsia="宋体" w:cs="Times New Roman"/>
                <w:color w:val="auto"/>
                <w:lang w:eastAsia="zh-CN"/>
              </w:rPr>
              <w:t>，</w:t>
            </w:r>
            <w:r>
              <w:rPr>
                <w:rFonts w:hint="default" w:ascii="Times New Roman" w:hAnsi="Times New Roman" w:eastAsia="宋体" w:cs="Times New Roman"/>
                <w:color w:val="auto"/>
              </w:rPr>
              <w:t>居民厨房</w:t>
            </w:r>
            <w:r>
              <w:rPr>
                <w:rFonts w:hint="default" w:ascii="Times New Roman" w:hAnsi="Times New Roman" w:eastAsia="宋体" w:cs="Times New Roman"/>
                <w:color w:val="auto"/>
                <w:lang w:eastAsia="zh-CN"/>
              </w:rPr>
              <w:t>油烟</w:t>
            </w:r>
            <w:r>
              <w:rPr>
                <w:rFonts w:hint="default" w:ascii="Times New Roman" w:hAnsi="Times New Roman" w:eastAsia="宋体" w:cs="Times New Roman"/>
                <w:color w:val="auto"/>
              </w:rPr>
              <w:t>经油烟净化装置净化后</w:t>
            </w:r>
            <w:r>
              <w:rPr>
                <w:rFonts w:hint="eastAsia" w:eastAsia="宋体" w:cs="Times New Roman"/>
                <w:color w:val="auto"/>
                <w:lang w:eastAsia="zh-CN"/>
              </w:rPr>
              <w:t>可</w:t>
            </w:r>
            <w:r>
              <w:rPr>
                <w:rFonts w:hint="default" w:ascii="Times New Roman" w:hAnsi="Times New Roman" w:eastAsia="宋体" w:cs="Times New Roman"/>
                <w:color w:val="auto"/>
              </w:rPr>
              <w:t>通过内置式排油烟道引至各楼栋屋顶排放</w:t>
            </w:r>
            <w:r>
              <w:rPr>
                <w:rFonts w:hint="default" w:ascii="Times New Roman" w:hAnsi="Times New Roman" w:eastAsia="宋体" w:cs="Times New Roman"/>
                <w:color w:val="auto"/>
                <w:kern w:val="0"/>
                <w:sz w:val="24"/>
                <w:szCs w:val="24"/>
                <w:lang w:eastAsia="zh-CN"/>
              </w:rPr>
              <w:t>。</w:t>
            </w:r>
          </w:p>
          <w:p w14:paraId="660D4122">
            <w:pPr>
              <w:pStyle w:val="32"/>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rPr>
            </w:pPr>
            <w:r>
              <w:rPr>
                <w:rFonts w:hint="default" w:ascii="Times New Roman" w:hAnsi="Times New Roman" w:cs="Times New Roman"/>
                <w:color w:val="auto"/>
                <w:sz w:val="24"/>
                <w:szCs w:val="24"/>
                <w:lang w:val="en-US" w:eastAsia="zh-CN"/>
              </w:rPr>
              <w:t>4.9</w:t>
            </w:r>
            <w:r>
              <w:rPr>
                <w:rFonts w:hint="default" w:ascii="Times New Roman" w:hAnsi="Times New Roman" w:eastAsia="宋体" w:cs="Times New Roman"/>
                <w:color w:val="auto"/>
              </w:rPr>
              <w:t>垃圾收集系统</w:t>
            </w:r>
          </w:p>
          <w:p w14:paraId="45858D50">
            <w:pPr>
              <w:pStyle w:val="32"/>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rPr>
              <w:t>根据本项目垃圾定点、定时收集的策略，项目垃圾收集系统分散布置</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在每栋住宅楼前设置垃圾收集桶</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收集桶</w:t>
            </w:r>
            <w:r>
              <w:rPr>
                <w:rFonts w:hint="eastAsia" w:eastAsia="宋体" w:cs="Times New Roman"/>
                <w:color w:val="auto"/>
                <w:lang w:eastAsia="zh-CN"/>
              </w:rPr>
              <w:t>的垃圾</w:t>
            </w:r>
            <w:r>
              <w:rPr>
                <w:rFonts w:hint="default" w:ascii="Times New Roman" w:hAnsi="Times New Roman" w:eastAsia="宋体" w:cs="Times New Roman"/>
                <w:color w:val="auto"/>
              </w:rPr>
              <w:t>每日</w:t>
            </w:r>
            <w:r>
              <w:rPr>
                <w:rFonts w:hint="eastAsia" w:eastAsia="宋体" w:cs="Times New Roman"/>
                <w:color w:val="auto"/>
                <w:lang w:eastAsia="zh-CN"/>
              </w:rPr>
              <w:t>由物业负责清运到垃圾房存放。垃圾房的垃圾则</w:t>
            </w:r>
            <w:r>
              <w:rPr>
                <w:rFonts w:hint="default" w:ascii="Times New Roman" w:hAnsi="Times New Roman" w:eastAsia="宋体" w:cs="Times New Roman"/>
                <w:color w:val="auto"/>
              </w:rPr>
              <w:t>由环卫部门</w:t>
            </w:r>
            <w:r>
              <w:rPr>
                <w:rFonts w:hint="eastAsia" w:eastAsia="宋体" w:cs="Times New Roman"/>
                <w:color w:val="auto"/>
                <w:lang w:eastAsia="zh-CN"/>
              </w:rPr>
              <w:t>定期</w:t>
            </w:r>
            <w:r>
              <w:rPr>
                <w:rFonts w:hint="default" w:ascii="Times New Roman" w:hAnsi="Times New Roman" w:eastAsia="宋体" w:cs="Times New Roman"/>
                <w:color w:val="auto"/>
              </w:rPr>
              <w:t>清运</w:t>
            </w:r>
            <w:r>
              <w:rPr>
                <w:rFonts w:hint="eastAsia" w:eastAsia="宋体" w:cs="Times New Roman"/>
                <w:color w:val="auto"/>
                <w:lang w:eastAsia="zh-CN"/>
              </w:rPr>
              <w:t>。</w:t>
            </w:r>
          </w:p>
          <w:p w14:paraId="701EC59D">
            <w:pPr>
              <w:keepNext w:val="0"/>
              <w:keepLines w:val="0"/>
              <w:widowControl/>
              <w:suppressLineNumbers w:val="0"/>
              <w:spacing w:before="0" w:beforeAutospacing="0" w:after="0" w:afterAutospacing="0" w:line="360" w:lineRule="auto"/>
              <w:ind w:left="0" w:right="0" w:firstLine="562" w:firstLineChars="200"/>
              <w:jc w:val="left"/>
              <w:rPr>
                <w:rFonts w:hint="default" w:ascii="Times New Roman" w:hAnsi="Times New Roman" w:cs="Times New Roman" w:eastAsiaTheme="minorEastAsia"/>
                <w:b/>
                <w:color w:val="auto"/>
                <w:kern w:val="0"/>
                <w:sz w:val="28"/>
                <w:szCs w:val="28"/>
              </w:rPr>
            </w:pPr>
            <w:r>
              <w:rPr>
                <w:rFonts w:hint="default" w:ascii="Times New Roman" w:hAnsi="Times New Roman" w:cs="Times New Roman" w:eastAsiaTheme="minorEastAsia"/>
                <w:b/>
                <w:color w:val="auto"/>
                <w:kern w:val="0"/>
                <w:sz w:val="28"/>
                <w:szCs w:val="28"/>
              </w:rPr>
              <w:t>四、总图布置合理性分析</w:t>
            </w:r>
          </w:p>
          <w:p w14:paraId="03872E65">
            <w:pPr>
              <w:spacing w:line="360" w:lineRule="auto"/>
              <w:ind w:firstLine="482" w:firstLineChars="20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lang w:val="en-US" w:eastAsia="zh-CN"/>
              </w:rPr>
              <w:t>1、</w:t>
            </w:r>
            <w:r>
              <w:rPr>
                <w:rFonts w:hint="default" w:ascii="Times New Roman" w:hAnsi="Times New Roman" w:cs="Times New Roman"/>
                <w:b/>
                <w:bCs/>
                <w:color w:val="auto"/>
                <w:sz w:val="24"/>
                <w:szCs w:val="24"/>
              </w:rPr>
              <w:t>总体布局</w:t>
            </w:r>
          </w:p>
          <w:p w14:paraId="22B3737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szCs w:val="24"/>
              </w:rPr>
              <w:t>本项目位于</w:t>
            </w:r>
            <w:r>
              <w:rPr>
                <w:rFonts w:hint="eastAsia" w:cs="Times New Roman"/>
                <w:color w:val="auto"/>
                <w:sz w:val="24"/>
                <w:szCs w:val="24"/>
                <w:vertAlign w:val="baseline"/>
                <w:lang w:eastAsia="zh-CN"/>
              </w:rPr>
              <w:t>鄂州市葛店开发区三号工业区</w:t>
            </w:r>
            <w:r>
              <w:rPr>
                <w:rFonts w:hint="default" w:ascii="Times New Roman" w:hAnsi="Times New Roman" w:cs="Times New Roman"/>
                <w:color w:val="auto"/>
                <w:sz w:val="24"/>
                <w:szCs w:val="24"/>
              </w:rPr>
              <w:t>，地块形状规整。</w:t>
            </w:r>
            <w:r>
              <w:rPr>
                <w:rFonts w:hint="default" w:ascii="Times New Roman" w:hAnsi="Times New Roman" w:cs="Times New Roman"/>
                <w:color w:val="auto"/>
                <w:sz w:val="24"/>
                <w:szCs w:val="24"/>
                <w:lang w:eastAsia="zh-CN"/>
              </w:rPr>
              <w:t>项目</w:t>
            </w:r>
            <w:r>
              <w:rPr>
                <w:rFonts w:hint="eastAsia" w:cs="Times New Roman"/>
                <w:color w:val="auto"/>
                <w:sz w:val="24"/>
                <w:szCs w:val="24"/>
                <w:lang w:eastAsia="zh-CN"/>
              </w:rPr>
              <w:t>的地上建筑按照东西轴对称，</w:t>
            </w:r>
            <w:r>
              <w:rPr>
                <w:rFonts w:hint="eastAsia" w:cs="Times New Roman"/>
                <w:color w:val="auto"/>
                <w:sz w:val="24"/>
                <w:szCs w:val="24"/>
                <w:lang w:val="en-US" w:eastAsia="zh-CN"/>
              </w:rPr>
              <w:t>项目的1</w:t>
            </w:r>
            <w:r>
              <w:rPr>
                <w:rFonts w:hint="default" w:ascii="Times New Roman" w:hAnsi="Times New Roman" w:eastAsia="宋体" w:cs="Times New Roman"/>
                <w:bCs/>
                <w:color w:val="auto"/>
                <w:kern w:val="0"/>
                <w:sz w:val="24"/>
                <w:szCs w:val="24"/>
              </w:rPr>
              <w:t>#</w:t>
            </w:r>
            <w:r>
              <w:rPr>
                <w:rFonts w:hint="eastAsia" w:cs="Times New Roman"/>
                <w:bCs/>
                <w:color w:val="auto"/>
                <w:kern w:val="0"/>
                <w:sz w:val="24"/>
                <w:szCs w:val="24"/>
                <w:lang w:eastAsia="zh-CN"/>
              </w:rPr>
              <w:t>、</w:t>
            </w:r>
            <w:r>
              <w:rPr>
                <w:rFonts w:hint="eastAsia" w:cs="Times New Roman"/>
                <w:bCs/>
                <w:color w:val="auto"/>
                <w:kern w:val="0"/>
                <w:sz w:val="24"/>
                <w:szCs w:val="24"/>
                <w:lang w:val="en-US" w:eastAsia="zh-CN"/>
              </w:rPr>
              <w:t>4</w:t>
            </w:r>
            <w:r>
              <w:rPr>
                <w:rFonts w:hint="default" w:ascii="Times New Roman" w:hAnsi="Times New Roman" w:eastAsia="宋体" w:cs="Times New Roman"/>
                <w:bCs/>
                <w:color w:val="auto"/>
                <w:kern w:val="0"/>
                <w:sz w:val="24"/>
                <w:szCs w:val="24"/>
                <w:lang w:val="en-US" w:eastAsia="zh-CN"/>
              </w:rPr>
              <w:t>#</w:t>
            </w:r>
            <w:r>
              <w:rPr>
                <w:rFonts w:hint="eastAsia" w:cs="Times New Roman"/>
                <w:bCs/>
                <w:color w:val="auto"/>
                <w:kern w:val="0"/>
                <w:sz w:val="24"/>
                <w:szCs w:val="24"/>
                <w:lang w:val="en-US" w:eastAsia="zh-CN"/>
              </w:rPr>
              <w:t>楼承轴对称，2</w:t>
            </w:r>
            <w:r>
              <w:rPr>
                <w:rFonts w:hint="default" w:ascii="Times New Roman" w:hAnsi="Times New Roman" w:eastAsia="宋体" w:cs="Times New Roman"/>
                <w:bCs/>
                <w:color w:val="auto"/>
                <w:kern w:val="0"/>
                <w:sz w:val="24"/>
                <w:szCs w:val="24"/>
                <w:lang w:val="en-US" w:eastAsia="zh-CN"/>
              </w:rPr>
              <w:t>#、</w:t>
            </w:r>
            <w:r>
              <w:rPr>
                <w:rFonts w:hint="eastAsia" w:cs="Times New Roman"/>
                <w:bCs/>
                <w:color w:val="auto"/>
                <w:kern w:val="0"/>
                <w:sz w:val="24"/>
                <w:szCs w:val="24"/>
                <w:lang w:val="en-US" w:eastAsia="zh-CN"/>
              </w:rPr>
              <w:t>3</w:t>
            </w:r>
            <w:r>
              <w:rPr>
                <w:rFonts w:hint="default" w:ascii="Times New Roman" w:hAnsi="Times New Roman" w:eastAsia="宋体" w:cs="Times New Roman"/>
                <w:bCs/>
                <w:color w:val="auto"/>
                <w:kern w:val="0"/>
                <w:sz w:val="24"/>
                <w:szCs w:val="24"/>
                <w:lang w:val="en-US" w:eastAsia="zh-CN"/>
              </w:rPr>
              <w:t>#</w:t>
            </w:r>
            <w:r>
              <w:rPr>
                <w:rFonts w:hint="eastAsia" w:cs="Times New Roman"/>
                <w:bCs/>
                <w:color w:val="auto"/>
                <w:kern w:val="0"/>
                <w:sz w:val="24"/>
                <w:szCs w:val="24"/>
                <w:lang w:val="en-US" w:eastAsia="zh-CN"/>
              </w:rPr>
              <w:t>楼承轴对称，</w:t>
            </w:r>
            <w:r>
              <w:rPr>
                <w:rFonts w:hint="default" w:ascii="Times New Roman" w:hAnsi="Times New Roman" w:cs="Times New Roman"/>
                <w:color w:val="auto"/>
                <w:kern w:val="0"/>
                <w:sz w:val="24"/>
                <w:szCs w:val="24"/>
              </w:rPr>
              <w:t>项目商铺</w:t>
            </w:r>
            <w:r>
              <w:rPr>
                <w:rFonts w:hint="eastAsia" w:cs="Times New Roman"/>
                <w:color w:val="auto"/>
                <w:kern w:val="0"/>
                <w:sz w:val="24"/>
                <w:szCs w:val="24"/>
                <w:lang w:eastAsia="zh-CN"/>
              </w:rPr>
              <w:t>环项目地块北、西、南侧建设，</w:t>
            </w:r>
            <w:r>
              <w:rPr>
                <w:rFonts w:hint="eastAsia" w:cs="Times New Roman"/>
                <w:color w:val="auto"/>
                <w:sz w:val="24"/>
                <w:szCs w:val="24"/>
                <w:lang w:val="en-US" w:eastAsia="zh-CN"/>
              </w:rPr>
              <w:t>住宅楼之间都隔着绿地广场，整个中心绿地广场将项目住宅楼连接起来形成一个整体。</w:t>
            </w:r>
            <w:r>
              <w:rPr>
                <w:rFonts w:hint="default" w:ascii="Times New Roman" w:hAnsi="Times New Roman" w:cs="Times New Roman"/>
                <w:color w:val="auto"/>
                <w:sz w:val="24"/>
                <w:lang w:eastAsia="zh-CN"/>
              </w:rPr>
              <w:t>从整体布局可以看出</w:t>
            </w:r>
            <w:r>
              <w:rPr>
                <w:rFonts w:hint="default" w:ascii="Times New Roman" w:hAnsi="Times New Roman" w:cs="Times New Roman"/>
                <w:color w:val="auto"/>
                <w:sz w:val="24"/>
              </w:rPr>
              <w:t>小区</w:t>
            </w:r>
            <w:r>
              <w:rPr>
                <w:rFonts w:hint="default" w:ascii="Times New Roman" w:hAnsi="Times New Roman" w:cs="Times New Roman"/>
                <w:color w:val="auto"/>
                <w:sz w:val="24"/>
                <w:lang w:eastAsia="zh-CN"/>
              </w:rPr>
              <w:t>的</w:t>
            </w:r>
            <w:r>
              <w:rPr>
                <w:rFonts w:hint="default" w:ascii="Times New Roman" w:hAnsi="Times New Roman" w:cs="Times New Roman"/>
                <w:color w:val="auto"/>
                <w:sz w:val="24"/>
              </w:rPr>
              <w:t>建筑群体点板结合，错落有致。规划住宅掩映其中，建筑、环境、空间完美结合，小区通过主入口及中央人文景观主轴，到达中央核心景观区</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使每栋建筑物都拥有良好的中心花园景观享受，体现了</w:t>
            </w:r>
            <w:r>
              <w:rPr>
                <w:rFonts w:hint="eastAsia" w:asciiTheme="minorEastAsia" w:hAnsiTheme="minorEastAsia" w:eastAsiaTheme="minorEastAsia" w:cstheme="minorEastAsia"/>
                <w:color w:val="auto"/>
                <w:sz w:val="24"/>
              </w:rPr>
              <w:t>“均好性”</w:t>
            </w:r>
            <w:r>
              <w:rPr>
                <w:rFonts w:hint="default" w:ascii="Times New Roman" w:hAnsi="Times New Roman" w:cs="Times New Roman"/>
                <w:color w:val="auto"/>
                <w:sz w:val="24"/>
              </w:rPr>
              <w:t>设计及景观利用最大化原则。因此</w:t>
            </w:r>
            <w:r>
              <w:rPr>
                <w:rFonts w:hint="eastAsia" w:cs="Times New Roman"/>
                <w:color w:val="auto"/>
                <w:sz w:val="24"/>
                <w:lang w:eastAsia="zh-CN"/>
              </w:rPr>
              <w:t>，</w:t>
            </w:r>
            <w:r>
              <w:rPr>
                <w:rFonts w:hint="default" w:ascii="Times New Roman" w:hAnsi="Times New Roman" w:cs="Times New Roman"/>
                <w:color w:val="auto"/>
                <w:sz w:val="24"/>
              </w:rPr>
              <w:t>项目总体布局</w:t>
            </w:r>
            <w:r>
              <w:rPr>
                <w:rFonts w:hint="eastAsia" w:cs="Times New Roman"/>
                <w:color w:val="auto"/>
                <w:sz w:val="24"/>
                <w:lang w:eastAsia="zh-CN"/>
              </w:rPr>
              <w:t>是</w:t>
            </w:r>
            <w:r>
              <w:rPr>
                <w:rFonts w:hint="default" w:ascii="Times New Roman" w:hAnsi="Times New Roman" w:cs="Times New Roman"/>
                <w:color w:val="auto"/>
                <w:sz w:val="24"/>
              </w:rPr>
              <w:t>合理</w:t>
            </w:r>
            <w:r>
              <w:rPr>
                <w:rFonts w:hint="eastAsia" w:cs="Times New Roman"/>
                <w:color w:val="auto"/>
                <w:sz w:val="24"/>
                <w:lang w:eastAsia="zh-CN"/>
              </w:rPr>
              <w:t>的</w:t>
            </w:r>
            <w:r>
              <w:rPr>
                <w:rFonts w:hint="default" w:ascii="Times New Roman" w:hAnsi="Times New Roman" w:cs="Times New Roman"/>
                <w:color w:val="auto"/>
                <w:sz w:val="24"/>
              </w:rPr>
              <w:t>。</w:t>
            </w:r>
          </w:p>
          <w:p w14:paraId="1EEECB94">
            <w:pPr>
              <w:spacing w:line="360" w:lineRule="auto"/>
              <w:ind w:firstLine="482" w:firstLineChars="20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lang w:val="en-US" w:eastAsia="zh-CN"/>
              </w:rPr>
              <w:t>2、</w:t>
            </w:r>
            <w:r>
              <w:rPr>
                <w:rFonts w:hint="default" w:ascii="Times New Roman" w:hAnsi="Times New Roman" w:cs="Times New Roman"/>
                <w:b/>
                <w:bCs/>
                <w:color w:val="auto"/>
                <w:sz w:val="24"/>
                <w:szCs w:val="24"/>
              </w:rPr>
              <w:t>交通组织</w:t>
            </w:r>
          </w:p>
          <w:p w14:paraId="45C2C566">
            <w:pPr>
              <w:spacing w:line="360" w:lineRule="auto"/>
              <w:ind w:firstLine="480" w:firstLineChars="200"/>
              <w:rPr>
                <w:rFonts w:hint="default" w:ascii="Times New Roman" w:hAnsi="Times New Roman" w:cs="Times New Roman"/>
                <w:sz w:val="24"/>
                <w:lang w:eastAsia="zh-CN"/>
              </w:rPr>
            </w:pPr>
            <w:r>
              <w:rPr>
                <w:rFonts w:hint="default" w:ascii="Times New Roman" w:hAnsi="Times New Roman" w:cs="Times New Roman"/>
                <w:sz w:val="24"/>
              </w:rPr>
              <w:t>本项目</w:t>
            </w:r>
            <w:r>
              <w:rPr>
                <w:rFonts w:hint="eastAsia" w:cs="Times New Roman"/>
                <w:sz w:val="24"/>
                <w:lang w:eastAsia="zh-CN"/>
              </w:rPr>
              <w:t>四面环路</w:t>
            </w:r>
            <w:r>
              <w:rPr>
                <w:rFonts w:hint="default" w:ascii="Times New Roman" w:hAnsi="Times New Roman" w:cs="Times New Roman"/>
                <w:sz w:val="24"/>
              </w:rPr>
              <w:t>，小区</w:t>
            </w:r>
            <w:r>
              <w:rPr>
                <w:rFonts w:hint="eastAsia" w:cs="Times New Roman"/>
                <w:sz w:val="24"/>
                <w:lang w:eastAsia="zh-CN"/>
              </w:rPr>
              <w:t>在西面设置了</w:t>
            </w:r>
            <w:r>
              <w:rPr>
                <w:rFonts w:hint="default" w:ascii="Times New Roman" w:hAnsi="Times New Roman" w:cs="Times New Roman"/>
                <w:sz w:val="24"/>
              </w:rPr>
              <w:t>小区</w:t>
            </w:r>
            <w:r>
              <w:rPr>
                <w:rFonts w:hint="eastAsia" w:cs="Times New Roman"/>
                <w:sz w:val="24"/>
                <w:lang w:eastAsia="zh-CN"/>
              </w:rPr>
              <w:t>主要</w:t>
            </w:r>
            <w:r>
              <w:rPr>
                <w:rFonts w:hint="default" w:ascii="Times New Roman" w:hAnsi="Times New Roman" w:cs="Times New Roman"/>
                <w:sz w:val="24"/>
                <w:lang w:eastAsia="zh-CN"/>
              </w:rPr>
              <w:t>出</w:t>
            </w:r>
            <w:r>
              <w:rPr>
                <w:rFonts w:hint="default" w:ascii="Times New Roman" w:hAnsi="Times New Roman" w:cs="Times New Roman"/>
                <w:sz w:val="24"/>
              </w:rPr>
              <w:t>入口</w:t>
            </w:r>
            <w:r>
              <w:rPr>
                <w:rFonts w:hint="default" w:ascii="Times New Roman" w:hAnsi="Times New Roman" w:cs="Times New Roman"/>
                <w:sz w:val="24"/>
                <w:lang w:eastAsia="zh-CN"/>
              </w:rPr>
              <w:t>，</w:t>
            </w:r>
            <w:r>
              <w:rPr>
                <w:rFonts w:hint="default" w:ascii="Times New Roman" w:hAnsi="Times New Roman" w:cs="Times New Roman"/>
                <w:sz w:val="24"/>
              </w:rPr>
              <w:t>小区</w:t>
            </w:r>
            <w:r>
              <w:rPr>
                <w:rFonts w:hint="default" w:ascii="Times New Roman" w:hAnsi="Times New Roman" w:cs="Times New Roman"/>
                <w:sz w:val="24"/>
                <w:lang w:eastAsia="zh-CN"/>
              </w:rPr>
              <w:t>采用环形的</w:t>
            </w:r>
            <w:r>
              <w:rPr>
                <w:rFonts w:hint="default" w:ascii="Times New Roman" w:hAnsi="Times New Roman" w:cs="Times New Roman"/>
                <w:sz w:val="24"/>
              </w:rPr>
              <w:t>车行道</w:t>
            </w:r>
            <w:r>
              <w:rPr>
                <w:rFonts w:hint="default" w:ascii="Times New Roman" w:hAnsi="Times New Roman" w:cs="Times New Roman"/>
                <w:sz w:val="24"/>
                <w:lang w:eastAsia="zh-CN"/>
              </w:rPr>
              <w:t>和人行道，同时</w:t>
            </w:r>
            <w:r>
              <w:rPr>
                <w:rFonts w:hint="default" w:ascii="Times New Roman" w:hAnsi="Times New Roman" w:cs="Times New Roman"/>
                <w:sz w:val="24"/>
              </w:rPr>
              <w:t>内部结合景观设置隐形消防环道</w:t>
            </w:r>
            <w:r>
              <w:rPr>
                <w:rFonts w:hint="default" w:ascii="Times New Roman" w:hAnsi="Times New Roman" w:cs="Times New Roman"/>
                <w:sz w:val="24"/>
                <w:lang w:eastAsia="zh-CN"/>
              </w:rPr>
              <w:t>，这样</w:t>
            </w:r>
            <w:r>
              <w:rPr>
                <w:rFonts w:hint="default" w:ascii="Times New Roman" w:hAnsi="Times New Roman" w:cs="Times New Roman"/>
                <w:sz w:val="24"/>
              </w:rPr>
              <w:t>合理的道路系统设置，</w:t>
            </w:r>
            <w:r>
              <w:rPr>
                <w:rFonts w:hint="default" w:ascii="Times New Roman" w:hAnsi="Times New Roman" w:cs="Times New Roman"/>
                <w:sz w:val="24"/>
                <w:lang w:eastAsia="zh-CN"/>
              </w:rPr>
              <w:t>实现了</w:t>
            </w:r>
            <w:r>
              <w:rPr>
                <w:rFonts w:hint="default" w:ascii="Times New Roman" w:hAnsi="Times New Roman" w:cs="Times New Roman"/>
                <w:sz w:val="24"/>
              </w:rPr>
              <w:t>小区内的人车分流，</w:t>
            </w:r>
            <w:r>
              <w:rPr>
                <w:rFonts w:hint="default" w:ascii="Times New Roman" w:hAnsi="Times New Roman" w:cs="Times New Roman"/>
                <w:sz w:val="24"/>
                <w:lang w:eastAsia="zh-CN"/>
              </w:rPr>
              <w:t>使小区交通</w:t>
            </w:r>
            <w:r>
              <w:rPr>
                <w:rFonts w:hint="default" w:ascii="Times New Roman" w:hAnsi="Times New Roman" w:cs="Times New Roman"/>
                <w:sz w:val="24"/>
              </w:rPr>
              <w:t>安全畅通、便于管理</w:t>
            </w:r>
            <w:r>
              <w:rPr>
                <w:rFonts w:hint="default" w:ascii="Times New Roman" w:hAnsi="Times New Roman" w:cs="Times New Roman"/>
                <w:sz w:val="24"/>
                <w:lang w:eastAsia="zh-CN"/>
              </w:rPr>
              <w:t>。</w:t>
            </w:r>
            <w:r>
              <w:rPr>
                <w:rFonts w:hint="default" w:ascii="Times New Roman" w:hAnsi="Times New Roman" w:cs="Times New Roman"/>
                <w:sz w:val="24"/>
              </w:rPr>
              <w:t>同时小区出入口交通组织与小区</w:t>
            </w:r>
            <w:r>
              <w:rPr>
                <w:rFonts w:hint="default" w:ascii="Times New Roman" w:hAnsi="Times New Roman" w:cs="Times New Roman"/>
                <w:sz w:val="24"/>
                <w:lang w:eastAsia="zh-CN"/>
              </w:rPr>
              <w:t>出</w:t>
            </w:r>
            <w:r>
              <w:rPr>
                <w:rFonts w:hint="default" w:ascii="Times New Roman" w:hAnsi="Times New Roman" w:cs="Times New Roman"/>
                <w:sz w:val="24"/>
              </w:rPr>
              <w:t>入口对景效果相结合，将道路设计与广场空间，绿地空间与建筑空间相结合，共同塑造户外空间景观。静态交通规划也是本次规划设计的重要方面，适应小汽车的日益增长，充分考虑地形，合理的进行停车场的安排，机动车停车主要以地下室停车和小区道路边停车相互结合的方式</w:t>
            </w:r>
            <w:r>
              <w:rPr>
                <w:rFonts w:hint="default" w:ascii="Times New Roman" w:hAnsi="Times New Roman" w:cs="Times New Roman"/>
                <w:sz w:val="24"/>
                <w:lang w:eastAsia="zh-CN"/>
              </w:rPr>
              <w:t>。</w:t>
            </w:r>
          </w:p>
          <w:p w14:paraId="2E4009F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Times New Roman" w:hAnsi="Times New Roman" w:eastAsia="宋体" w:cs="Times New Roman"/>
                <w:b/>
                <w:bCs/>
                <w:color w:val="auto"/>
                <w:sz w:val="28"/>
                <w:szCs w:val="28"/>
                <w:lang w:val="en-US" w:eastAsia="zh-CN"/>
              </w:rPr>
            </w:pPr>
            <w:r>
              <w:rPr>
                <w:rFonts w:hint="default" w:ascii="Times New Roman" w:hAnsi="Times New Roman" w:eastAsia="宋体" w:cs="Times New Roman"/>
                <w:b/>
                <w:bCs/>
                <w:color w:val="auto"/>
                <w:sz w:val="28"/>
                <w:szCs w:val="28"/>
                <w:lang w:eastAsia="zh-CN"/>
              </w:rPr>
              <w:t>五、</w:t>
            </w:r>
            <w:r>
              <w:rPr>
                <w:rFonts w:hint="default" w:ascii="Times New Roman" w:hAnsi="Times New Roman" w:eastAsia="宋体" w:cs="Times New Roman"/>
                <w:b/>
                <w:bCs/>
                <w:color w:val="auto"/>
                <w:sz w:val="28"/>
                <w:szCs w:val="28"/>
                <w:lang w:val="en-US" w:eastAsia="zh-CN"/>
              </w:rPr>
              <w:t>产业政策及相关规划符合性</w:t>
            </w:r>
          </w:p>
          <w:p w14:paraId="0E8B82F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1、产业政策符合性分析</w:t>
            </w:r>
          </w:p>
          <w:p w14:paraId="61F9C749">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cs="Times New Roman"/>
                <w:color w:val="auto"/>
                <w:sz w:val="24"/>
                <w:szCs w:val="24"/>
                <w:lang w:eastAsia="zh-CN"/>
              </w:rPr>
              <w:t>本项目为房地产开发项目</w:t>
            </w:r>
            <w:r>
              <w:rPr>
                <w:rFonts w:hint="default" w:ascii="Times New Roman" w:hAnsi="Times New Roman" w:cs="Times New Roman"/>
                <w:color w:val="auto"/>
                <w:sz w:val="24"/>
                <w:szCs w:val="24"/>
              </w:rPr>
              <w:t>不属于国家发改委《产业结构调整指导目录（2011年本）（2013年修正）》中限制类和淘汰类，属允许类。</w:t>
            </w:r>
            <w:r>
              <w:rPr>
                <w:rFonts w:hint="default" w:ascii="Times New Roman" w:hAnsi="Times New Roman" w:eastAsia="宋体" w:cs="Times New Roman"/>
                <w:b w:val="0"/>
                <w:color w:val="auto"/>
                <w:kern w:val="2"/>
                <w:sz w:val="24"/>
                <w:szCs w:val="24"/>
                <w:lang w:val="en-US" w:eastAsia="zh-CN" w:bidi="ar-SA"/>
              </w:rPr>
              <w:t>同时根据《鄂州市葛店科技新城总体规划（2006</w:t>
            </w:r>
            <w:r>
              <w:rPr>
                <w:rFonts w:hint="eastAsia" w:ascii="Times New Roman" w:hAnsi="Times New Roman" w:eastAsia="宋体" w:cs="Times New Roman"/>
                <w:b w:val="0"/>
                <w:color w:val="auto"/>
                <w:kern w:val="2"/>
                <w:sz w:val="24"/>
                <w:szCs w:val="24"/>
                <w:lang w:val="en-US" w:eastAsia="zh-CN" w:bidi="ar-SA"/>
              </w:rPr>
              <w:t>~</w:t>
            </w:r>
            <w:r>
              <w:rPr>
                <w:rFonts w:hint="default" w:ascii="Times New Roman" w:hAnsi="Times New Roman" w:eastAsia="宋体" w:cs="Times New Roman"/>
                <w:b w:val="0"/>
                <w:color w:val="auto"/>
                <w:kern w:val="2"/>
                <w:sz w:val="24"/>
                <w:szCs w:val="24"/>
                <w:lang w:val="en-US" w:eastAsia="zh-CN" w:bidi="ar-SA"/>
              </w:rPr>
              <w:t>2020年）</w:t>
            </w:r>
            <w:r>
              <w:rPr>
                <w:rFonts w:hint="default" w:ascii="Times New Roman" w:hAnsi="Times New Roman" w:eastAsia="宋体" w:cs="Times New Roman"/>
                <w:b w:val="0"/>
                <w:color w:val="auto"/>
                <w:kern w:val="2"/>
                <w:sz w:val="24"/>
                <w:szCs w:val="24"/>
                <w:vertAlign w:val="baseline"/>
                <w:lang w:val="en-US" w:eastAsia="zh-CN" w:bidi="ar-SA"/>
              </w:rPr>
              <w:t>》文件中葛店科技新城主导产业定位中现代商住要求：</w:t>
            </w:r>
            <w:r>
              <w:rPr>
                <w:rFonts w:hint="default" w:ascii="Times New Roman" w:hAnsi="Times New Roman" w:eastAsia="宋体" w:cs="Times New Roman"/>
                <w:b w:val="0"/>
                <w:i w:val="0"/>
                <w:caps w:val="0"/>
                <w:color w:val="auto"/>
                <w:spacing w:val="0"/>
                <w:sz w:val="24"/>
                <w:szCs w:val="24"/>
                <w:shd w:val="clear" w:fill="FFFFFF"/>
              </w:rPr>
              <w:t>一方面对接配套化工新城的居住服务功能，另一方面发挥自然条件优势,在南部的湖系周边地区，大力发展房地产业,吸引武汉居民购房居住,实现</w:t>
            </w:r>
            <w:r>
              <w:rPr>
                <w:rFonts w:hint="eastAsia" w:ascii="Times New Roman" w:hAnsi="Times New Roman" w:eastAsia="宋体" w:cs="Times New Roman"/>
                <w:b w:val="0"/>
                <w:i w:val="0"/>
                <w:caps w:val="0"/>
                <w:color w:val="auto"/>
                <w:spacing w:val="0"/>
                <w:sz w:val="24"/>
                <w:szCs w:val="24"/>
                <w:shd w:val="clear" w:fill="FFFFFF"/>
                <w:lang w:eastAsia="zh-CN"/>
              </w:rPr>
              <w:t>“</w:t>
            </w:r>
            <w:r>
              <w:rPr>
                <w:rFonts w:hint="default" w:ascii="Times New Roman" w:hAnsi="Times New Roman" w:eastAsia="宋体" w:cs="Times New Roman"/>
                <w:b w:val="0"/>
                <w:i w:val="0"/>
                <w:caps w:val="0"/>
                <w:color w:val="auto"/>
                <w:spacing w:val="0"/>
                <w:sz w:val="24"/>
                <w:szCs w:val="24"/>
                <w:shd w:val="clear" w:fill="FFFFFF"/>
              </w:rPr>
              <w:t>居住在葛店，工作在武汉</w:t>
            </w:r>
            <w:r>
              <w:rPr>
                <w:rFonts w:hint="eastAsia" w:ascii="Times New Roman" w:hAnsi="Times New Roman" w:eastAsia="宋体" w:cs="Times New Roman"/>
                <w:b w:val="0"/>
                <w:i w:val="0"/>
                <w:caps w:val="0"/>
                <w:color w:val="auto"/>
                <w:spacing w:val="0"/>
                <w:sz w:val="24"/>
                <w:szCs w:val="24"/>
                <w:shd w:val="clear" w:fill="FFFFFF"/>
                <w:lang w:eastAsia="zh-CN"/>
              </w:rPr>
              <w:t>”</w:t>
            </w:r>
            <w:r>
              <w:rPr>
                <w:rFonts w:hint="default" w:ascii="Times New Roman" w:hAnsi="Times New Roman" w:eastAsia="宋体" w:cs="Times New Roman"/>
                <w:b w:val="0"/>
                <w:i w:val="0"/>
                <w:caps w:val="0"/>
                <w:color w:val="auto"/>
                <w:spacing w:val="0"/>
                <w:sz w:val="24"/>
                <w:szCs w:val="24"/>
                <w:shd w:val="clear" w:fill="FFFFFF"/>
              </w:rPr>
              <w:t>的目标，同时成为葛店科技新城工作人员的生活区</w:t>
            </w:r>
            <w:r>
              <w:rPr>
                <w:rFonts w:hint="eastAsia" w:ascii="Times New Roman" w:hAnsi="Times New Roman" w:eastAsia="宋体" w:cs="Times New Roman"/>
                <w:b w:val="0"/>
                <w:i w:val="0"/>
                <w:caps w:val="0"/>
                <w:color w:val="auto"/>
                <w:spacing w:val="0"/>
                <w:sz w:val="24"/>
                <w:szCs w:val="24"/>
                <w:shd w:val="clear" w:fill="FFFFFF"/>
                <w:lang w:eastAsia="zh-CN"/>
              </w:rPr>
              <w:t>。</w:t>
            </w:r>
            <w:r>
              <w:rPr>
                <w:rFonts w:hint="default" w:ascii="Times New Roman" w:hAnsi="Times New Roman" w:eastAsia="宋体" w:cs="Times New Roman"/>
                <w:b w:val="0"/>
                <w:color w:val="auto"/>
                <w:kern w:val="2"/>
                <w:sz w:val="24"/>
                <w:szCs w:val="24"/>
                <w:vertAlign w:val="baseline"/>
                <w:lang w:val="en-US" w:eastAsia="zh-CN" w:bidi="ar-SA"/>
              </w:rPr>
              <w:t>本项目</w:t>
            </w:r>
            <w:r>
              <w:rPr>
                <w:rFonts w:hint="eastAsia"/>
                <w:b w:val="0"/>
                <w:bCs/>
                <w:color w:val="auto"/>
                <w:sz w:val="24"/>
                <w:szCs w:val="24"/>
                <w:lang w:eastAsia="zh-CN"/>
              </w:rPr>
              <w:t>位于</w:t>
            </w:r>
            <w:r>
              <w:rPr>
                <w:rFonts w:hint="default" w:ascii="Times New Roman" w:hAnsi="Times New Roman" w:cs="Times New Roman"/>
                <w:color w:val="auto"/>
                <w:sz w:val="24"/>
                <w:szCs w:val="24"/>
                <w:vertAlign w:val="baseline"/>
                <w:lang w:eastAsia="zh-CN"/>
              </w:rPr>
              <w:t>鄂州市葛店</w:t>
            </w:r>
            <w:r>
              <w:rPr>
                <w:rFonts w:hint="eastAsia" w:cs="Times New Roman"/>
                <w:color w:val="auto"/>
                <w:sz w:val="24"/>
                <w:szCs w:val="24"/>
                <w:vertAlign w:val="baseline"/>
                <w:lang w:eastAsia="zh-CN"/>
              </w:rPr>
              <w:t>开发区三号工业区</w:t>
            </w:r>
            <w:r>
              <w:rPr>
                <w:rFonts w:hint="eastAsia" w:ascii="Times New Roman" w:hAnsi="Times New Roman" w:cs="Times New Roman"/>
                <w:b w:val="0"/>
                <w:bCs/>
                <w:color w:val="auto"/>
                <w:sz w:val="24"/>
                <w:szCs w:val="24"/>
                <w:vertAlign w:val="baseline"/>
                <w:lang w:val="en-US" w:eastAsia="zh-CN"/>
              </w:rPr>
              <w:t>处于</w:t>
            </w:r>
            <w:r>
              <w:rPr>
                <w:rFonts w:hint="eastAsia" w:cs="Times New Roman"/>
                <w:b w:val="0"/>
                <w:bCs/>
                <w:color w:val="auto"/>
                <w:sz w:val="24"/>
                <w:szCs w:val="24"/>
                <w:vertAlign w:val="baseline"/>
                <w:lang w:val="en-US" w:eastAsia="zh-CN"/>
              </w:rPr>
              <w:t>葛店开发区</w:t>
            </w:r>
            <w:r>
              <w:rPr>
                <w:rFonts w:hint="default" w:ascii="Times New Roman" w:hAnsi="Times New Roman" w:eastAsia="宋体" w:cs="Times New Roman"/>
                <w:b w:val="0"/>
                <w:i w:val="0"/>
                <w:caps w:val="0"/>
                <w:color w:val="auto"/>
                <w:spacing w:val="0"/>
                <w:sz w:val="24"/>
                <w:szCs w:val="24"/>
                <w:shd w:val="clear" w:fill="FFFFFF"/>
              </w:rPr>
              <w:t>配套化工新城</w:t>
            </w:r>
            <w:r>
              <w:rPr>
                <w:rFonts w:hint="eastAsia" w:ascii="Times New Roman" w:hAnsi="Times New Roman" w:cs="Times New Roman"/>
                <w:b w:val="0"/>
                <w:bCs/>
                <w:color w:val="auto"/>
                <w:sz w:val="24"/>
                <w:szCs w:val="24"/>
                <w:vertAlign w:val="baseline"/>
                <w:lang w:val="en-US" w:eastAsia="zh-CN"/>
              </w:rPr>
              <w:t>，</w:t>
            </w:r>
            <w:r>
              <w:rPr>
                <w:rFonts w:hint="eastAsia" w:cs="Times New Roman"/>
                <w:b w:val="0"/>
                <w:bCs/>
                <w:color w:val="auto"/>
                <w:sz w:val="24"/>
                <w:szCs w:val="24"/>
                <w:vertAlign w:val="baseline"/>
                <w:lang w:val="en-US" w:eastAsia="zh-CN"/>
              </w:rPr>
              <w:t>因此</w:t>
            </w:r>
            <w:r>
              <w:rPr>
                <w:rFonts w:hint="eastAsia" w:ascii="Times New Roman" w:hAnsi="Times New Roman" w:cs="Times New Roman"/>
                <w:b w:val="0"/>
                <w:bCs/>
                <w:color w:val="auto"/>
                <w:sz w:val="24"/>
                <w:szCs w:val="24"/>
                <w:vertAlign w:val="baseline"/>
                <w:lang w:val="en-US" w:eastAsia="zh-CN"/>
              </w:rPr>
              <w:t>在此开发房地产项目符合</w:t>
            </w:r>
            <w:r>
              <w:rPr>
                <w:rFonts w:hint="eastAsia"/>
                <w:color w:val="auto"/>
                <w:sz w:val="24"/>
                <w:szCs w:val="24"/>
              </w:rPr>
              <w:t>葛店科技新城总体规划</w:t>
            </w:r>
            <w:r>
              <w:rPr>
                <w:rFonts w:hint="eastAsia"/>
                <w:color w:val="auto"/>
                <w:sz w:val="24"/>
                <w:szCs w:val="24"/>
                <w:lang w:eastAsia="zh-CN"/>
              </w:rPr>
              <w:t>，</w:t>
            </w:r>
            <w:r>
              <w:rPr>
                <w:rFonts w:hint="default" w:ascii="Times New Roman" w:hAnsi="Times New Roman" w:eastAsia="宋体" w:cs="Times New Roman"/>
                <w:color w:val="auto"/>
                <w:sz w:val="24"/>
                <w:szCs w:val="24"/>
              </w:rPr>
              <w:t>故本项目的建设符合产业政策。</w:t>
            </w:r>
          </w:p>
          <w:p w14:paraId="32F791F6">
            <w:pPr>
              <w:spacing w:line="360" w:lineRule="auto"/>
              <w:ind w:firstLine="482" w:firstLineChars="200"/>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2、土地规划符合性分析</w:t>
            </w:r>
          </w:p>
          <w:p w14:paraId="5980A717">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本项目选址位于</w:t>
            </w:r>
            <w:r>
              <w:rPr>
                <w:rFonts w:hint="eastAsia" w:cs="Times New Roman"/>
                <w:color w:val="auto"/>
                <w:sz w:val="24"/>
                <w:szCs w:val="24"/>
                <w:vertAlign w:val="baseline"/>
                <w:lang w:eastAsia="zh-CN"/>
              </w:rPr>
              <w:t>鄂州市葛店开发区三号工业区</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eastAsia="zh-CN"/>
              </w:rPr>
              <w:t>由</w:t>
            </w:r>
            <w:r>
              <w:rPr>
                <w:rFonts w:hint="eastAsia" w:cs="Times New Roman"/>
                <w:color w:val="auto"/>
                <w:sz w:val="24"/>
                <w:szCs w:val="24"/>
                <w:lang w:eastAsia="zh-CN"/>
              </w:rPr>
              <w:t>该项目土地成交确认书</w:t>
            </w:r>
            <w:r>
              <w:rPr>
                <w:rFonts w:hint="default" w:ascii="Times New Roman" w:hAnsi="Times New Roman" w:cs="Times New Roman"/>
                <w:color w:val="auto"/>
                <w:sz w:val="24"/>
                <w:szCs w:val="24"/>
                <w:lang w:eastAsia="zh-CN"/>
              </w:rPr>
              <w:t>可知</w:t>
            </w:r>
            <w:r>
              <w:rPr>
                <w:rFonts w:hint="default" w:ascii="Times New Roman" w:hAnsi="Times New Roman" w:cs="Times New Roman"/>
                <w:color w:val="auto"/>
                <w:sz w:val="24"/>
                <w:szCs w:val="24"/>
              </w:rPr>
              <w:t>该</w:t>
            </w:r>
            <w:r>
              <w:rPr>
                <w:rFonts w:hint="default" w:ascii="Times New Roman" w:hAnsi="Times New Roman" w:cs="Times New Roman"/>
                <w:color w:val="auto"/>
                <w:sz w:val="24"/>
                <w:szCs w:val="24"/>
                <w:lang w:eastAsia="zh-CN"/>
              </w:rPr>
              <w:t>项目</w:t>
            </w:r>
            <w:r>
              <w:rPr>
                <w:rFonts w:hint="default" w:ascii="Times New Roman" w:hAnsi="Times New Roman" w:cs="Times New Roman"/>
                <w:color w:val="auto"/>
                <w:sz w:val="24"/>
                <w:szCs w:val="24"/>
              </w:rPr>
              <w:t>地块属城市建设用地中商住用地</w:t>
            </w:r>
            <w:r>
              <w:rPr>
                <w:rFonts w:hint="eastAsia" w:cs="Times New Roman"/>
                <w:color w:val="auto"/>
                <w:sz w:val="24"/>
                <w:szCs w:val="24"/>
                <w:lang w:val="en-US" w:eastAsia="zh-CN"/>
              </w:rPr>
              <w:t>，</w:t>
            </w:r>
            <w:r>
              <w:rPr>
                <w:rFonts w:hint="default" w:ascii="Times New Roman" w:hAnsi="Times New Roman" w:cs="Times New Roman"/>
                <w:color w:val="auto"/>
                <w:sz w:val="24"/>
                <w:szCs w:val="24"/>
              </w:rPr>
              <w:t>不属于《限制用地项目目录（2012年本）》和《禁止用地项目目录（2012年本）》中的项目。</w:t>
            </w:r>
            <w:r>
              <w:rPr>
                <w:rFonts w:hint="eastAsia" w:cs="Times New Roman"/>
                <w:color w:val="auto"/>
                <w:sz w:val="24"/>
                <w:szCs w:val="24"/>
                <w:lang w:eastAsia="zh-CN"/>
              </w:rPr>
              <w:t>因此，本项目建设符合土地规划。</w:t>
            </w:r>
          </w:p>
          <w:p w14:paraId="18D58CDC">
            <w:pPr>
              <w:spacing w:line="360" w:lineRule="auto"/>
              <w:ind w:firstLine="482" w:firstLineChars="200"/>
              <w:rPr>
                <w:rFonts w:hint="eastAsia"/>
                <w:b/>
                <w:bCs/>
                <w:color w:val="auto"/>
                <w:sz w:val="24"/>
                <w:szCs w:val="24"/>
                <w:lang w:val="en-US" w:eastAsia="zh-CN"/>
              </w:rPr>
            </w:pPr>
            <w:r>
              <w:rPr>
                <w:rFonts w:hint="eastAsia"/>
                <w:b/>
                <w:bCs/>
                <w:color w:val="auto"/>
                <w:sz w:val="24"/>
                <w:szCs w:val="24"/>
                <w:lang w:val="en-US" w:eastAsia="zh-CN"/>
              </w:rPr>
              <w:t>3、选址合理性分析</w:t>
            </w:r>
          </w:p>
          <w:p w14:paraId="5A1E146A">
            <w:pPr>
              <w:pStyle w:val="32"/>
              <w:widowControl w:val="0"/>
              <w:rPr>
                <w:rFonts w:hint="default" w:ascii="Times New Roman" w:hAnsi="Times New Roman" w:eastAsia="宋体" w:cs="Times New Roman"/>
                <w:color w:val="auto"/>
                <w:sz w:val="24"/>
                <w:szCs w:val="24"/>
                <w:vertAlign w:val="baseline"/>
                <w:lang w:eastAsia="zh-CN"/>
              </w:rPr>
            </w:pPr>
            <w:r>
              <w:rPr>
                <w:rFonts w:hint="eastAsia" w:eastAsia="宋体" w:cs="Times New Roman"/>
                <w:color w:val="auto"/>
                <w:sz w:val="24"/>
                <w:szCs w:val="24"/>
                <w:highlight w:val="none"/>
                <w:lang w:eastAsia="zh-CN"/>
              </w:rPr>
              <w:t>维纳春天项目</w:t>
            </w:r>
            <w:r>
              <w:rPr>
                <w:rFonts w:hint="default" w:ascii="Times New Roman" w:hAnsi="Times New Roman" w:eastAsia="宋体" w:cs="Times New Roman"/>
                <w:color w:val="auto"/>
                <w:sz w:val="24"/>
                <w:szCs w:val="24"/>
                <w:highlight w:val="none"/>
                <w:lang w:eastAsia="zh-CN"/>
              </w:rPr>
              <w:t>地块位于</w:t>
            </w:r>
            <w:r>
              <w:rPr>
                <w:rFonts w:hint="eastAsia" w:eastAsia="宋体" w:cs="Times New Roman"/>
                <w:color w:val="auto"/>
                <w:sz w:val="24"/>
                <w:szCs w:val="24"/>
                <w:highlight w:val="none"/>
                <w:lang w:eastAsia="zh-CN"/>
              </w:rPr>
              <w:t>鄂州市葛店开发区三号工业区</w:t>
            </w:r>
            <w:r>
              <w:rPr>
                <w:rFonts w:hint="default" w:ascii="Times New Roman" w:hAnsi="Times New Roman" w:eastAsia="宋体" w:cs="Times New Roman"/>
                <w:color w:val="auto"/>
                <w:sz w:val="24"/>
                <w:szCs w:val="24"/>
                <w:highlight w:val="none"/>
                <w:lang w:val="en-US" w:eastAsia="zh-CN"/>
              </w:rPr>
              <w:t>。项目</w:t>
            </w:r>
            <w:r>
              <w:rPr>
                <w:rFonts w:hint="eastAsia" w:eastAsia="宋体" w:cs="Times New Roman"/>
                <w:color w:val="auto"/>
                <w:sz w:val="24"/>
                <w:szCs w:val="24"/>
                <w:highlight w:val="none"/>
                <w:lang w:val="en-US" w:eastAsia="zh-CN"/>
              </w:rPr>
              <w:t>北侧隔着聚贤路为光谷鑫城小区，项目东侧隔着马路为维纳阳光小区，项目南侧隔着马路为武汉精锐狮机械设备有限公司的储存车间，项目西侧隔着仁慧路为空地。</w:t>
            </w:r>
            <w:r>
              <w:rPr>
                <w:rFonts w:eastAsia="宋体" w:cs="Times New Roman"/>
                <w:color w:val="auto"/>
              </w:rPr>
              <w:t>项目周围无饮用水源保护区、自然保护区、风景名胜区、生态环境敏感区。项目运营期经采取提出的污染防治措施后对周边环境空气、地面水环境、声环境的污染影响较小，不会对周围环境造成显著不利影响。经从项目周边环境状况、场地条件、环境可行性等方面综合分析后评价认为，项目选址是可行的。</w:t>
            </w:r>
          </w:p>
        </w:tc>
      </w:tr>
      <w:tr w14:paraId="1BA2676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3007" w:hRule="atLeast"/>
          <w:jc w:val="center"/>
        </w:trPr>
        <w:tc>
          <w:tcPr>
            <w:tcW w:w="9071" w:type="dxa"/>
            <w:gridSpan w:val="7"/>
            <w:tcBorders>
              <w:tl2br w:val="nil"/>
              <w:tr2bl w:val="nil"/>
            </w:tcBorders>
            <w:vAlign w:val="center"/>
          </w:tcPr>
          <w:p w14:paraId="577365B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2"/>
              <w:rPr>
                <w:rFonts w:hint="default" w:ascii="Times New Roman" w:hAnsi="Times New Roman" w:cs="Times New Roman"/>
                <w:color w:val="auto"/>
                <w:sz w:val="28"/>
                <w:szCs w:val="28"/>
              </w:rPr>
            </w:pPr>
            <w:r>
              <w:rPr>
                <w:rFonts w:hint="default" w:ascii="Times New Roman" w:hAnsi="Times New Roman" w:cs="Times New Roman"/>
                <w:b/>
                <w:color w:val="auto"/>
                <w:sz w:val="28"/>
                <w:szCs w:val="28"/>
              </w:rPr>
              <w:t>与本项目有关的原有污染情况及主要环境问题</w:t>
            </w:r>
            <w:r>
              <w:rPr>
                <w:rFonts w:hint="default" w:ascii="Times New Roman" w:hAnsi="Times New Roman" w:cs="Times New Roman"/>
                <w:color w:val="auto"/>
                <w:sz w:val="28"/>
                <w:szCs w:val="28"/>
              </w:rPr>
              <w:t>：</w:t>
            </w:r>
          </w:p>
          <w:p w14:paraId="42E8A6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根据现场踏勘，</w:t>
            </w:r>
            <w:r>
              <w:rPr>
                <w:rFonts w:hint="eastAsia" w:cs="Times New Roman"/>
                <w:sz w:val="24"/>
                <w:szCs w:val="24"/>
                <w:lang w:eastAsia="zh-CN"/>
              </w:rPr>
              <w:t>本项目地块为空地，</w:t>
            </w:r>
            <w:r>
              <w:rPr>
                <w:rFonts w:hint="default" w:ascii="Times New Roman" w:hAnsi="Times New Roman" w:cs="Times New Roman"/>
                <w:sz w:val="24"/>
                <w:szCs w:val="24"/>
              </w:rPr>
              <w:t>不存在与本项目相关的原有的污染情况及环境问题。</w:t>
            </w:r>
          </w:p>
          <w:p w14:paraId="5F603DD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p>
          <w:p w14:paraId="472AC50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p>
          <w:p w14:paraId="7ECE11C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p>
          <w:p w14:paraId="79A4F30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p>
          <w:p w14:paraId="47F109E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p>
          <w:p w14:paraId="50CD79C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p>
          <w:p w14:paraId="029DD81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p>
          <w:p w14:paraId="66B8F37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p>
          <w:p w14:paraId="41DDE9C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p>
          <w:p w14:paraId="305BF41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p>
          <w:p w14:paraId="3FD16CF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p>
          <w:p w14:paraId="638F82AD">
            <w:pPr>
              <w:jc w:val="left"/>
              <w:rPr>
                <w:rFonts w:hint="default" w:ascii="Times New Roman" w:hAnsi="Times New Roman" w:eastAsia="宋体" w:cs="Times New Roman"/>
                <w:color w:val="auto"/>
                <w:sz w:val="24"/>
                <w:szCs w:val="24"/>
                <w:vertAlign w:val="baseline"/>
                <w:lang w:eastAsia="zh-CN"/>
              </w:rPr>
            </w:pPr>
          </w:p>
          <w:p w14:paraId="159DC77C">
            <w:pPr>
              <w:jc w:val="left"/>
              <w:rPr>
                <w:rFonts w:hint="default" w:ascii="Times New Roman" w:hAnsi="Times New Roman" w:eastAsia="宋体" w:cs="Times New Roman"/>
                <w:color w:val="auto"/>
                <w:sz w:val="24"/>
                <w:szCs w:val="24"/>
                <w:vertAlign w:val="baseline"/>
                <w:lang w:eastAsia="zh-CN"/>
              </w:rPr>
            </w:pPr>
          </w:p>
          <w:p w14:paraId="32AA1B94">
            <w:pPr>
              <w:jc w:val="left"/>
              <w:rPr>
                <w:rFonts w:hint="default" w:ascii="Times New Roman" w:hAnsi="Times New Roman" w:eastAsia="宋体" w:cs="Times New Roman"/>
                <w:color w:val="auto"/>
                <w:sz w:val="24"/>
                <w:szCs w:val="24"/>
                <w:vertAlign w:val="baseline"/>
                <w:lang w:eastAsia="zh-CN"/>
              </w:rPr>
            </w:pPr>
          </w:p>
          <w:p w14:paraId="6555451F">
            <w:pPr>
              <w:jc w:val="left"/>
              <w:rPr>
                <w:rFonts w:hint="default" w:ascii="Times New Roman" w:hAnsi="Times New Roman" w:eastAsia="宋体" w:cs="Times New Roman"/>
                <w:color w:val="auto"/>
                <w:sz w:val="24"/>
                <w:szCs w:val="24"/>
                <w:vertAlign w:val="baseline"/>
                <w:lang w:eastAsia="zh-CN"/>
              </w:rPr>
            </w:pPr>
          </w:p>
          <w:p w14:paraId="2DB7A8E3">
            <w:pPr>
              <w:jc w:val="left"/>
              <w:rPr>
                <w:rFonts w:hint="default" w:ascii="Times New Roman" w:hAnsi="Times New Roman" w:eastAsia="宋体" w:cs="Times New Roman"/>
                <w:color w:val="auto"/>
                <w:sz w:val="24"/>
                <w:szCs w:val="24"/>
                <w:vertAlign w:val="baseline"/>
                <w:lang w:eastAsia="zh-CN"/>
              </w:rPr>
            </w:pPr>
          </w:p>
        </w:tc>
      </w:tr>
    </w:tbl>
    <w:p w14:paraId="7AA81642">
      <w:pPr>
        <w:pStyle w:val="2"/>
        <w:rPr>
          <w:rFonts w:hint="eastAsia"/>
          <w:color w:val="auto"/>
          <w:lang w:eastAsia="zh-CN"/>
        </w:rPr>
      </w:pPr>
      <w:bookmarkStart w:id="4" w:name="_Toc15401"/>
      <w:bookmarkStart w:id="5" w:name="_Toc28855"/>
      <w:bookmarkStart w:id="6" w:name="_Toc28315"/>
      <w:r>
        <w:rPr>
          <w:rFonts w:hint="eastAsia"/>
          <w:color w:val="auto"/>
          <w:lang w:eastAsia="zh-CN"/>
        </w:rPr>
        <w:t>二、建设项目所在地自然环境社会环境简况</w:t>
      </w:r>
      <w:bookmarkEnd w:id="4"/>
      <w:bookmarkEnd w:id="5"/>
      <w:bookmarkEnd w:id="6"/>
    </w:p>
    <w:tbl>
      <w:tblPr>
        <w:tblStyle w:val="16"/>
        <w:tblW w:w="9071"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071"/>
      </w:tblGrid>
      <w:tr w14:paraId="0047794C">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9071" w:type="dxa"/>
            <w:tcBorders>
              <w:tl2br w:val="nil"/>
              <w:tr2bl w:val="nil"/>
            </w:tcBorders>
            <w:vAlign w:val="center"/>
          </w:tcPr>
          <w:p w14:paraId="25F9308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1"/>
              <w:rPr>
                <w:rFonts w:hAnsi="宋体" w:eastAsiaTheme="minorEastAsia"/>
                <w:b/>
                <w:bCs/>
                <w:color w:val="auto"/>
                <w:sz w:val="30"/>
                <w:szCs w:val="32"/>
              </w:rPr>
            </w:pPr>
            <w:r>
              <w:rPr>
                <w:rFonts w:hAnsi="宋体" w:eastAsiaTheme="minorEastAsia"/>
                <w:b/>
                <w:bCs/>
                <w:color w:val="auto"/>
                <w:sz w:val="30"/>
                <w:szCs w:val="32"/>
              </w:rPr>
              <w:t>自然环境简况（地形、地貌、地质、气候、气象、水文、植被、生物多样性等）：</w:t>
            </w:r>
          </w:p>
          <w:p w14:paraId="4D041E56">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firstLine="562" w:firstLineChars="200"/>
              <w:textAlignment w:val="auto"/>
              <w:rPr>
                <w:rFonts w:hint="default" w:ascii="Times New Roman" w:hAnsi="Times New Roman" w:eastAsia="宋体" w:cs="Times New Roman"/>
                <w:color w:val="auto"/>
                <w:sz w:val="28"/>
                <w:szCs w:val="28"/>
              </w:rPr>
            </w:pPr>
            <w:bookmarkStart w:id="7" w:name="_Toc12260"/>
            <w:bookmarkStart w:id="8" w:name="_Toc4316"/>
            <w:r>
              <w:rPr>
                <w:rFonts w:hint="default" w:ascii="Times New Roman" w:hAnsi="Times New Roman" w:eastAsia="宋体" w:cs="Times New Roman"/>
                <w:color w:val="auto"/>
                <w:sz w:val="28"/>
                <w:szCs w:val="28"/>
              </w:rPr>
              <w:t>一、地理位置</w:t>
            </w:r>
            <w:bookmarkEnd w:id="7"/>
            <w:bookmarkEnd w:id="8"/>
          </w:p>
          <w:p w14:paraId="33A80B18">
            <w:pPr>
              <w:pStyle w:val="3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鄂州市是湖北省下辖的地级市，位于湖北省东部，长江中游南岸，是湖北省省辖市之一，中国优秀旅游城市，湖北省历史文化名城，武汉城市圈成员城市之一，鄂东水陆交通枢纽之一。面积1504平方公里。辖鄂城、梁子湖、华容3区。鄂州市境东部属岗丘地带，海拔一般在50米以上。</w:t>
            </w:r>
          </w:p>
          <w:p w14:paraId="45835261">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firstLine="562" w:firstLineChars="200"/>
              <w:textAlignment w:val="auto"/>
              <w:rPr>
                <w:rFonts w:hint="default" w:ascii="Times New Roman" w:hAnsi="Times New Roman" w:eastAsia="宋体" w:cs="Times New Roman"/>
                <w:color w:val="auto"/>
                <w:sz w:val="28"/>
                <w:szCs w:val="28"/>
              </w:rPr>
            </w:pPr>
            <w:bookmarkStart w:id="9" w:name="_Toc21184"/>
            <w:bookmarkStart w:id="10" w:name="_Toc28396"/>
            <w:r>
              <w:rPr>
                <w:rFonts w:hint="default" w:ascii="Times New Roman" w:hAnsi="Times New Roman" w:eastAsia="宋体" w:cs="Times New Roman"/>
                <w:color w:val="auto"/>
                <w:sz w:val="28"/>
                <w:szCs w:val="28"/>
              </w:rPr>
              <w:t>二、地质地貌</w:t>
            </w:r>
            <w:bookmarkEnd w:id="9"/>
            <w:bookmarkEnd w:id="10"/>
          </w:p>
          <w:p w14:paraId="74021ADF">
            <w:pPr>
              <w:pStyle w:val="3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鄂州市最高地势四峰山，海拔485.8m；最低梁子镇之梁子门，海拔11.7m。分布有四种类型的地貌单元：北侧白浒镇～临江、东侧燕矶～杨叶为长江冲积阶地；东部和南部之东侧，由白雉山、峰尖子山和早山组成了丘陵地貌之基本骨架；北部和南部之西侧，为岗状平原，岗丘标高多在90m左右；中部梁子湖、鸭儿湖、三山湖、洋澜湖横贯鄂州腹地，形成了滞水冲湖积平原。</w:t>
            </w:r>
          </w:p>
          <w:p w14:paraId="03E43D7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hint="default" w:ascii="Times New Roman" w:hAnsi="Times New Roman" w:eastAsia="宋体" w:cs="Times New Roman"/>
                <w:color w:val="auto"/>
                <w:spacing w:val="-2"/>
                <w:sz w:val="24"/>
                <w:szCs w:val="24"/>
              </w:rPr>
            </w:pPr>
            <w:r>
              <w:rPr>
                <w:rFonts w:hint="default" w:ascii="Times New Roman" w:hAnsi="Times New Roman" w:eastAsia="宋体" w:cs="Times New Roman"/>
                <w:color w:val="auto"/>
                <w:spacing w:val="-2"/>
                <w:sz w:val="24"/>
                <w:szCs w:val="24"/>
              </w:rPr>
              <w:t>拟建项目所在区域处于长江一级阶地之中，属典型的第四纪冲——淤积土层，原地形为近东西走向的低山丘陵地带，北为小山包，南与长江I级阶地相接，为剥蚀地貌，现地貌为人工两级平台，地貌情况比较单一，多数为稻或棉花地，农作物主要有稻、麦、油菜、棉花、芝麻等，除了少数沟渠和池塘外，表层均为耕植土和腐殖土覆盖。</w:t>
            </w:r>
          </w:p>
          <w:p w14:paraId="0E56A761">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firstLine="562" w:firstLineChars="200"/>
              <w:textAlignment w:val="auto"/>
              <w:rPr>
                <w:rFonts w:hint="default" w:ascii="Times New Roman" w:hAnsi="Times New Roman" w:eastAsia="宋体" w:cs="Times New Roman"/>
                <w:color w:val="auto"/>
                <w:sz w:val="28"/>
                <w:szCs w:val="28"/>
              </w:rPr>
            </w:pPr>
            <w:bookmarkStart w:id="11" w:name="_Toc3379"/>
            <w:bookmarkStart w:id="12" w:name="_Toc24686"/>
            <w:r>
              <w:rPr>
                <w:rFonts w:hint="default" w:ascii="Times New Roman" w:hAnsi="Times New Roman" w:eastAsia="宋体" w:cs="Times New Roman"/>
                <w:color w:val="auto"/>
                <w:sz w:val="28"/>
                <w:szCs w:val="28"/>
              </w:rPr>
              <w:t>三、气象条件</w:t>
            </w:r>
            <w:bookmarkEnd w:id="11"/>
            <w:bookmarkEnd w:id="12"/>
          </w:p>
          <w:p w14:paraId="562E373A">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鄂州属亚热带季风气候区，年均降雨量1282．8毫米，年均无霜期266天，平均气温17℃，最高气温40．7℃，最低气温-12．4C。平均气温17℃，无霜期268至272天，平均降水量1200至1500毫米，年均日照为2038至2083小时。</w:t>
            </w:r>
          </w:p>
          <w:p w14:paraId="16B177B1">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firstLine="562" w:firstLineChars="200"/>
              <w:textAlignment w:val="auto"/>
              <w:rPr>
                <w:rFonts w:hint="default" w:ascii="Times New Roman" w:hAnsi="Times New Roman" w:eastAsia="宋体" w:cs="Times New Roman"/>
                <w:color w:val="auto"/>
                <w:sz w:val="28"/>
                <w:szCs w:val="28"/>
              </w:rPr>
            </w:pPr>
            <w:bookmarkStart w:id="13" w:name="_Toc18500"/>
            <w:bookmarkStart w:id="14" w:name="_Toc26678"/>
            <w:r>
              <w:rPr>
                <w:rFonts w:hint="default" w:ascii="Times New Roman" w:hAnsi="Times New Roman" w:eastAsia="宋体" w:cs="Times New Roman"/>
                <w:color w:val="auto"/>
                <w:sz w:val="28"/>
                <w:szCs w:val="28"/>
              </w:rPr>
              <w:t>四、水资源情况</w:t>
            </w:r>
            <w:bookmarkEnd w:id="13"/>
            <w:bookmarkEnd w:id="14"/>
          </w:p>
          <w:p w14:paraId="3908A9A5">
            <w:pPr>
              <w:pageBreakBefore w:val="0"/>
              <w:kinsoku/>
              <w:wordWrap/>
              <w:overflowPunct/>
              <w:topLinePunct w:val="0"/>
              <w:autoSpaceDE/>
              <w:autoSpaceDN/>
              <w:bidi w:val="0"/>
              <w:adjustRightInd/>
              <w:snapToGrid/>
              <w:spacing w:line="360" w:lineRule="auto"/>
              <w:ind w:left="0" w:leftChars="0" w:right="0" w:rightChars="0"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1、地表水</w:t>
            </w:r>
          </w:p>
          <w:p w14:paraId="69E8FA5C">
            <w:pPr>
              <w:pageBreakBefore w:val="0"/>
              <w:kinsoku/>
              <w:wordWrap/>
              <w:overflowPunct/>
              <w:topLinePunct w:val="0"/>
              <w:autoSpaceDE/>
              <w:autoSpaceDN/>
              <w:bidi w:val="0"/>
              <w:adjustRightInd/>
              <w:snapToGrid/>
              <w:spacing w:line="360" w:lineRule="auto"/>
              <w:ind w:left="0" w:leftChars="0" w:right="0" w:rightChars="0" w:firstLine="440" w:firstLineChars="200"/>
              <w:textAlignment w:val="auto"/>
              <w:rPr>
                <w:rFonts w:hint="default" w:ascii="Times New Roman" w:hAnsi="Times New Roman" w:eastAsia="宋体" w:cs="Times New Roman"/>
                <w:color w:val="auto"/>
                <w:spacing w:val="-10"/>
                <w:sz w:val="24"/>
                <w:szCs w:val="24"/>
              </w:rPr>
            </w:pPr>
            <w:r>
              <w:rPr>
                <w:rFonts w:hint="default" w:ascii="Times New Roman" w:hAnsi="Times New Roman" w:eastAsia="宋体" w:cs="Times New Roman"/>
                <w:color w:val="auto"/>
                <w:spacing w:val="-10"/>
                <w:sz w:val="24"/>
                <w:szCs w:val="24"/>
              </w:rPr>
              <w:t>长江从武汉自白浒山沿经鄂州市。左岸依次与新洲、黄冈、浠水三县以江心为界，右岸先后流经鄂州市的木鹅港口、黄家矶、赵家矶，泥矶、三江口、黄柏山，樊口、蟠龙矶、五丈港口、龙王矶、燕矶、至花马湖电排站（李家湾）出境进入黄石，境内流程77.5公里。</w:t>
            </w:r>
          </w:p>
          <w:p w14:paraId="430D92C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鄂州市境内长江窄宽相间，单一性和弯曲型河段较窄，最小河宽870米，河宽最大达8000米。由于长江水量丰沛，汛期时间长，在多年的平均情况下，每年5-10月为汛期，2-3月为枯水期，境内长江年平均水位17.20米，年平均流量为23800立方米/秒，年平均含沙量为0.586公斤/立方米，年平均输沙量为43000万吨。</w:t>
            </w:r>
          </w:p>
          <w:p w14:paraId="34CACFB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鄂州市鄂州市现有湖泊面积31.46万亩，其中万亩以上大湖6个，千亩以上中型湖泊20个，百亩以上小型湖泊129个。</w:t>
            </w:r>
          </w:p>
          <w:p w14:paraId="045FBD43">
            <w:pPr>
              <w:pageBreakBefore w:val="0"/>
              <w:kinsoku/>
              <w:wordWrap/>
              <w:overflowPunct/>
              <w:topLinePunct w:val="0"/>
              <w:autoSpaceDE/>
              <w:autoSpaceDN/>
              <w:bidi w:val="0"/>
              <w:adjustRightInd/>
              <w:snapToGrid/>
              <w:spacing w:line="360" w:lineRule="auto"/>
              <w:ind w:left="0" w:leftChars="0" w:right="0" w:rightChars="0"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2、地下水</w:t>
            </w:r>
          </w:p>
          <w:p w14:paraId="5ED2033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地下水平均水位为0.3～1.9m，补给来源为大气降水和地表水的渗补给，同时其补给水和排泄均受长江水位的影响，地下水的径流条件良好，流动方向大致由西向东，区域内地表泾流较好，无积水现象，地下水呈中性，无腐蚀破坏作用。</w:t>
            </w:r>
          </w:p>
          <w:p w14:paraId="3CCA83F9">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firstLine="562" w:firstLineChars="200"/>
              <w:textAlignment w:val="auto"/>
              <w:rPr>
                <w:rFonts w:hint="default" w:ascii="Times New Roman" w:hAnsi="Times New Roman" w:eastAsia="宋体" w:cs="Times New Roman"/>
                <w:color w:val="auto"/>
                <w:sz w:val="28"/>
                <w:szCs w:val="28"/>
              </w:rPr>
            </w:pPr>
            <w:bookmarkStart w:id="15" w:name="_Toc32092"/>
            <w:bookmarkStart w:id="16" w:name="_Toc7622"/>
            <w:r>
              <w:rPr>
                <w:rFonts w:hint="default" w:ascii="Times New Roman" w:hAnsi="Times New Roman" w:eastAsia="宋体" w:cs="Times New Roman"/>
                <w:color w:val="auto"/>
                <w:sz w:val="28"/>
                <w:szCs w:val="28"/>
              </w:rPr>
              <w:t>五、自然资源</w:t>
            </w:r>
            <w:bookmarkEnd w:id="15"/>
            <w:bookmarkEnd w:id="16"/>
          </w:p>
          <w:p w14:paraId="124DA9E0">
            <w:pPr>
              <w:pageBreakBefore w:val="0"/>
              <w:kinsoku/>
              <w:wordWrap/>
              <w:overflowPunct/>
              <w:topLinePunct w:val="0"/>
              <w:autoSpaceDE/>
              <w:autoSpaceDN/>
              <w:bidi w:val="0"/>
              <w:adjustRightInd/>
              <w:snapToGrid/>
              <w:spacing w:line="360" w:lineRule="auto"/>
              <w:ind w:left="0" w:leftChars="0" w:right="0" w:rightChars="0"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1、植物资源</w:t>
            </w:r>
          </w:p>
          <w:p w14:paraId="6E48EC2D">
            <w:pPr>
              <w:pageBreakBefore w:val="0"/>
              <w:kinsoku/>
              <w:wordWrap/>
              <w:overflowPunct/>
              <w:topLinePunct w:val="0"/>
              <w:autoSpaceDE/>
              <w:autoSpaceDN/>
              <w:bidi w:val="0"/>
              <w:adjustRightInd/>
              <w:snapToGrid/>
              <w:spacing w:line="360" w:lineRule="auto"/>
              <w:ind w:left="0" w:leftChars="0" w:right="0" w:rightChars="0" w:firstLine="432" w:firstLineChars="200"/>
              <w:textAlignment w:val="auto"/>
              <w:rPr>
                <w:rFonts w:hint="default" w:ascii="Times New Roman" w:hAnsi="Times New Roman" w:eastAsia="宋体" w:cs="Times New Roman"/>
                <w:color w:val="auto"/>
                <w:spacing w:val="-12"/>
                <w:sz w:val="24"/>
                <w:szCs w:val="24"/>
              </w:rPr>
            </w:pPr>
            <w:r>
              <w:rPr>
                <w:rFonts w:hint="default" w:ascii="Times New Roman" w:hAnsi="Times New Roman" w:eastAsia="宋体" w:cs="Times New Roman"/>
                <w:color w:val="auto"/>
                <w:spacing w:val="-12"/>
                <w:sz w:val="24"/>
                <w:szCs w:val="24"/>
              </w:rPr>
              <w:t>鄂州土壤肥沃，气候适宜，构成各种类型生态环境，有利于各种植物的生长。境内有植物3000多种，主要是粮食、油料、瓜果、蔬菜等类。有各种木本植物83科、192属、358种，主要是竹木等类。有芳香植物60多种，主要是草木、木本等类。有药用植物125科、542种。</w:t>
            </w:r>
          </w:p>
          <w:p w14:paraId="14911292">
            <w:pPr>
              <w:pageBreakBefore w:val="0"/>
              <w:kinsoku/>
              <w:wordWrap/>
              <w:overflowPunct/>
              <w:topLinePunct w:val="0"/>
              <w:autoSpaceDE/>
              <w:autoSpaceDN/>
              <w:bidi w:val="0"/>
              <w:adjustRightInd/>
              <w:snapToGrid/>
              <w:spacing w:line="360" w:lineRule="auto"/>
              <w:ind w:left="0" w:leftChars="0" w:right="0" w:rightChars="0"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2、生物资源</w:t>
            </w:r>
          </w:p>
          <w:p w14:paraId="3D1246D6">
            <w:pPr>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鄂州动物种类繁多，资源丰富，水产名贵品种较多。鄂州市有鱼类21科、106种，其中鲤科63种，占鱼类总数的60%。其他稀有鱼类在本地也有生长，产于梁子湖的银鱼，畅销国内外。有家禽10多种，家畜20多种。野生动物有兽类20多种，飞禽40多种，还有爬行类和虾贝类动物数十种。</w:t>
            </w:r>
          </w:p>
          <w:p w14:paraId="6179500F">
            <w:pPr>
              <w:pageBreakBefore w:val="0"/>
              <w:kinsoku/>
              <w:wordWrap/>
              <w:overflowPunct/>
              <w:topLinePunct w:val="0"/>
              <w:autoSpaceDE/>
              <w:autoSpaceDN/>
              <w:bidi w:val="0"/>
              <w:adjustRightInd/>
              <w:snapToGrid/>
              <w:spacing w:line="360" w:lineRule="auto"/>
              <w:ind w:left="0" w:leftChars="0" w:right="0" w:rightChars="0"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3、矿产资源</w:t>
            </w:r>
          </w:p>
          <w:p w14:paraId="6B73C3DD">
            <w:pPr>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b/>
                <w:bCs/>
                <w:color w:val="auto"/>
                <w:sz w:val="30"/>
                <w:szCs w:val="32"/>
              </w:rPr>
            </w:pPr>
            <w:r>
              <w:rPr>
                <w:rFonts w:hint="default" w:ascii="Times New Roman" w:hAnsi="Times New Roman" w:eastAsia="宋体" w:cs="Times New Roman"/>
                <w:color w:val="auto"/>
                <w:sz w:val="24"/>
                <w:szCs w:val="24"/>
              </w:rPr>
              <w:t>早在青铜文化时期，鄂州就是中国四大铜镜铸造中心之一。“冶石为器，千炉齐设”，“吴王孙权采武昌铜铁，作千口剑、万口刀”，铸就了闻名中外的“古铜镜之乡”。丰富的矿产资源成为鄂州腾飞的基石，鄂州境内铁矿石探明储量居湖北省第二位，膨润土、珍珠岩等31种非金属矿探明储量居湖北省之首。</w:t>
            </w:r>
          </w:p>
          <w:p w14:paraId="4E44B18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1"/>
              <w:rPr>
                <w:rFonts w:hint="eastAsia" w:ascii="宋体" w:hAnsi="宋体" w:eastAsia="宋体" w:cs="宋体"/>
                <w:b/>
                <w:bCs/>
                <w:color w:val="auto"/>
                <w:sz w:val="30"/>
                <w:szCs w:val="32"/>
              </w:rPr>
            </w:pPr>
          </w:p>
          <w:p w14:paraId="5DC7B31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1"/>
              <w:rPr>
                <w:rFonts w:hint="eastAsia" w:ascii="宋体" w:hAnsi="宋体" w:eastAsia="宋体" w:cs="宋体"/>
                <w:b/>
                <w:bCs/>
                <w:color w:val="auto"/>
                <w:sz w:val="30"/>
                <w:szCs w:val="32"/>
              </w:rPr>
            </w:pPr>
          </w:p>
          <w:p w14:paraId="57ED7F1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1"/>
              <w:rPr>
                <w:rFonts w:hint="eastAsia" w:ascii="宋体" w:hAnsi="宋体" w:eastAsia="宋体" w:cs="宋体"/>
                <w:b/>
                <w:bCs/>
                <w:color w:val="auto"/>
                <w:sz w:val="30"/>
                <w:szCs w:val="32"/>
              </w:rPr>
            </w:pPr>
          </w:p>
          <w:p w14:paraId="5A979CE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1"/>
              <w:rPr>
                <w:rFonts w:hint="eastAsia" w:ascii="宋体" w:hAnsi="宋体" w:eastAsia="宋体" w:cs="宋体"/>
                <w:b/>
                <w:bCs/>
                <w:color w:val="auto"/>
                <w:sz w:val="30"/>
                <w:szCs w:val="32"/>
              </w:rPr>
            </w:pPr>
          </w:p>
          <w:p w14:paraId="664FDEB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1"/>
              <w:rPr>
                <w:rFonts w:hint="eastAsia" w:ascii="宋体" w:hAnsi="宋体" w:eastAsia="宋体" w:cs="宋体"/>
                <w:b/>
                <w:bCs/>
                <w:color w:val="auto"/>
                <w:sz w:val="30"/>
                <w:szCs w:val="32"/>
              </w:rPr>
            </w:pPr>
            <w:r>
              <w:rPr>
                <w:rFonts w:hint="eastAsia" w:ascii="宋体" w:hAnsi="宋体" w:eastAsia="宋体" w:cs="宋体"/>
                <w:b/>
                <w:bCs/>
                <w:color w:val="auto"/>
                <w:sz w:val="30"/>
                <w:szCs w:val="32"/>
              </w:rPr>
              <w:t>社会环境简况（社会经济结构、教育、文化、文物保护等）：</w:t>
            </w:r>
          </w:p>
          <w:p w14:paraId="6304AD1D">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textAlignment w:val="auto"/>
              <w:rPr>
                <w:rFonts w:hint="default" w:ascii="Times New Roman" w:hAnsi="Times New Roman" w:eastAsia="宋体" w:cs="Times New Roman"/>
                <w:color w:val="auto"/>
                <w:sz w:val="28"/>
                <w:szCs w:val="28"/>
              </w:rPr>
            </w:pPr>
            <w:bookmarkStart w:id="17" w:name="_Toc29495"/>
            <w:bookmarkStart w:id="18" w:name="_Toc14401"/>
            <w:r>
              <w:rPr>
                <w:rFonts w:hint="default" w:ascii="Times New Roman" w:hAnsi="Times New Roman" w:eastAsia="宋体" w:cs="Times New Roman"/>
                <w:color w:val="auto"/>
                <w:sz w:val="28"/>
                <w:szCs w:val="28"/>
              </w:rPr>
              <w:t>一、行政区划</w:t>
            </w:r>
            <w:bookmarkEnd w:id="17"/>
            <w:bookmarkEnd w:id="18"/>
          </w:p>
          <w:p w14:paraId="3F286344">
            <w:pPr>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葛店经济开发区全区国土面积144.62平方公里，总人口20多万人。拥有各类高级专业技术人才480多人，中级专业技术人才 1500多人。开发区中心区规划控制面积42平方公里，起步区面积3.14平方公里，建成区面积18平方公里。</w:t>
            </w:r>
          </w:p>
          <w:p w14:paraId="32AA6A5F">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textAlignment w:val="auto"/>
              <w:rPr>
                <w:rFonts w:hint="default" w:ascii="Times New Roman" w:hAnsi="Times New Roman" w:eastAsia="宋体" w:cs="Times New Roman"/>
                <w:color w:val="auto"/>
                <w:sz w:val="28"/>
                <w:szCs w:val="28"/>
              </w:rPr>
            </w:pPr>
            <w:bookmarkStart w:id="19" w:name="_Toc29996"/>
            <w:bookmarkStart w:id="20" w:name="_Toc369"/>
            <w:r>
              <w:rPr>
                <w:rFonts w:hint="default" w:ascii="Times New Roman" w:hAnsi="Times New Roman" w:eastAsia="宋体" w:cs="Times New Roman"/>
                <w:color w:val="auto"/>
                <w:sz w:val="28"/>
                <w:szCs w:val="28"/>
              </w:rPr>
              <w:t>二、经济概况</w:t>
            </w:r>
            <w:bookmarkEnd w:id="19"/>
            <w:bookmarkEnd w:id="20"/>
          </w:p>
          <w:p w14:paraId="7679C187">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firstLine="480" w:firstLineChars="200"/>
              <w:textAlignment w:val="auto"/>
              <w:rPr>
                <w:rFonts w:hint="default" w:ascii="Times New Roman" w:hAnsi="Times New Roman" w:eastAsia="宋体" w:cs="Times New Roman"/>
                <w:b w:val="0"/>
                <w:bCs w:val="0"/>
                <w:color w:val="auto"/>
                <w:sz w:val="24"/>
                <w:szCs w:val="24"/>
              </w:rPr>
            </w:pPr>
            <w:bookmarkStart w:id="21" w:name="_Toc14803"/>
            <w:bookmarkStart w:id="22" w:name="_Toc32166"/>
            <w:r>
              <w:rPr>
                <w:rFonts w:hint="default" w:ascii="Times New Roman" w:hAnsi="Times New Roman" w:eastAsia="宋体" w:cs="Times New Roman"/>
                <w:b w:val="0"/>
                <w:bCs w:val="0"/>
                <w:color w:val="auto"/>
                <w:sz w:val="24"/>
                <w:szCs w:val="24"/>
              </w:rPr>
              <w:t>2015年，鄂州市完成生产总值713.54亿元，按可比价格计算，比上年增长9.7%。其中，第一产业完成增加值83.13亿元；第二产业完成增加值432.33亿元；第三产业完成增加值198.08亿元。按常住人口计算，人均生产总值达到64851元。全年完成全社会固定资产投资698.03亿元；完成财政总收入60.11亿元，其中地方公共财政预算收入42.74亿元。全市城镇居民人均可支配收入达到22763元；农村居民人均纯收入达到12692元。</w:t>
            </w:r>
            <w:bookmarkEnd w:id="21"/>
            <w:bookmarkEnd w:id="22"/>
          </w:p>
          <w:p w14:paraId="5C529A7A">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textAlignment w:val="auto"/>
              <w:rPr>
                <w:rFonts w:hint="default" w:ascii="Times New Roman" w:hAnsi="Times New Roman" w:eastAsia="宋体" w:cs="Times New Roman"/>
                <w:color w:val="auto"/>
                <w:sz w:val="28"/>
                <w:szCs w:val="28"/>
              </w:rPr>
            </w:pPr>
            <w:bookmarkStart w:id="23" w:name="_Toc1175"/>
            <w:bookmarkStart w:id="24" w:name="_Toc4135"/>
            <w:r>
              <w:rPr>
                <w:rFonts w:hint="default" w:ascii="Times New Roman" w:hAnsi="Times New Roman" w:eastAsia="宋体" w:cs="Times New Roman"/>
                <w:color w:val="auto"/>
                <w:sz w:val="28"/>
                <w:szCs w:val="28"/>
              </w:rPr>
              <w:t>三、教育文化卫生</w:t>
            </w:r>
            <w:bookmarkEnd w:id="23"/>
            <w:bookmarkEnd w:id="24"/>
          </w:p>
          <w:p w14:paraId="36796748">
            <w:pPr>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2015年，全市高新技术产业完成总产值317.46亿元，实现增加值90.2亿元。全市新增高新技术企业12家，有34家企业纳入后备企业库，高新技术产品备案企业16家。全年组织申报各类科技计划项目103项，落实省级以上科技计划项目45项，9家企业12个项目获国家、省级重大科技创新计划奖，4人荣获省级科技创业领军人才。全年登记科技成果13项，其中2项成果获省级科技奖；登记技术合同68项，技术交易额3.2亿元。全市发明专利申请量317件。</w:t>
            </w:r>
          </w:p>
          <w:p w14:paraId="547A832D">
            <w:pPr>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截至2015年末，鄂州市拥有卫生机构492个，其中，医院19家，乡镇卫生院25个，妇幼保健院1个，疾病预防控制中心1个。卫生技术人员6340人。在卫生专业技术人员中，执业（助理）医师1726人，注册护士3279人。全市卫生机构床位达5099张，全市每千人拥有床位数4.68张。</w:t>
            </w:r>
          </w:p>
          <w:p w14:paraId="2EBA8E78">
            <w:pPr>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2015年，鄂州市普通高等教育招生5387人，在校生14800人，毕业生4050人；各类中等职业教育招生1691人，在校生3622人，毕业生1894人;普通高中招生5568人，在校生18319人，毕业生6837人；普通中学招生9024人，在校生27329人，毕业生9020人；普通小学招生12557人，在校生67248人，毕业生9075人；幼儿园在园幼儿18768人。</w:t>
            </w:r>
          </w:p>
          <w:p w14:paraId="7CC75DF8">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textAlignment w:val="auto"/>
              <w:rPr>
                <w:rFonts w:hint="default" w:ascii="Times New Roman" w:hAnsi="Times New Roman" w:eastAsia="宋体" w:cs="Times New Roman"/>
                <w:color w:val="auto"/>
                <w:sz w:val="28"/>
                <w:szCs w:val="28"/>
              </w:rPr>
            </w:pPr>
            <w:bookmarkStart w:id="25" w:name="_Toc21682"/>
            <w:bookmarkStart w:id="26" w:name="_Toc8409"/>
            <w:r>
              <w:rPr>
                <w:rFonts w:hint="default" w:ascii="Times New Roman" w:hAnsi="Times New Roman" w:eastAsia="宋体" w:cs="Times New Roman"/>
                <w:color w:val="auto"/>
                <w:sz w:val="28"/>
                <w:szCs w:val="28"/>
              </w:rPr>
              <w:t>四、工业、农业</w:t>
            </w:r>
            <w:bookmarkEnd w:id="25"/>
            <w:bookmarkEnd w:id="26"/>
          </w:p>
          <w:p w14:paraId="4810ED6D">
            <w:pPr>
              <w:pageBreakBefore w:val="0"/>
              <w:kinsoku/>
              <w:wordWrap/>
              <w:overflowPunct/>
              <w:topLinePunct w:val="0"/>
              <w:autoSpaceDE/>
              <w:autoSpaceDN/>
              <w:bidi w:val="0"/>
              <w:adjustRightInd/>
              <w:snapToGrid/>
              <w:spacing w:line="360" w:lineRule="auto"/>
              <w:ind w:left="0" w:leftChars="0" w:right="0" w:rightChars="0" w:firstLine="482" w:firstLineChars="200"/>
              <w:textAlignment w:val="auto"/>
              <w:rPr>
                <w:rFonts w:hint="default" w:ascii="Times New Roman" w:hAnsi="Times New Roman" w:eastAsia="宋体" w:cs="Times New Roman"/>
                <w:b/>
                <w:bCs/>
                <w:color w:val="auto"/>
                <w:sz w:val="24"/>
              </w:rPr>
            </w:pPr>
            <w:r>
              <w:rPr>
                <w:rFonts w:hint="eastAsia" w:ascii="Times New Roman" w:hAnsi="Times New Roman" w:eastAsia="宋体" w:cs="Times New Roman"/>
                <w:b/>
                <w:bCs/>
                <w:color w:val="auto"/>
                <w:sz w:val="24"/>
                <w:lang w:val="en-US" w:eastAsia="zh-CN"/>
              </w:rPr>
              <w:t>1、</w:t>
            </w:r>
            <w:r>
              <w:rPr>
                <w:rFonts w:hint="default" w:ascii="Times New Roman" w:hAnsi="Times New Roman" w:eastAsia="宋体" w:cs="Times New Roman"/>
                <w:b/>
                <w:bCs/>
                <w:color w:val="auto"/>
                <w:sz w:val="24"/>
              </w:rPr>
              <w:t>工业</w:t>
            </w:r>
          </w:p>
          <w:p w14:paraId="60C8293F">
            <w:pPr>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中华人民共和国成立后，鄂州市相继兴办了一批重点企业，其中包括武汉钢铁公司的重要矿山-程潮铁矿，湖北省最大的地方钢铁基地鄂城钢铁厂（现为武钢集团鄂钢公司），国内有名的立窑水泥厂-鄂城水泥厂。今日鄂州已是鄂东“冶金走廊”和“建材走廊”中的重要一环。</w:t>
            </w:r>
          </w:p>
          <w:p w14:paraId="10C49584">
            <w:pPr>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 xml:space="preserve">近年来，在巩固提高冶金、建材、机械等基础工业的同时，大力发展了食品、纺织、服装、轻工等新兴产业，从而逐渐成为产业结构比较协调、产品布局比较合理的新兴工业城市。鄂州已成为为鄂东南的重要能源基地，辖区内的鄂州电厂总装机容量180万千瓦。以钢铁为主体的冶金工业，以服装和纺织为主体的纺织工业，以水泥、墙体砖、pvc钢筋骨架管材和新型建筑材料为主体的建材工业，以机床、模具、民用船舶和汽车零部件为主体的装备制造工业，以锶盐、化肥、精细化工为主体的化学工业，以食品、金属罐和日用消费用品为主体的轻工业，以新型抗生素、生化药品、中成药为主的医药工业，共同构成了鄂州的支柱产业。 </w:t>
            </w:r>
          </w:p>
          <w:p w14:paraId="0431893A">
            <w:pPr>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2015年，全市规模以上工业企业达到492家，完成增加值373.15亿元。其中，高新技术制造业，完成增加值100.12亿元，占规模以上工业增加值的比重达28.2%。全市工业完成主营业务收入1304.4亿元；全市32个行业中有20个行业的主营业务收入超过10亿。</w:t>
            </w:r>
          </w:p>
          <w:p w14:paraId="0CCE546E">
            <w:pPr>
              <w:pageBreakBefore w:val="0"/>
              <w:kinsoku/>
              <w:wordWrap/>
              <w:overflowPunct/>
              <w:topLinePunct w:val="0"/>
              <w:autoSpaceDE/>
              <w:autoSpaceDN/>
              <w:bidi w:val="0"/>
              <w:adjustRightInd/>
              <w:snapToGrid/>
              <w:spacing w:line="360" w:lineRule="auto"/>
              <w:ind w:left="0" w:leftChars="0" w:right="0" w:rightChars="0" w:firstLine="482" w:firstLineChars="200"/>
              <w:textAlignment w:val="auto"/>
              <w:rPr>
                <w:rFonts w:hint="default" w:ascii="Times New Roman" w:hAnsi="Times New Roman" w:eastAsia="宋体" w:cs="Times New Roman"/>
                <w:b/>
                <w:bCs/>
                <w:color w:val="auto"/>
                <w:sz w:val="24"/>
              </w:rPr>
            </w:pPr>
            <w:r>
              <w:rPr>
                <w:rFonts w:hint="eastAsia" w:ascii="Times New Roman" w:hAnsi="Times New Roman" w:eastAsia="宋体" w:cs="Times New Roman"/>
                <w:b/>
                <w:bCs/>
                <w:color w:val="auto"/>
                <w:sz w:val="24"/>
                <w:lang w:val="en-US" w:eastAsia="zh-CN"/>
              </w:rPr>
              <w:t>2、</w:t>
            </w:r>
            <w:r>
              <w:rPr>
                <w:rFonts w:hint="default" w:ascii="Times New Roman" w:hAnsi="Times New Roman" w:eastAsia="宋体" w:cs="Times New Roman"/>
                <w:b/>
                <w:bCs/>
                <w:color w:val="auto"/>
                <w:sz w:val="24"/>
              </w:rPr>
              <w:t>农业</w:t>
            </w:r>
          </w:p>
          <w:p w14:paraId="6C975766">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鄂州市拥有有效使用农业三品标识企业79家，产品131个，其中无公害农产品78个，绿色食品20个，有机食品31个，农产品地理标志产品2个。神凤凰苕粉、樊湖牌鱼丸、东沟珍珠牌珍珠制品、振源牌爱尚五谷、楚风竹韵牌竹制品、梁子湖牌腌制风干鱼、长港牌大米、母子岛牌野生莲藕、楚天碧玉牌梁湖豆丝、红莲春牌土榨香油分别获得中国武汉第十一届农交会、第十届农博会金奖。</w:t>
            </w:r>
          </w:p>
          <w:p w14:paraId="67526948">
            <w:pPr>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2015年，鄂州市完成农业增加值81.15亿元。全年粮食种植面积61.44千公顷；棉花种植面积5.49千公顷；油料种植面积31.57千公顷。粮食总产量36.38万吨；棉花总产量4832吨；油料产量6.16万吨；蔬菜产量99.96万吨；生猪出栏123万头；家禽出笼1540万只；水产品产量45.36万吨。</w:t>
            </w:r>
          </w:p>
          <w:p w14:paraId="30BEC918">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textAlignment w:val="auto"/>
              <w:rPr>
                <w:rFonts w:hint="default" w:ascii="Times New Roman" w:hAnsi="Times New Roman" w:eastAsia="宋体" w:cs="Times New Roman"/>
                <w:color w:val="auto"/>
                <w:sz w:val="28"/>
                <w:szCs w:val="28"/>
              </w:rPr>
            </w:pPr>
            <w:bookmarkStart w:id="27" w:name="_Toc16968"/>
            <w:bookmarkStart w:id="28" w:name="_Toc7856"/>
            <w:r>
              <w:rPr>
                <w:rFonts w:hint="default" w:ascii="Times New Roman" w:hAnsi="Times New Roman" w:eastAsia="宋体" w:cs="Times New Roman"/>
                <w:color w:val="auto"/>
                <w:sz w:val="28"/>
                <w:szCs w:val="28"/>
              </w:rPr>
              <w:t>五、基础设施</w:t>
            </w:r>
            <w:bookmarkEnd w:id="27"/>
            <w:bookmarkEnd w:id="28"/>
          </w:p>
          <w:p w14:paraId="7E88DBAE">
            <w:pPr>
              <w:pStyle w:val="32"/>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Times New Roman" w:hAnsi="Times New Roman" w:eastAsia="宋体" w:cs="Times New Roman"/>
                <w:color w:val="auto"/>
                <w:kern w:val="0"/>
                <w:szCs w:val="24"/>
              </w:rPr>
            </w:pPr>
            <w:r>
              <w:rPr>
                <w:rFonts w:hint="default" w:ascii="Times New Roman" w:hAnsi="Times New Roman" w:eastAsia="宋体" w:cs="Times New Roman"/>
                <w:color w:val="auto"/>
                <w:kern w:val="0"/>
                <w:szCs w:val="24"/>
              </w:rPr>
              <w:t>葛店开发区非常重视环境建设，基础设施齐备，已完成了5.34平方公里范围的“六通一平”，修建了大小道路100万平方米，建成了工业厂房、宾馆、公寓、医院、写字楼等生产设施300余栋共100万平方米。</w:t>
            </w:r>
          </w:p>
          <w:p w14:paraId="32BC4E60">
            <w:pPr>
              <w:pStyle w:val="32"/>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Times New Roman" w:hAnsi="Times New Roman" w:eastAsia="宋体" w:cs="Times New Roman"/>
                <w:color w:val="auto"/>
                <w:kern w:val="0"/>
                <w:szCs w:val="24"/>
              </w:rPr>
            </w:pPr>
            <w:r>
              <w:rPr>
                <w:rFonts w:hint="default" w:ascii="Times New Roman" w:hAnsi="Times New Roman" w:eastAsia="宋体" w:cs="Times New Roman"/>
                <w:color w:val="auto"/>
                <w:kern w:val="0"/>
                <w:szCs w:val="24"/>
              </w:rPr>
              <w:t>供电：区内有总装机容量300万千瓦的鄂州电厂，一期工程60万千瓦已建成投产，二期工程120万千瓦已开工，三期工程也着手建设。华容、七甲山、开发区三个11万伏变电站可保证双回路全天候供电。</w:t>
            </w:r>
          </w:p>
          <w:p w14:paraId="13FB2A0F">
            <w:pPr>
              <w:pStyle w:val="32"/>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Times New Roman" w:hAnsi="Times New Roman" w:eastAsia="宋体" w:cs="Times New Roman"/>
                <w:color w:val="auto"/>
                <w:kern w:val="0"/>
                <w:szCs w:val="24"/>
              </w:rPr>
            </w:pPr>
            <w:r>
              <w:rPr>
                <w:rFonts w:hint="default" w:ascii="Times New Roman" w:hAnsi="Times New Roman" w:eastAsia="宋体" w:cs="Times New Roman"/>
                <w:color w:val="auto"/>
                <w:kern w:val="0"/>
                <w:szCs w:val="24"/>
              </w:rPr>
              <w:t>供排水：日供水3.5万吨的自来水厂和日处理3.5万吨的污水处理厂已投入使用，供排水管网可连接至所有企业和项目用地的红线边缘。</w:t>
            </w:r>
          </w:p>
          <w:p w14:paraId="13B79944">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textAlignment w:val="auto"/>
              <w:rPr>
                <w:rFonts w:hint="default" w:ascii="Times New Roman" w:hAnsi="Times New Roman" w:eastAsia="宋体" w:cs="Times New Roman"/>
                <w:color w:val="auto"/>
                <w:sz w:val="28"/>
                <w:szCs w:val="28"/>
              </w:rPr>
            </w:pPr>
            <w:bookmarkStart w:id="29" w:name="_Toc7946"/>
            <w:bookmarkStart w:id="30" w:name="_Toc28489"/>
            <w:r>
              <w:rPr>
                <w:rFonts w:hint="default" w:ascii="Times New Roman" w:hAnsi="Times New Roman" w:eastAsia="宋体" w:cs="Times New Roman"/>
                <w:color w:val="auto"/>
                <w:sz w:val="28"/>
                <w:szCs w:val="28"/>
              </w:rPr>
              <w:t>六、交通条件</w:t>
            </w:r>
            <w:bookmarkEnd w:id="29"/>
            <w:bookmarkEnd w:id="30"/>
          </w:p>
          <w:p w14:paraId="53610538">
            <w:pPr>
              <w:pStyle w:val="32"/>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Times New Roman" w:hAnsi="Times New Roman" w:eastAsia="宋体" w:cs="Times New Roman"/>
                <w:color w:val="auto"/>
                <w:kern w:val="0"/>
                <w:szCs w:val="24"/>
              </w:rPr>
            </w:pPr>
            <w:r>
              <w:rPr>
                <w:rFonts w:hint="default" w:ascii="Times New Roman" w:hAnsi="Times New Roman" w:eastAsia="宋体" w:cs="Times New Roman"/>
                <w:color w:val="auto"/>
                <w:kern w:val="0"/>
                <w:szCs w:val="24"/>
              </w:rPr>
              <w:t>公路：贯通中国东西南北的沪蓉、京珠两条高速公路在此交汇，并与107国道（北京至深圳）、316国道（兰州至福州）构成交通网，武鄂高速公路横贯东西。</w:t>
            </w:r>
          </w:p>
          <w:p w14:paraId="1AEB8117">
            <w:pPr>
              <w:pStyle w:val="32"/>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Times New Roman" w:hAnsi="Times New Roman" w:eastAsia="宋体" w:cs="Times New Roman"/>
                <w:color w:val="auto"/>
                <w:spacing w:val="-3"/>
                <w:kern w:val="0"/>
                <w:szCs w:val="24"/>
              </w:rPr>
            </w:pPr>
            <w:r>
              <w:rPr>
                <w:rFonts w:hint="default" w:ascii="Times New Roman" w:hAnsi="Times New Roman" w:eastAsia="宋体" w:cs="Times New Roman"/>
                <w:color w:val="auto"/>
                <w:spacing w:val="-3"/>
                <w:kern w:val="0"/>
                <w:szCs w:val="24"/>
              </w:rPr>
              <w:t>铁路：东联京九铁路、西接京广铁路武九铁路横穿开发区而过，并设有货运编组站。</w:t>
            </w:r>
          </w:p>
          <w:p w14:paraId="217E8171">
            <w:pPr>
              <w:pStyle w:val="32"/>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Times New Roman" w:hAnsi="Times New Roman" w:eastAsia="宋体" w:cs="Times New Roman"/>
                <w:color w:val="auto"/>
                <w:kern w:val="0"/>
                <w:szCs w:val="24"/>
              </w:rPr>
            </w:pPr>
            <w:r>
              <w:rPr>
                <w:rFonts w:hint="default" w:ascii="Times New Roman" w:hAnsi="Times New Roman" w:eastAsia="宋体" w:cs="Times New Roman"/>
                <w:color w:val="auto"/>
                <w:kern w:val="0"/>
                <w:szCs w:val="24"/>
              </w:rPr>
              <w:t>城际铁路：武汉到黄石（武石城铁）与武汉到黄冈（武冈城铁）在葛店南站分流。</w:t>
            </w:r>
          </w:p>
          <w:p w14:paraId="790AA9ED">
            <w:pPr>
              <w:pStyle w:val="32"/>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Times New Roman" w:hAnsi="Times New Roman" w:eastAsia="宋体" w:cs="Times New Roman"/>
                <w:color w:val="auto"/>
                <w:kern w:val="0"/>
                <w:szCs w:val="24"/>
              </w:rPr>
            </w:pPr>
            <w:r>
              <w:rPr>
                <w:rFonts w:hint="default" w:ascii="Times New Roman" w:hAnsi="Times New Roman" w:eastAsia="宋体" w:cs="Times New Roman"/>
                <w:color w:val="auto"/>
                <w:kern w:val="0"/>
                <w:szCs w:val="24"/>
              </w:rPr>
              <w:t xml:space="preserve">城际公交：301由关山大道关南小区开往葛店开发区聚贤路仁慧路，全程45分钟。 </w:t>
            </w:r>
          </w:p>
          <w:p w14:paraId="1EDF4B6C">
            <w:pPr>
              <w:pStyle w:val="32"/>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Times New Roman" w:hAnsi="Times New Roman" w:eastAsia="宋体" w:cs="Times New Roman"/>
                <w:color w:val="auto"/>
                <w:kern w:val="0"/>
                <w:szCs w:val="24"/>
              </w:rPr>
            </w:pPr>
            <w:r>
              <w:rPr>
                <w:rFonts w:hint="default" w:ascii="Times New Roman" w:hAnsi="Times New Roman" w:eastAsia="宋体" w:cs="Times New Roman"/>
                <w:color w:val="auto"/>
                <w:kern w:val="0"/>
                <w:szCs w:val="24"/>
              </w:rPr>
              <w:t>水运：距湖北省最大的对外贸易港口——白浒山长江外贸港7公里路程，港内可停泊5000吨级货轮，直航香港、日本和东南亚主要港口，并设有保税仓库。</w:t>
            </w:r>
          </w:p>
          <w:p w14:paraId="6C269C4D">
            <w:pPr>
              <w:pStyle w:val="32"/>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Times New Roman" w:hAnsi="Times New Roman" w:eastAsia="宋体" w:cs="Times New Roman"/>
                <w:color w:val="auto"/>
                <w:kern w:val="0"/>
                <w:szCs w:val="24"/>
              </w:rPr>
            </w:pPr>
            <w:r>
              <w:rPr>
                <w:rFonts w:hint="default" w:ascii="Times New Roman" w:hAnsi="Times New Roman" w:eastAsia="宋体" w:cs="Times New Roman"/>
                <w:color w:val="auto"/>
                <w:kern w:val="0"/>
                <w:szCs w:val="24"/>
              </w:rPr>
              <w:t>空运：距武汉天河国际机场50公里。</w:t>
            </w:r>
          </w:p>
          <w:p w14:paraId="3ED868DE">
            <w:pPr>
              <w:pStyle w:val="4"/>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textAlignment w:val="auto"/>
              <w:rPr>
                <w:rFonts w:hint="default" w:ascii="Times New Roman" w:hAnsi="Times New Roman" w:eastAsia="宋体" w:cs="Times New Roman"/>
                <w:color w:val="auto"/>
                <w:sz w:val="28"/>
                <w:szCs w:val="28"/>
              </w:rPr>
            </w:pPr>
            <w:bookmarkStart w:id="31" w:name="_Toc20849"/>
            <w:bookmarkStart w:id="32" w:name="_Toc6788"/>
            <w:r>
              <w:rPr>
                <w:rFonts w:hint="default" w:ascii="Times New Roman" w:hAnsi="Times New Roman" w:eastAsia="宋体" w:cs="Times New Roman"/>
                <w:color w:val="auto"/>
                <w:sz w:val="28"/>
                <w:szCs w:val="28"/>
              </w:rPr>
              <w:t>七、文物保护</w:t>
            </w:r>
            <w:bookmarkEnd w:id="31"/>
            <w:bookmarkEnd w:id="32"/>
          </w:p>
          <w:p w14:paraId="2C5ACF1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1"/>
              <w:rPr>
                <w:rFonts w:ascii="Times New Roman" w:hAnsi="Times New Roman" w:cs="Times New Roman"/>
                <w:color w:val="auto"/>
                <w:sz w:val="24"/>
                <w:szCs w:val="24"/>
              </w:rPr>
            </w:pPr>
            <w:r>
              <w:rPr>
                <w:rFonts w:ascii="Times New Roman" w:hAnsi="Times New Roman" w:cs="Times New Roman"/>
                <w:color w:val="auto"/>
                <w:sz w:val="24"/>
                <w:szCs w:val="24"/>
              </w:rPr>
              <w:t>本项目周边环境无属于保护的文物和古迹。</w:t>
            </w:r>
          </w:p>
          <w:p w14:paraId="686DD2D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1"/>
              <w:rPr>
                <w:rFonts w:ascii="Times New Roman" w:hAnsi="Times New Roman" w:cs="Times New Roman"/>
                <w:color w:val="auto"/>
                <w:sz w:val="24"/>
                <w:szCs w:val="24"/>
              </w:rPr>
            </w:pPr>
          </w:p>
          <w:p w14:paraId="4632F7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1"/>
              <w:rPr>
                <w:rFonts w:ascii="Times New Roman" w:hAnsi="Times New Roman" w:cs="Times New Roman"/>
                <w:color w:val="auto"/>
                <w:sz w:val="24"/>
                <w:szCs w:val="24"/>
              </w:rPr>
            </w:pPr>
          </w:p>
          <w:p w14:paraId="7A54CE7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1"/>
              <w:rPr>
                <w:rFonts w:ascii="Times New Roman" w:hAnsi="Times New Roman" w:cs="Times New Roman"/>
                <w:color w:val="auto"/>
                <w:sz w:val="24"/>
                <w:szCs w:val="24"/>
              </w:rPr>
            </w:pPr>
          </w:p>
          <w:p w14:paraId="7C4514D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1"/>
              <w:rPr>
                <w:rFonts w:ascii="Times New Roman" w:hAnsi="Times New Roman" w:cs="Times New Roman"/>
                <w:color w:val="auto"/>
                <w:sz w:val="24"/>
                <w:szCs w:val="24"/>
              </w:rPr>
            </w:pPr>
          </w:p>
          <w:p w14:paraId="038138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1"/>
              <w:rPr>
                <w:rFonts w:ascii="Times New Roman" w:hAnsi="Times New Roman" w:cs="Times New Roman"/>
                <w:color w:val="auto"/>
                <w:sz w:val="24"/>
                <w:szCs w:val="24"/>
              </w:rPr>
            </w:pPr>
          </w:p>
          <w:p w14:paraId="45C0A32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1"/>
              <w:rPr>
                <w:rFonts w:ascii="Times New Roman" w:hAnsi="Times New Roman" w:cs="Times New Roman"/>
                <w:color w:val="auto"/>
                <w:sz w:val="24"/>
                <w:szCs w:val="24"/>
              </w:rPr>
            </w:pPr>
          </w:p>
          <w:p w14:paraId="4AB0062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1"/>
              <w:rPr>
                <w:rFonts w:ascii="Times New Roman" w:hAnsi="Times New Roman" w:cs="Times New Roman"/>
                <w:color w:val="auto"/>
                <w:sz w:val="24"/>
                <w:szCs w:val="24"/>
              </w:rPr>
            </w:pPr>
          </w:p>
          <w:p w14:paraId="68A85B3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1"/>
              <w:rPr>
                <w:rFonts w:ascii="Times New Roman" w:hAnsi="Times New Roman" w:cs="Times New Roman"/>
                <w:color w:val="auto"/>
                <w:sz w:val="24"/>
                <w:szCs w:val="24"/>
              </w:rPr>
            </w:pPr>
          </w:p>
          <w:p w14:paraId="66473155">
            <w:pPr>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rPr>
                <w:rFonts w:hint="eastAsia"/>
                <w:color w:val="auto"/>
                <w:vertAlign w:val="baseline"/>
                <w:lang w:eastAsia="zh-CN"/>
              </w:rPr>
            </w:pPr>
          </w:p>
          <w:p w14:paraId="56C6B6D0">
            <w:pPr>
              <w:pageBreakBefore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rPr>
                <w:rFonts w:hint="eastAsia"/>
                <w:color w:val="auto"/>
                <w:vertAlign w:val="baseline"/>
                <w:lang w:eastAsia="zh-CN"/>
              </w:rPr>
            </w:pPr>
          </w:p>
        </w:tc>
      </w:tr>
    </w:tbl>
    <w:p w14:paraId="1811AF11">
      <w:pPr>
        <w:pStyle w:val="2"/>
        <w:rPr>
          <w:rFonts w:hint="eastAsia"/>
          <w:color w:val="auto"/>
          <w:lang w:eastAsia="zh-CN"/>
        </w:rPr>
      </w:pPr>
      <w:bookmarkStart w:id="33" w:name="_Toc13321"/>
      <w:bookmarkStart w:id="34" w:name="_Toc23771"/>
      <w:bookmarkStart w:id="35" w:name="_Toc20494"/>
      <w:r>
        <w:rPr>
          <w:rFonts w:hint="eastAsia"/>
          <w:color w:val="auto"/>
          <w:lang w:eastAsia="zh-CN"/>
        </w:rPr>
        <w:t>三、环境质量状况</w:t>
      </w:r>
      <w:bookmarkEnd w:id="33"/>
      <w:bookmarkEnd w:id="34"/>
      <w:bookmarkEnd w:id="35"/>
    </w:p>
    <w:tbl>
      <w:tblPr>
        <w:tblStyle w:val="16"/>
        <w:tblW w:w="9071"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071"/>
      </w:tblGrid>
      <w:tr w14:paraId="51C69117">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9071" w:type="dxa"/>
            <w:tcBorders>
              <w:tl2br w:val="nil"/>
              <w:tr2bl w:val="nil"/>
            </w:tcBorders>
            <w:vAlign w:val="top"/>
          </w:tcPr>
          <w:p w14:paraId="2CD7C2D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1"/>
              <w:rPr>
                <w:rFonts w:hint="eastAsia" w:ascii="宋体" w:hAnsi="宋体" w:eastAsia="宋体" w:cs="宋体"/>
                <w:b/>
                <w:bCs/>
                <w:color w:val="auto"/>
                <w:sz w:val="30"/>
                <w:szCs w:val="32"/>
              </w:rPr>
            </w:pPr>
            <w:r>
              <w:rPr>
                <w:rFonts w:hint="eastAsia" w:ascii="宋体" w:hAnsi="宋体" w:eastAsia="宋体" w:cs="宋体"/>
                <w:b/>
                <w:bCs/>
                <w:color w:val="auto"/>
                <w:sz w:val="30"/>
                <w:szCs w:val="32"/>
              </w:rPr>
              <w:t>建设项目所在地区域环境质量现状及主要环境问题(环境空气、地面水、声环境、生态环境等)</w:t>
            </w:r>
          </w:p>
          <w:p w14:paraId="46CDA8F8">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ascii="Times New Roman" w:hAnsi="Times New Roman" w:cs="Times New Roman"/>
                <w:b/>
                <w:bCs/>
                <w:color w:val="auto"/>
                <w:sz w:val="28"/>
                <w:szCs w:val="28"/>
              </w:rPr>
            </w:pPr>
            <w:r>
              <w:rPr>
                <w:rFonts w:ascii="Times New Roman" w:hAnsi="Times New Roman" w:cs="Times New Roman"/>
                <w:b/>
                <w:bCs/>
                <w:color w:val="auto"/>
                <w:sz w:val="28"/>
                <w:szCs w:val="28"/>
              </w:rPr>
              <w:t>大气环境现状监测及评价</w:t>
            </w:r>
          </w:p>
          <w:p w14:paraId="17890AB1">
            <w:pPr>
              <w:kinsoku w:val="0"/>
              <w:overflowPunct w:val="0"/>
              <w:topLinePunct/>
              <w:autoSpaceDE w:val="0"/>
              <w:autoSpaceDN w:val="0"/>
              <w:spacing w:line="360" w:lineRule="auto"/>
              <w:ind w:firstLine="480" w:firstLineChars="200"/>
              <w:rPr>
                <w:color w:val="auto"/>
                <w:sz w:val="24"/>
                <w:szCs w:val="24"/>
              </w:rPr>
            </w:pPr>
            <w:r>
              <w:rPr>
                <w:color w:val="auto"/>
                <w:sz w:val="24"/>
                <w:szCs w:val="24"/>
              </w:rPr>
              <w:t>根据《鄂州市环境空气质量功能规划》中规划，本项目所在区域属于环境空气二类区，执行</w:t>
            </w:r>
            <w:r>
              <w:rPr>
                <w:color w:val="auto"/>
                <w:sz w:val="24"/>
                <w:szCs w:val="24"/>
                <w:lang w:val="zh-CN"/>
              </w:rPr>
              <w:t>《环境空气质量标准》（GB3095-2012）二级标准</w:t>
            </w:r>
            <w:r>
              <w:rPr>
                <w:color w:val="auto"/>
                <w:sz w:val="24"/>
                <w:szCs w:val="24"/>
              </w:rPr>
              <w:t>。</w:t>
            </w:r>
          </w:p>
          <w:p w14:paraId="209588E9">
            <w:pPr>
              <w:widowControl/>
              <w:autoSpaceDE w:val="0"/>
              <w:autoSpaceDN w:val="0"/>
              <w:adjustRightInd w:val="0"/>
              <w:spacing w:line="360" w:lineRule="auto"/>
              <w:ind w:firstLine="480"/>
              <w:rPr>
                <w:rFonts w:hint="default" w:ascii="Times New Roman" w:hAnsi="Times New Roman" w:eastAsia="宋体" w:cs="Times New Roman"/>
                <w:b/>
                <w:color w:val="auto"/>
                <w:kern w:val="0"/>
                <w:sz w:val="21"/>
                <w:szCs w:val="21"/>
              </w:rPr>
            </w:pPr>
            <w:r>
              <w:rPr>
                <w:rFonts w:ascii="Times New Roman" w:hAnsi="Times New Roman" w:cs="Times New Roman"/>
                <w:color w:val="auto"/>
                <w:sz w:val="24"/>
              </w:rPr>
              <w:t>根据《环境影响评价技术导则</w:t>
            </w:r>
            <w:r>
              <w:rPr>
                <w:rFonts w:hint="eastAsia" w:ascii="Times New Roman" w:hAnsi="Times New Roman" w:cs="Times New Roman"/>
                <w:color w:val="auto"/>
                <w:sz w:val="24"/>
                <w:lang w:val="en-US" w:eastAsia="zh-CN"/>
              </w:rPr>
              <w:t>-</w:t>
            </w:r>
            <w:r>
              <w:rPr>
                <w:rFonts w:ascii="Times New Roman" w:hAnsi="Times New Roman" w:cs="Times New Roman"/>
                <w:color w:val="auto"/>
                <w:sz w:val="24"/>
              </w:rPr>
              <w:t>大气环境》</w:t>
            </w:r>
            <w:r>
              <w:rPr>
                <w:rFonts w:hint="eastAsia" w:ascii="Times New Roman" w:hAnsi="Times New Roman" w:cs="Times New Roman"/>
                <w:color w:val="auto"/>
                <w:sz w:val="24"/>
                <w:lang w:eastAsia="zh-CN"/>
              </w:rPr>
              <w:t>（</w:t>
            </w:r>
            <w:r>
              <w:rPr>
                <w:rFonts w:ascii="Times New Roman" w:hAnsi="Times New Roman" w:cs="Times New Roman"/>
                <w:color w:val="auto"/>
                <w:sz w:val="24"/>
              </w:rPr>
              <w:t>HJ/T2.2-2008</w:t>
            </w:r>
            <w:r>
              <w:rPr>
                <w:rFonts w:hint="eastAsia" w:ascii="Times New Roman" w:hAnsi="Times New Roman" w:cs="Times New Roman"/>
                <w:color w:val="auto"/>
                <w:sz w:val="24"/>
                <w:lang w:eastAsia="zh-CN"/>
              </w:rPr>
              <w:t>）</w:t>
            </w:r>
            <w:r>
              <w:rPr>
                <w:rFonts w:ascii="Times New Roman" w:hAnsi="Times New Roman" w:cs="Times New Roman"/>
                <w:color w:val="auto"/>
                <w:sz w:val="24"/>
              </w:rPr>
              <w:t>要求，环境空气质量现状调查可收集评价范围内及邻近评价范围的例行空气质量监测点的近三年与项目有关的监测资料。本项目</w:t>
            </w:r>
            <w:r>
              <w:rPr>
                <w:rFonts w:hint="eastAsia" w:cs="Times New Roman"/>
                <w:color w:val="auto"/>
                <w:sz w:val="24"/>
                <w:lang w:eastAsia="zh-CN"/>
              </w:rPr>
              <w:t>环评</w:t>
            </w:r>
            <w:r>
              <w:rPr>
                <w:rFonts w:ascii="Times New Roman" w:hAnsi="Times New Roman" w:cs="Times New Roman"/>
                <w:color w:val="auto"/>
                <w:sz w:val="24"/>
              </w:rPr>
              <w:t>引用</w:t>
            </w:r>
            <w:r>
              <w:rPr>
                <w:rFonts w:hint="eastAsia" w:ascii="Times New Roman" w:hAnsi="Times New Roman" w:cs="Times New Roman"/>
                <w:color w:val="auto"/>
                <w:sz w:val="24"/>
              </w:rPr>
              <w:t>《武汉华甜生物科技有限公司1000吨食品添加剂扩建项目</w:t>
            </w:r>
            <w:r>
              <w:rPr>
                <w:rFonts w:ascii="Times New Roman" w:hAnsi="Times New Roman" w:cs="Times New Roman"/>
                <w:color w:val="auto"/>
                <w:sz w:val="24"/>
              </w:rPr>
              <w:t>环境影响评价</w:t>
            </w:r>
            <w:r>
              <w:rPr>
                <w:rFonts w:hint="eastAsia" w:cs="Times New Roman"/>
                <w:color w:val="auto"/>
                <w:sz w:val="24"/>
                <w:lang w:eastAsia="zh-CN"/>
              </w:rPr>
              <w:t>报告书</w:t>
            </w:r>
            <w:r>
              <w:rPr>
                <w:rFonts w:hint="eastAsia" w:ascii="Times New Roman" w:hAnsi="Times New Roman" w:cs="Times New Roman"/>
                <w:color w:val="auto"/>
                <w:sz w:val="24"/>
              </w:rPr>
              <w:t>》</w:t>
            </w:r>
            <w:r>
              <w:rPr>
                <w:rFonts w:hint="eastAsia" w:ascii="Times New Roman" w:hAnsi="Times New Roman" w:cs="Times New Roman"/>
                <w:color w:val="auto"/>
                <w:sz w:val="24"/>
                <w:lang w:eastAsia="zh-CN"/>
              </w:rPr>
              <w:t>中</w:t>
            </w:r>
            <w:r>
              <w:rPr>
                <w:rFonts w:ascii="Times New Roman" w:hAnsi="Times New Roman" w:cs="Times New Roman"/>
                <w:color w:val="auto"/>
                <w:sz w:val="24"/>
              </w:rPr>
              <w:t>2017年2月23-3月1</w:t>
            </w:r>
            <w:r>
              <w:rPr>
                <w:rFonts w:hint="eastAsia" w:ascii="Times New Roman" w:hAnsi="Times New Roman" w:cs="Times New Roman"/>
                <w:color w:val="auto"/>
                <w:sz w:val="24"/>
              </w:rPr>
              <w:t>日</w:t>
            </w:r>
            <w:r>
              <w:rPr>
                <w:rFonts w:ascii="Times New Roman" w:hAnsi="Times New Roman" w:cs="Times New Roman"/>
                <w:color w:val="auto"/>
                <w:sz w:val="24"/>
              </w:rPr>
              <w:t>的</w:t>
            </w:r>
            <w:r>
              <w:rPr>
                <w:rFonts w:hint="eastAsia" w:cs="Times New Roman"/>
                <w:color w:val="auto"/>
                <w:sz w:val="24"/>
                <w:lang w:eastAsia="zh-CN"/>
              </w:rPr>
              <w:t>环境空气现状</w:t>
            </w:r>
            <w:r>
              <w:rPr>
                <w:rFonts w:ascii="Times New Roman" w:hAnsi="Times New Roman" w:cs="Times New Roman"/>
                <w:color w:val="auto"/>
                <w:sz w:val="24"/>
              </w:rPr>
              <w:t>监测</w:t>
            </w:r>
            <w:r>
              <w:rPr>
                <w:rFonts w:hint="eastAsia" w:cs="Times New Roman"/>
                <w:color w:val="auto"/>
                <w:sz w:val="24"/>
                <w:lang w:eastAsia="zh-CN"/>
              </w:rPr>
              <w:t>报告中</w:t>
            </w:r>
            <w:r>
              <w:rPr>
                <w:rFonts w:hint="eastAsia" w:cs="Times New Roman"/>
                <w:color w:val="auto"/>
                <w:sz w:val="24"/>
                <w:lang w:val="en-US" w:eastAsia="zh-CN"/>
              </w:rPr>
              <w:t>昊城景都监测点A1（距本项目796米）的数据，监测点与本项目间距均在2.5千米以内，满足导则</w:t>
            </w:r>
            <w:r>
              <w:rPr>
                <w:rFonts w:hint="eastAsia" w:cs="Times New Roman"/>
                <w:color w:val="auto"/>
                <w:sz w:val="24"/>
                <w:lang w:eastAsia="zh-CN"/>
              </w:rPr>
              <w:t>中大气监测数据引用要求。综上所述，大气监测数据</w:t>
            </w:r>
            <w:r>
              <w:rPr>
                <w:rFonts w:ascii="Times New Roman" w:hAnsi="Times New Roman" w:cs="Times New Roman"/>
                <w:color w:val="auto"/>
                <w:sz w:val="24"/>
              </w:rPr>
              <w:t>引用是合理的。</w:t>
            </w:r>
          </w:p>
          <w:p w14:paraId="5878DEDE">
            <w:pPr>
              <w:keepNext w:val="0"/>
              <w:keepLines w:val="0"/>
              <w:pageBreakBefore w:val="0"/>
              <w:widowControl/>
              <w:tabs>
                <w:tab w:val="left" w:pos="7710"/>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color w:val="auto"/>
                <w:kern w:val="0"/>
                <w:sz w:val="21"/>
                <w:szCs w:val="21"/>
              </w:rPr>
            </w:pPr>
            <w:r>
              <w:rPr>
                <w:rFonts w:hint="default" w:ascii="Times New Roman" w:hAnsi="Times New Roman" w:eastAsia="宋体" w:cs="Times New Roman"/>
                <w:b/>
                <w:color w:val="auto"/>
                <w:kern w:val="0"/>
                <w:sz w:val="21"/>
                <w:szCs w:val="21"/>
              </w:rPr>
              <w:t xml:space="preserve">表3-1 </w:t>
            </w:r>
            <w:r>
              <w:rPr>
                <w:rFonts w:hint="eastAsia" w:ascii="Times New Roman" w:hAnsi="Times New Roman" w:eastAsia="宋体" w:cs="Times New Roman"/>
                <w:b/>
                <w:color w:val="auto"/>
                <w:kern w:val="0"/>
                <w:sz w:val="21"/>
                <w:szCs w:val="21"/>
                <w:lang w:val="en-US" w:eastAsia="zh-CN"/>
              </w:rPr>
              <w:t xml:space="preserve"> </w:t>
            </w:r>
            <w:r>
              <w:rPr>
                <w:rFonts w:hint="default" w:ascii="Times New Roman" w:hAnsi="Times New Roman" w:eastAsia="宋体" w:cs="Times New Roman"/>
                <w:b/>
                <w:color w:val="auto"/>
                <w:kern w:val="0"/>
                <w:sz w:val="21"/>
                <w:szCs w:val="21"/>
              </w:rPr>
              <w:t>环境空气质量监测结果</w:t>
            </w:r>
          </w:p>
          <w:tbl>
            <w:tblPr>
              <w:tblStyle w:val="15"/>
              <w:tblW w:w="8504" w:type="dxa"/>
              <w:jc w:val="center"/>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
            <w:tblGrid>
              <w:gridCol w:w="1170"/>
              <w:gridCol w:w="1036"/>
              <w:gridCol w:w="1077"/>
              <w:gridCol w:w="1212"/>
              <w:gridCol w:w="890"/>
              <w:gridCol w:w="1248"/>
              <w:gridCol w:w="726"/>
              <w:gridCol w:w="1145"/>
            </w:tblGrid>
            <w:tr w14:paraId="44653E72">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454" w:hRule="atLeast"/>
                <w:jc w:val="center"/>
              </w:trPr>
              <w:tc>
                <w:tcPr>
                  <w:tcW w:w="1170" w:type="dxa"/>
                  <w:tcBorders>
                    <w:top w:val="single" w:color="000000" w:sz="12" w:space="0"/>
                    <w:bottom w:val="single" w:color="000000" w:sz="12" w:space="0"/>
                  </w:tcBorders>
                  <w:vAlign w:val="center"/>
                </w:tcPr>
                <w:p w14:paraId="34C71D0D">
                  <w:pPr>
                    <w:keepLines/>
                    <w:widowControl w:val="0"/>
                    <w:wordWrap w:val="0"/>
                    <w:jc w:val="center"/>
                    <w:rPr>
                      <w:rFonts w:ascii="Times New Roman" w:hAnsi="Times New Roman" w:cs="Times New Roman"/>
                      <w:b/>
                      <w:color w:val="auto"/>
                      <w:sz w:val="21"/>
                      <w:szCs w:val="21"/>
                    </w:rPr>
                  </w:pPr>
                  <w:r>
                    <w:rPr>
                      <w:rFonts w:ascii="Times New Roman" w:hAnsi="Times New Roman" w:cs="Times New Roman"/>
                      <w:b/>
                      <w:color w:val="auto"/>
                      <w:sz w:val="21"/>
                      <w:szCs w:val="21"/>
                    </w:rPr>
                    <w:t>监测点位</w:t>
                  </w:r>
                </w:p>
              </w:tc>
              <w:tc>
                <w:tcPr>
                  <w:tcW w:w="1036" w:type="dxa"/>
                  <w:tcBorders>
                    <w:top w:val="single" w:color="000000" w:sz="12" w:space="0"/>
                    <w:bottom w:val="single" w:color="000000" w:sz="12" w:space="0"/>
                  </w:tcBorders>
                  <w:vAlign w:val="center"/>
                </w:tcPr>
                <w:p w14:paraId="774D1097">
                  <w:pPr>
                    <w:keepLines/>
                    <w:widowControl w:val="0"/>
                    <w:wordWrap w:val="0"/>
                    <w:jc w:val="center"/>
                    <w:rPr>
                      <w:rFonts w:ascii="Times New Roman" w:hAnsi="Times New Roman" w:cs="Times New Roman"/>
                      <w:b/>
                      <w:color w:val="auto"/>
                      <w:sz w:val="21"/>
                      <w:szCs w:val="21"/>
                    </w:rPr>
                  </w:pPr>
                  <w:r>
                    <w:rPr>
                      <w:rFonts w:ascii="Times New Roman" w:hAnsi="Times New Roman" w:cs="Times New Roman"/>
                      <w:b/>
                      <w:color w:val="auto"/>
                      <w:sz w:val="21"/>
                      <w:szCs w:val="21"/>
                    </w:rPr>
                    <w:t>取值时间</w:t>
                  </w:r>
                </w:p>
              </w:tc>
              <w:tc>
                <w:tcPr>
                  <w:tcW w:w="1077" w:type="dxa"/>
                  <w:tcBorders>
                    <w:top w:val="single" w:color="000000" w:sz="12" w:space="0"/>
                    <w:bottom w:val="single" w:color="000000" w:sz="12" w:space="0"/>
                  </w:tcBorders>
                  <w:vAlign w:val="center"/>
                </w:tcPr>
                <w:p w14:paraId="2B81F5EA">
                  <w:pPr>
                    <w:keepLines/>
                    <w:widowControl w:val="0"/>
                    <w:wordWrap w:val="0"/>
                    <w:jc w:val="center"/>
                    <w:rPr>
                      <w:rFonts w:ascii="Times New Roman" w:hAnsi="Times New Roman" w:cs="Times New Roman"/>
                      <w:b/>
                      <w:color w:val="auto"/>
                      <w:sz w:val="21"/>
                      <w:szCs w:val="21"/>
                    </w:rPr>
                  </w:pPr>
                  <w:r>
                    <w:rPr>
                      <w:rFonts w:ascii="Times New Roman" w:hAnsi="Times New Roman" w:cs="Times New Roman"/>
                      <w:b/>
                      <w:color w:val="auto"/>
                      <w:sz w:val="21"/>
                      <w:szCs w:val="21"/>
                    </w:rPr>
                    <w:t>监测项目</w:t>
                  </w:r>
                </w:p>
              </w:tc>
              <w:tc>
                <w:tcPr>
                  <w:tcW w:w="1212" w:type="dxa"/>
                  <w:tcBorders>
                    <w:top w:val="single" w:color="000000" w:sz="12" w:space="0"/>
                    <w:bottom w:val="single" w:color="000000" w:sz="12" w:space="0"/>
                  </w:tcBorders>
                  <w:vAlign w:val="center"/>
                </w:tcPr>
                <w:p w14:paraId="56069E4E">
                  <w:pPr>
                    <w:keepLines/>
                    <w:widowControl w:val="0"/>
                    <w:wordWrap w:val="0"/>
                    <w:jc w:val="center"/>
                    <w:rPr>
                      <w:rFonts w:ascii="Times New Roman" w:hAnsi="Times New Roman" w:cs="Times New Roman"/>
                      <w:b/>
                      <w:color w:val="auto"/>
                      <w:sz w:val="21"/>
                      <w:szCs w:val="21"/>
                    </w:rPr>
                  </w:pPr>
                  <w:r>
                    <w:rPr>
                      <w:rFonts w:ascii="Times New Roman" w:hAnsi="Times New Roman" w:cs="Times New Roman"/>
                      <w:b/>
                      <w:color w:val="auto"/>
                      <w:sz w:val="21"/>
                      <w:szCs w:val="21"/>
                    </w:rPr>
                    <w:t>浓度范围</w:t>
                  </w:r>
                </w:p>
              </w:tc>
              <w:tc>
                <w:tcPr>
                  <w:tcW w:w="890" w:type="dxa"/>
                  <w:tcBorders>
                    <w:top w:val="single" w:color="000000" w:sz="12" w:space="0"/>
                    <w:bottom w:val="single" w:color="000000" w:sz="12" w:space="0"/>
                  </w:tcBorders>
                  <w:vAlign w:val="center"/>
                </w:tcPr>
                <w:p w14:paraId="23C8481E">
                  <w:pPr>
                    <w:keepLines/>
                    <w:widowControl w:val="0"/>
                    <w:wordWrap w:val="0"/>
                    <w:jc w:val="center"/>
                    <w:rPr>
                      <w:rFonts w:ascii="Times New Roman" w:hAnsi="Times New Roman" w:cs="Times New Roman"/>
                      <w:b/>
                      <w:color w:val="auto"/>
                      <w:sz w:val="21"/>
                      <w:szCs w:val="21"/>
                    </w:rPr>
                  </w:pPr>
                  <w:r>
                    <w:rPr>
                      <w:rFonts w:ascii="Times New Roman" w:hAnsi="Times New Roman" w:cs="Times New Roman"/>
                      <w:b/>
                      <w:color w:val="auto"/>
                      <w:sz w:val="21"/>
                      <w:szCs w:val="21"/>
                    </w:rPr>
                    <w:t>标准值</w:t>
                  </w:r>
                </w:p>
              </w:tc>
              <w:tc>
                <w:tcPr>
                  <w:tcW w:w="1248" w:type="dxa"/>
                  <w:tcBorders>
                    <w:top w:val="single" w:color="000000" w:sz="12" w:space="0"/>
                    <w:bottom w:val="single" w:color="000000" w:sz="12" w:space="0"/>
                  </w:tcBorders>
                  <w:vAlign w:val="center"/>
                </w:tcPr>
                <w:p w14:paraId="28B190F6">
                  <w:pPr>
                    <w:keepLines/>
                    <w:widowControl w:val="0"/>
                    <w:wordWrap w:val="0"/>
                    <w:jc w:val="center"/>
                    <w:rPr>
                      <w:rFonts w:ascii="Times New Roman" w:hAnsi="Times New Roman" w:cs="Times New Roman"/>
                      <w:b/>
                      <w:color w:val="auto"/>
                      <w:sz w:val="21"/>
                      <w:szCs w:val="21"/>
                    </w:rPr>
                  </w:pPr>
                  <w:r>
                    <w:rPr>
                      <w:rFonts w:ascii="Times New Roman" w:hAnsi="Times New Roman" w:cs="Times New Roman"/>
                      <w:b/>
                      <w:color w:val="auto"/>
                      <w:sz w:val="21"/>
                      <w:szCs w:val="21"/>
                    </w:rPr>
                    <w:t>标准指数范围</w:t>
                  </w:r>
                </w:p>
              </w:tc>
              <w:tc>
                <w:tcPr>
                  <w:tcW w:w="726" w:type="dxa"/>
                  <w:tcBorders>
                    <w:top w:val="single" w:color="000000" w:sz="12" w:space="0"/>
                    <w:bottom w:val="single" w:color="000000" w:sz="12" w:space="0"/>
                  </w:tcBorders>
                  <w:vAlign w:val="center"/>
                </w:tcPr>
                <w:p w14:paraId="6AD73309">
                  <w:pPr>
                    <w:keepLines/>
                    <w:widowControl w:val="0"/>
                    <w:wordWrap w:val="0"/>
                    <w:jc w:val="center"/>
                    <w:rPr>
                      <w:rFonts w:ascii="Times New Roman" w:hAnsi="Times New Roman" w:cs="Times New Roman"/>
                      <w:b/>
                      <w:color w:val="auto"/>
                      <w:sz w:val="21"/>
                      <w:szCs w:val="21"/>
                    </w:rPr>
                  </w:pPr>
                  <w:r>
                    <w:rPr>
                      <w:rFonts w:ascii="Times New Roman" w:hAnsi="Times New Roman" w:cs="Times New Roman"/>
                      <w:b/>
                      <w:color w:val="auto"/>
                      <w:sz w:val="21"/>
                      <w:szCs w:val="21"/>
                    </w:rPr>
                    <w:t>超标率</w:t>
                  </w:r>
                </w:p>
              </w:tc>
              <w:tc>
                <w:tcPr>
                  <w:tcW w:w="1145" w:type="dxa"/>
                  <w:tcBorders>
                    <w:top w:val="single" w:color="000000" w:sz="12" w:space="0"/>
                    <w:bottom w:val="single" w:color="000000" w:sz="12" w:space="0"/>
                  </w:tcBorders>
                  <w:vAlign w:val="center"/>
                </w:tcPr>
                <w:p w14:paraId="032F37B1">
                  <w:pPr>
                    <w:keepLines/>
                    <w:widowControl w:val="0"/>
                    <w:wordWrap w:val="0"/>
                    <w:jc w:val="center"/>
                    <w:rPr>
                      <w:rFonts w:ascii="Times New Roman" w:hAnsi="Times New Roman" w:cs="Times New Roman"/>
                      <w:b/>
                      <w:color w:val="auto"/>
                      <w:sz w:val="21"/>
                      <w:szCs w:val="21"/>
                    </w:rPr>
                  </w:pPr>
                  <w:r>
                    <w:rPr>
                      <w:rFonts w:ascii="Times New Roman" w:hAnsi="Times New Roman" w:cs="Times New Roman"/>
                      <w:b/>
                      <w:color w:val="auto"/>
                      <w:sz w:val="21"/>
                      <w:szCs w:val="21"/>
                    </w:rPr>
                    <w:t>最大超标倍数</w:t>
                  </w:r>
                </w:p>
              </w:tc>
            </w:tr>
            <w:tr w14:paraId="29A71F59">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454" w:hRule="atLeast"/>
                <w:jc w:val="center"/>
              </w:trPr>
              <w:tc>
                <w:tcPr>
                  <w:tcW w:w="1170" w:type="dxa"/>
                  <w:vMerge w:val="restart"/>
                  <w:vAlign w:val="center"/>
                </w:tcPr>
                <w:p w14:paraId="039C2CBA">
                  <w:pPr>
                    <w:keepLines/>
                    <w:widowControl w:val="0"/>
                    <w:wordWrap w:val="0"/>
                    <w:jc w:val="center"/>
                    <w:rPr>
                      <w:rFonts w:hint="eastAsia" w:cs="Times New Roman"/>
                      <w:color w:val="auto"/>
                      <w:sz w:val="21"/>
                      <w:szCs w:val="21"/>
                      <w:lang w:val="en-US" w:eastAsia="zh-CN"/>
                    </w:rPr>
                  </w:pPr>
                  <w:r>
                    <w:rPr>
                      <w:rFonts w:hint="eastAsia" w:cs="Times New Roman"/>
                      <w:color w:val="auto"/>
                      <w:sz w:val="21"/>
                      <w:szCs w:val="21"/>
                      <w:lang w:val="en-US" w:eastAsia="zh-CN"/>
                    </w:rPr>
                    <w:t>昊城景都</w:t>
                  </w:r>
                </w:p>
                <w:p w14:paraId="6266B18E">
                  <w:pPr>
                    <w:keepLines/>
                    <w:widowControl w:val="0"/>
                    <w:wordWrap w:val="0"/>
                    <w:jc w:val="center"/>
                    <w:rPr>
                      <w:rFonts w:ascii="Times New Roman" w:hAnsi="Times New Roman" w:cs="Times New Roman"/>
                      <w:color w:val="auto"/>
                      <w:sz w:val="21"/>
                      <w:szCs w:val="21"/>
                    </w:rPr>
                  </w:pPr>
                  <w:r>
                    <w:rPr>
                      <w:rFonts w:hint="eastAsia" w:cs="Times New Roman"/>
                      <w:color w:val="auto"/>
                      <w:sz w:val="21"/>
                      <w:szCs w:val="21"/>
                      <w:lang w:val="en-US" w:eastAsia="zh-CN"/>
                    </w:rPr>
                    <w:t>监测点</w:t>
                  </w:r>
                  <w:r>
                    <w:rPr>
                      <w:rFonts w:ascii="Times New Roman" w:hAnsi="Times New Roman" w:cs="Times New Roman"/>
                      <w:color w:val="auto"/>
                      <w:sz w:val="21"/>
                      <w:szCs w:val="21"/>
                    </w:rPr>
                    <w:t>A</w:t>
                  </w:r>
                  <w:r>
                    <w:rPr>
                      <w:rFonts w:hint="eastAsia" w:cs="Times New Roman"/>
                      <w:color w:val="auto"/>
                      <w:sz w:val="21"/>
                      <w:szCs w:val="21"/>
                      <w:lang w:val="en-US" w:eastAsia="zh-CN"/>
                    </w:rPr>
                    <w:t>1</w:t>
                  </w:r>
                </w:p>
                <w:p w14:paraId="5C871D71">
                  <w:pPr>
                    <w:keepLines/>
                    <w:widowControl w:val="0"/>
                    <w:wordWrap w:val="0"/>
                    <w:jc w:val="center"/>
                    <w:rPr>
                      <w:rFonts w:ascii="Times New Roman" w:hAnsi="Times New Roman" w:cs="Times New Roman"/>
                      <w:color w:val="auto"/>
                      <w:sz w:val="21"/>
                      <w:szCs w:val="21"/>
                    </w:rPr>
                  </w:pPr>
                  <w:r>
                    <w:rPr>
                      <w:rFonts w:hint="eastAsia" w:cs="Times New Roman"/>
                      <w:color w:val="auto"/>
                      <w:sz w:val="21"/>
                      <w:szCs w:val="21"/>
                      <w:lang w:val="en-US" w:eastAsia="zh-CN"/>
                    </w:rPr>
                    <w:t>（距本项目796米）</w:t>
                  </w:r>
                </w:p>
              </w:tc>
              <w:tc>
                <w:tcPr>
                  <w:tcW w:w="1036" w:type="dxa"/>
                  <w:vMerge w:val="restart"/>
                  <w:vAlign w:val="center"/>
                </w:tcPr>
                <w:p w14:paraId="59349DEC">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1小时均值</w:t>
                  </w:r>
                </w:p>
              </w:tc>
              <w:tc>
                <w:tcPr>
                  <w:tcW w:w="1077" w:type="dxa"/>
                  <w:vAlign w:val="center"/>
                </w:tcPr>
                <w:p w14:paraId="319A68C8">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SO</w:t>
                  </w:r>
                  <w:r>
                    <w:rPr>
                      <w:rFonts w:ascii="Times New Roman" w:hAnsi="Times New Roman" w:cs="Times New Roman"/>
                      <w:color w:val="auto"/>
                      <w:sz w:val="21"/>
                      <w:szCs w:val="21"/>
                      <w:vertAlign w:val="subscript"/>
                    </w:rPr>
                    <w:t>2</w:t>
                  </w:r>
                </w:p>
              </w:tc>
              <w:tc>
                <w:tcPr>
                  <w:tcW w:w="1212" w:type="dxa"/>
                  <w:vAlign w:val="center"/>
                </w:tcPr>
                <w:p w14:paraId="09FBDD7C">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0.021-0.043</w:t>
                  </w:r>
                </w:p>
              </w:tc>
              <w:tc>
                <w:tcPr>
                  <w:tcW w:w="890" w:type="dxa"/>
                  <w:vAlign w:val="center"/>
                </w:tcPr>
                <w:p w14:paraId="5C1961AE">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0.5</w:t>
                  </w:r>
                </w:p>
              </w:tc>
              <w:tc>
                <w:tcPr>
                  <w:tcW w:w="1248" w:type="dxa"/>
                  <w:vAlign w:val="center"/>
                </w:tcPr>
                <w:p w14:paraId="341246BD">
                  <w:pPr>
                    <w:keepLines/>
                    <w:widowControl w:val="0"/>
                    <w:wordWrap w:val="0"/>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0.042-0.086</w:t>
                  </w:r>
                </w:p>
              </w:tc>
              <w:tc>
                <w:tcPr>
                  <w:tcW w:w="726" w:type="dxa"/>
                  <w:vAlign w:val="center"/>
                </w:tcPr>
                <w:p w14:paraId="2DD805AC">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1145" w:type="dxa"/>
                  <w:vAlign w:val="center"/>
                </w:tcPr>
                <w:p w14:paraId="5645AAFF">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r>
            <w:tr w14:paraId="42BB0562">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454" w:hRule="atLeast"/>
                <w:jc w:val="center"/>
              </w:trPr>
              <w:tc>
                <w:tcPr>
                  <w:tcW w:w="1170" w:type="dxa"/>
                  <w:vMerge w:val="continue"/>
                  <w:vAlign w:val="center"/>
                </w:tcPr>
                <w:p w14:paraId="1DDA590F">
                  <w:pPr>
                    <w:keepLines/>
                    <w:widowControl w:val="0"/>
                    <w:wordWrap w:val="0"/>
                    <w:jc w:val="center"/>
                    <w:rPr>
                      <w:rFonts w:ascii="Times New Roman" w:hAnsi="Times New Roman" w:cs="Times New Roman"/>
                      <w:color w:val="auto"/>
                      <w:sz w:val="21"/>
                      <w:szCs w:val="21"/>
                    </w:rPr>
                  </w:pPr>
                </w:p>
              </w:tc>
              <w:tc>
                <w:tcPr>
                  <w:tcW w:w="1036" w:type="dxa"/>
                  <w:vMerge w:val="continue"/>
                  <w:vAlign w:val="center"/>
                </w:tcPr>
                <w:p w14:paraId="6A7D245E">
                  <w:pPr>
                    <w:keepLines/>
                    <w:widowControl w:val="0"/>
                    <w:wordWrap w:val="0"/>
                    <w:jc w:val="center"/>
                    <w:rPr>
                      <w:rFonts w:ascii="Times New Roman" w:hAnsi="Times New Roman" w:cs="Times New Roman"/>
                      <w:color w:val="auto"/>
                      <w:sz w:val="21"/>
                      <w:szCs w:val="21"/>
                    </w:rPr>
                  </w:pPr>
                </w:p>
              </w:tc>
              <w:tc>
                <w:tcPr>
                  <w:tcW w:w="1077" w:type="dxa"/>
                  <w:vAlign w:val="center"/>
                </w:tcPr>
                <w:p w14:paraId="55A81F32">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NO</w:t>
                  </w:r>
                  <w:r>
                    <w:rPr>
                      <w:rFonts w:ascii="Times New Roman" w:hAnsi="Times New Roman" w:cs="Times New Roman"/>
                      <w:color w:val="auto"/>
                      <w:sz w:val="21"/>
                      <w:szCs w:val="21"/>
                      <w:vertAlign w:val="subscript"/>
                    </w:rPr>
                    <w:t>2</w:t>
                  </w:r>
                </w:p>
              </w:tc>
              <w:tc>
                <w:tcPr>
                  <w:tcW w:w="1212" w:type="dxa"/>
                  <w:vAlign w:val="center"/>
                </w:tcPr>
                <w:p w14:paraId="507A9F9F">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0.019-0.044</w:t>
                  </w:r>
                </w:p>
              </w:tc>
              <w:tc>
                <w:tcPr>
                  <w:tcW w:w="890" w:type="dxa"/>
                  <w:vAlign w:val="center"/>
                </w:tcPr>
                <w:p w14:paraId="50D7DF7F">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0.2</w:t>
                  </w:r>
                </w:p>
              </w:tc>
              <w:tc>
                <w:tcPr>
                  <w:tcW w:w="1248" w:type="dxa"/>
                  <w:vAlign w:val="center"/>
                </w:tcPr>
                <w:p w14:paraId="76C8DFBA">
                  <w:pPr>
                    <w:keepLines/>
                    <w:widowControl w:val="0"/>
                    <w:wordWrap w:val="0"/>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0.095-0.220</w:t>
                  </w:r>
                </w:p>
              </w:tc>
              <w:tc>
                <w:tcPr>
                  <w:tcW w:w="726" w:type="dxa"/>
                  <w:vAlign w:val="center"/>
                </w:tcPr>
                <w:p w14:paraId="4B656DDA">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1145" w:type="dxa"/>
                  <w:vAlign w:val="center"/>
                </w:tcPr>
                <w:p w14:paraId="560A8DC6">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r>
            <w:tr w14:paraId="23CFF3DE">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454" w:hRule="atLeast"/>
                <w:jc w:val="center"/>
              </w:trPr>
              <w:tc>
                <w:tcPr>
                  <w:tcW w:w="1170" w:type="dxa"/>
                  <w:vMerge w:val="continue"/>
                  <w:vAlign w:val="center"/>
                </w:tcPr>
                <w:p w14:paraId="0D533744">
                  <w:pPr>
                    <w:keepLines/>
                    <w:widowControl w:val="0"/>
                    <w:wordWrap w:val="0"/>
                    <w:jc w:val="center"/>
                    <w:rPr>
                      <w:rFonts w:ascii="Times New Roman" w:hAnsi="Times New Roman" w:cs="Times New Roman"/>
                      <w:color w:val="auto"/>
                      <w:sz w:val="21"/>
                      <w:szCs w:val="21"/>
                    </w:rPr>
                  </w:pPr>
                </w:p>
              </w:tc>
              <w:tc>
                <w:tcPr>
                  <w:tcW w:w="1036" w:type="dxa"/>
                  <w:vMerge w:val="restart"/>
                  <w:vAlign w:val="center"/>
                </w:tcPr>
                <w:p w14:paraId="6E118D32">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24小时</w:t>
                  </w:r>
                </w:p>
                <w:p w14:paraId="6D9165AA">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均值</w:t>
                  </w:r>
                </w:p>
              </w:tc>
              <w:tc>
                <w:tcPr>
                  <w:tcW w:w="1077" w:type="dxa"/>
                  <w:vAlign w:val="center"/>
                </w:tcPr>
                <w:p w14:paraId="0B8AFB7C">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SO</w:t>
                  </w:r>
                  <w:r>
                    <w:rPr>
                      <w:rFonts w:ascii="Times New Roman" w:hAnsi="Times New Roman" w:cs="Times New Roman"/>
                      <w:color w:val="auto"/>
                      <w:sz w:val="21"/>
                      <w:szCs w:val="21"/>
                      <w:vertAlign w:val="subscript"/>
                    </w:rPr>
                    <w:t>2</w:t>
                  </w:r>
                </w:p>
              </w:tc>
              <w:tc>
                <w:tcPr>
                  <w:tcW w:w="1212" w:type="dxa"/>
                  <w:vAlign w:val="center"/>
                </w:tcPr>
                <w:p w14:paraId="5AA9318C">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0.029-0.041</w:t>
                  </w:r>
                </w:p>
              </w:tc>
              <w:tc>
                <w:tcPr>
                  <w:tcW w:w="890" w:type="dxa"/>
                  <w:vAlign w:val="center"/>
                </w:tcPr>
                <w:p w14:paraId="7151C0F5">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0.15</w:t>
                  </w:r>
                </w:p>
              </w:tc>
              <w:tc>
                <w:tcPr>
                  <w:tcW w:w="1248" w:type="dxa"/>
                  <w:vAlign w:val="center"/>
                </w:tcPr>
                <w:p w14:paraId="5329999D">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0.193-0.273</w:t>
                  </w:r>
                </w:p>
              </w:tc>
              <w:tc>
                <w:tcPr>
                  <w:tcW w:w="726" w:type="dxa"/>
                  <w:vAlign w:val="center"/>
                </w:tcPr>
                <w:p w14:paraId="6583356D">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1145" w:type="dxa"/>
                  <w:vAlign w:val="center"/>
                </w:tcPr>
                <w:p w14:paraId="3A175EA6">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r>
            <w:tr w14:paraId="5CDB75C9">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454" w:hRule="atLeast"/>
                <w:jc w:val="center"/>
              </w:trPr>
              <w:tc>
                <w:tcPr>
                  <w:tcW w:w="1170" w:type="dxa"/>
                  <w:vMerge w:val="continue"/>
                  <w:vAlign w:val="center"/>
                </w:tcPr>
                <w:p w14:paraId="65A5C676">
                  <w:pPr>
                    <w:keepLines/>
                    <w:widowControl w:val="0"/>
                    <w:wordWrap w:val="0"/>
                    <w:jc w:val="center"/>
                    <w:rPr>
                      <w:rFonts w:ascii="Times New Roman" w:hAnsi="Times New Roman" w:cs="Times New Roman"/>
                      <w:color w:val="auto"/>
                      <w:sz w:val="21"/>
                      <w:szCs w:val="21"/>
                    </w:rPr>
                  </w:pPr>
                </w:p>
              </w:tc>
              <w:tc>
                <w:tcPr>
                  <w:tcW w:w="1036" w:type="dxa"/>
                  <w:vMerge w:val="continue"/>
                  <w:vAlign w:val="center"/>
                </w:tcPr>
                <w:p w14:paraId="247CE8AF">
                  <w:pPr>
                    <w:keepLines/>
                    <w:widowControl w:val="0"/>
                    <w:wordWrap w:val="0"/>
                    <w:jc w:val="center"/>
                    <w:rPr>
                      <w:rFonts w:ascii="Times New Roman" w:hAnsi="Times New Roman" w:cs="Times New Roman"/>
                      <w:color w:val="auto"/>
                      <w:sz w:val="21"/>
                      <w:szCs w:val="21"/>
                    </w:rPr>
                  </w:pPr>
                </w:p>
              </w:tc>
              <w:tc>
                <w:tcPr>
                  <w:tcW w:w="1077" w:type="dxa"/>
                  <w:vAlign w:val="center"/>
                </w:tcPr>
                <w:p w14:paraId="7BF731D4">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NO</w:t>
                  </w:r>
                  <w:r>
                    <w:rPr>
                      <w:rFonts w:ascii="Times New Roman" w:hAnsi="Times New Roman" w:cs="Times New Roman"/>
                      <w:color w:val="auto"/>
                      <w:sz w:val="21"/>
                      <w:szCs w:val="21"/>
                      <w:vertAlign w:val="subscript"/>
                    </w:rPr>
                    <w:t>2</w:t>
                  </w:r>
                </w:p>
              </w:tc>
              <w:tc>
                <w:tcPr>
                  <w:tcW w:w="1212" w:type="dxa"/>
                  <w:vAlign w:val="center"/>
                </w:tcPr>
                <w:p w14:paraId="12144A92">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0.019-0.044</w:t>
                  </w:r>
                </w:p>
              </w:tc>
              <w:tc>
                <w:tcPr>
                  <w:tcW w:w="890" w:type="dxa"/>
                  <w:vAlign w:val="center"/>
                </w:tcPr>
                <w:p w14:paraId="26EA347A">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0.08</w:t>
                  </w:r>
                </w:p>
              </w:tc>
              <w:tc>
                <w:tcPr>
                  <w:tcW w:w="1248" w:type="dxa"/>
                  <w:vAlign w:val="center"/>
                </w:tcPr>
                <w:p w14:paraId="7A1E8FF8">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0.238-0.550</w:t>
                  </w:r>
                </w:p>
              </w:tc>
              <w:tc>
                <w:tcPr>
                  <w:tcW w:w="726" w:type="dxa"/>
                  <w:vAlign w:val="center"/>
                </w:tcPr>
                <w:p w14:paraId="79CF75B5">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1145" w:type="dxa"/>
                  <w:vAlign w:val="center"/>
                </w:tcPr>
                <w:p w14:paraId="700AEBF3">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r>
            <w:tr w14:paraId="7187B9BE">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454" w:hRule="atLeast"/>
                <w:jc w:val="center"/>
              </w:trPr>
              <w:tc>
                <w:tcPr>
                  <w:tcW w:w="1170" w:type="dxa"/>
                  <w:vMerge w:val="continue"/>
                  <w:vAlign w:val="center"/>
                </w:tcPr>
                <w:p w14:paraId="2C29F7CA">
                  <w:pPr>
                    <w:keepLines/>
                    <w:widowControl w:val="0"/>
                    <w:wordWrap w:val="0"/>
                    <w:jc w:val="center"/>
                    <w:rPr>
                      <w:rFonts w:ascii="Times New Roman" w:hAnsi="Times New Roman" w:cs="Times New Roman"/>
                      <w:color w:val="auto"/>
                      <w:sz w:val="21"/>
                      <w:szCs w:val="21"/>
                    </w:rPr>
                  </w:pPr>
                </w:p>
              </w:tc>
              <w:tc>
                <w:tcPr>
                  <w:tcW w:w="1036" w:type="dxa"/>
                  <w:vMerge w:val="continue"/>
                  <w:vAlign w:val="center"/>
                </w:tcPr>
                <w:p w14:paraId="34AFFEBB">
                  <w:pPr>
                    <w:keepLines/>
                    <w:widowControl w:val="0"/>
                    <w:wordWrap w:val="0"/>
                    <w:jc w:val="center"/>
                    <w:rPr>
                      <w:rFonts w:ascii="Times New Roman" w:hAnsi="Times New Roman" w:cs="Times New Roman"/>
                      <w:color w:val="auto"/>
                      <w:sz w:val="21"/>
                      <w:szCs w:val="21"/>
                    </w:rPr>
                  </w:pPr>
                </w:p>
              </w:tc>
              <w:tc>
                <w:tcPr>
                  <w:tcW w:w="1077" w:type="dxa"/>
                  <w:vAlign w:val="center"/>
                </w:tcPr>
                <w:p w14:paraId="75E8BAA4">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PM</w:t>
                  </w:r>
                  <w:r>
                    <w:rPr>
                      <w:rFonts w:ascii="Times New Roman" w:hAnsi="Times New Roman" w:cs="Times New Roman"/>
                      <w:color w:val="auto"/>
                      <w:sz w:val="21"/>
                      <w:szCs w:val="21"/>
                      <w:vertAlign w:val="subscript"/>
                    </w:rPr>
                    <w:t>10</w:t>
                  </w:r>
                </w:p>
              </w:tc>
              <w:tc>
                <w:tcPr>
                  <w:tcW w:w="1212" w:type="dxa"/>
                  <w:vAlign w:val="center"/>
                </w:tcPr>
                <w:p w14:paraId="7DFE8647">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0.068-0.080</w:t>
                  </w:r>
                </w:p>
              </w:tc>
              <w:tc>
                <w:tcPr>
                  <w:tcW w:w="890" w:type="dxa"/>
                  <w:vAlign w:val="center"/>
                </w:tcPr>
                <w:p w14:paraId="0AE2D8C5">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0.15</w:t>
                  </w:r>
                </w:p>
              </w:tc>
              <w:tc>
                <w:tcPr>
                  <w:tcW w:w="1248" w:type="dxa"/>
                  <w:vAlign w:val="center"/>
                </w:tcPr>
                <w:p w14:paraId="1F697BD5">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0.453-0.533</w:t>
                  </w:r>
                </w:p>
              </w:tc>
              <w:tc>
                <w:tcPr>
                  <w:tcW w:w="726" w:type="dxa"/>
                  <w:vAlign w:val="center"/>
                </w:tcPr>
                <w:p w14:paraId="014EBF62">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c>
                <w:tcPr>
                  <w:tcW w:w="1145" w:type="dxa"/>
                  <w:vAlign w:val="center"/>
                </w:tcPr>
                <w:p w14:paraId="7832CACD">
                  <w:pPr>
                    <w:keepLines/>
                    <w:widowControl w:val="0"/>
                    <w:wordWrap w:val="0"/>
                    <w:jc w:val="center"/>
                    <w:rPr>
                      <w:rFonts w:ascii="Times New Roman" w:hAnsi="Times New Roman" w:cs="Times New Roman"/>
                      <w:color w:val="auto"/>
                      <w:sz w:val="21"/>
                      <w:szCs w:val="21"/>
                    </w:rPr>
                  </w:pPr>
                  <w:r>
                    <w:rPr>
                      <w:rFonts w:ascii="Times New Roman" w:hAnsi="Times New Roman" w:cs="Times New Roman"/>
                      <w:color w:val="auto"/>
                      <w:sz w:val="21"/>
                      <w:szCs w:val="21"/>
                    </w:rPr>
                    <w:t>0</w:t>
                  </w:r>
                </w:p>
              </w:tc>
            </w:tr>
          </w:tbl>
          <w:p w14:paraId="154956F1">
            <w:pPr>
              <w:spacing w:line="360" w:lineRule="auto"/>
              <w:ind w:firstLine="480" w:firstLineChars="200"/>
              <w:rPr>
                <w:rFonts w:hint="default" w:ascii="Times New Roman" w:hAnsi="Times New Roman" w:eastAsia="宋体" w:cs="Times New Roman"/>
                <w:color w:val="auto"/>
                <w:spacing w:val="-3"/>
                <w:sz w:val="24"/>
                <w:szCs w:val="24"/>
              </w:rPr>
            </w:pPr>
            <w:r>
              <w:rPr>
                <w:rFonts w:hint="default" w:ascii="Times New Roman" w:hAnsi="Times New Roman" w:eastAsia="宋体" w:cs="Times New Roman"/>
                <w:color w:val="auto"/>
                <w:sz w:val="24"/>
              </w:rPr>
              <w:t>从表3-1监测结果可以看出，SO</w:t>
            </w:r>
            <w:r>
              <w:rPr>
                <w:rFonts w:hint="default" w:ascii="Times New Roman" w:hAnsi="Times New Roman" w:eastAsia="宋体" w:cs="Times New Roman"/>
                <w:color w:val="auto"/>
                <w:sz w:val="24"/>
                <w:vertAlign w:val="subscript"/>
              </w:rPr>
              <w:t>2</w:t>
            </w:r>
            <w:r>
              <w:rPr>
                <w:rFonts w:hint="default" w:ascii="Times New Roman" w:hAnsi="Times New Roman" w:eastAsia="宋体" w:cs="Times New Roman"/>
                <w:color w:val="auto"/>
                <w:sz w:val="24"/>
              </w:rPr>
              <w:t>、NO</w:t>
            </w:r>
            <w:r>
              <w:rPr>
                <w:rFonts w:hint="default" w:ascii="Times New Roman" w:hAnsi="Times New Roman" w:eastAsia="宋体" w:cs="Times New Roman"/>
                <w:color w:val="auto"/>
                <w:sz w:val="24"/>
                <w:vertAlign w:val="subscript"/>
              </w:rPr>
              <w:t>2</w:t>
            </w:r>
            <w:r>
              <w:rPr>
                <w:rFonts w:hint="default" w:ascii="Times New Roman" w:hAnsi="Times New Roman" w:eastAsia="宋体" w:cs="Times New Roman"/>
                <w:color w:val="auto"/>
                <w:sz w:val="24"/>
              </w:rPr>
              <w:t>、PM</w:t>
            </w:r>
            <w:r>
              <w:rPr>
                <w:rFonts w:hint="default" w:ascii="Times New Roman" w:hAnsi="Times New Roman" w:eastAsia="宋体" w:cs="Times New Roman"/>
                <w:color w:val="auto"/>
                <w:sz w:val="24"/>
                <w:vertAlign w:val="subscript"/>
              </w:rPr>
              <w:t>10</w:t>
            </w:r>
            <w:r>
              <w:rPr>
                <w:rFonts w:hint="default" w:ascii="Times New Roman" w:hAnsi="Times New Roman" w:eastAsia="宋体" w:cs="Times New Roman"/>
                <w:color w:val="auto"/>
                <w:sz w:val="24"/>
              </w:rPr>
              <w:t>日平均浓度均满足《环境空气质量标准》（GB3095-2012）中的二级标准，项目所在区域环境空气质量较好。</w:t>
            </w:r>
          </w:p>
          <w:p w14:paraId="42DF630C">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ascii="Times New Roman" w:hAnsi="Times New Roman" w:cs="Times New Roman"/>
                <w:b/>
                <w:bCs/>
                <w:color w:val="auto"/>
                <w:sz w:val="28"/>
                <w:szCs w:val="28"/>
              </w:rPr>
            </w:pPr>
            <w:r>
              <w:rPr>
                <w:rFonts w:ascii="Times New Roman" w:hAnsi="Times New Roman" w:cs="Times New Roman"/>
                <w:b/>
                <w:bCs/>
                <w:color w:val="auto"/>
                <w:sz w:val="28"/>
                <w:szCs w:val="28"/>
              </w:rPr>
              <w:t>地表水环境现状监测与评价</w:t>
            </w:r>
          </w:p>
          <w:p w14:paraId="44FBDFE6">
            <w:pPr>
              <w:spacing w:line="360" w:lineRule="auto"/>
              <w:ind w:firstLine="480" w:firstLineChars="200"/>
              <w:rPr>
                <w:b/>
                <w:color w:val="auto"/>
                <w:szCs w:val="21"/>
              </w:rPr>
            </w:pPr>
            <w:r>
              <w:rPr>
                <w:rFonts w:hint="eastAsia"/>
                <w:color w:val="auto"/>
                <w:sz w:val="24"/>
                <w:lang w:eastAsia="zh-CN"/>
              </w:rPr>
              <w:t>本环评的地表水环境现状引用</w:t>
            </w:r>
            <w:r>
              <w:rPr>
                <w:rFonts w:hint="eastAsia" w:ascii="Times New Roman" w:hAnsi="Times New Roman" w:cs="Times New Roman"/>
                <w:color w:val="auto"/>
                <w:sz w:val="24"/>
              </w:rPr>
              <w:t>《</w:t>
            </w:r>
            <w:r>
              <w:rPr>
                <w:rFonts w:hint="eastAsia"/>
                <w:color w:val="auto"/>
                <w:sz w:val="24"/>
                <w:szCs w:val="24"/>
              </w:rPr>
              <w:t>鄂州市葛店三王污水处理厂BOT</w:t>
            </w:r>
            <w:r>
              <w:rPr>
                <w:rFonts w:hint="eastAsia" w:ascii="Times New Roman" w:hAnsi="Times New Roman" w:cs="Times New Roman"/>
                <w:color w:val="auto"/>
                <w:sz w:val="24"/>
              </w:rPr>
              <w:t>项目</w:t>
            </w:r>
            <w:r>
              <w:rPr>
                <w:rFonts w:ascii="Times New Roman" w:hAnsi="Times New Roman" w:cs="Times New Roman"/>
                <w:color w:val="auto"/>
                <w:sz w:val="24"/>
              </w:rPr>
              <w:t>环境影响评价</w:t>
            </w:r>
            <w:r>
              <w:rPr>
                <w:rFonts w:hint="eastAsia" w:cs="Times New Roman"/>
                <w:color w:val="auto"/>
                <w:sz w:val="24"/>
                <w:lang w:eastAsia="zh-CN"/>
              </w:rPr>
              <w:t>报告书</w:t>
            </w:r>
            <w:r>
              <w:rPr>
                <w:rFonts w:hint="eastAsia" w:ascii="Times New Roman" w:hAnsi="Times New Roman" w:cs="Times New Roman"/>
                <w:color w:val="auto"/>
                <w:sz w:val="24"/>
              </w:rPr>
              <w:t>》</w:t>
            </w:r>
            <w:r>
              <w:rPr>
                <w:rFonts w:hint="eastAsia" w:cs="Times New Roman"/>
                <w:color w:val="auto"/>
                <w:sz w:val="24"/>
                <w:lang w:eastAsia="zh-CN"/>
              </w:rPr>
              <w:t>中</w:t>
            </w:r>
            <w:r>
              <w:rPr>
                <w:color w:val="auto"/>
                <w:sz w:val="24"/>
              </w:rPr>
              <w:t>201</w:t>
            </w:r>
            <w:r>
              <w:rPr>
                <w:rFonts w:hint="eastAsia"/>
                <w:color w:val="auto"/>
                <w:sz w:val="24"/>
                <w:lang w:val="en-US" w:eastAsia="zh-CN"/>
              </w:rPr>
              <w:t>5</w:t>
            </w:r>
            <w:r>
              <w:rPr>
                <w:color w:val="auto"/>
                <w:sz w:val="24"/>
              </w:rPr>
              <w:t>年</w:t>
            </w:r>
            <w:r>
              <w:rPr>
                <w:rFonts w:hint="eastAsia"/>
                <w:color w:val="auto"/>
                <w:sz w:val="24"/>
                <w:lang w:val="en-US" w:eastAsia="zh-CN"/>
              </w:rPr>
              <w:t>7</w:t>
            </w:r>
            <w:r>
              <w:rPr>
                <w:color w:val="auto"/>
                <w:sz w:val="24"/>
              </w:rPr>
              <w:t>月</w:t>
            </w:r>
            <w:r>
              <w:rPr>
                <w:rFonts w:hint="eastAsia"/>
                <w:color w:val="auto"/>
                <w:sz w:val="24"/>
                <w:lang w:val="en-US" w:eastAsia="zh-CN"/>
              </w:rPr>
              <w:t>22日-7月24日的地表水监测报告中数据（见附件8）</w:t>
            </w:r>
            <w:r>
              <w:rPr>
                <w:color w:val="auto"/>
                <w:sz w:val="24"/>
              </w:rPr>
              <w:t>：</w:t>
            </w:r>
          </w:p>
          <w:p w14:paraId="3BF807A8">
            <w:pPr>
              <w:tabs>
                <w:tab w:val="left" w:pos="417"/>
              </w:tabs>
              <w:snapToGrid w:val="0"/>
              <w:jc w:val="center"/>
              <w:rPr>
                <w:b/>
                <w:color w:val="auto"/>
              </w:rPr>
            </w:pPr>
            <w:r>
              <w:rPr>
                <w:b/>
                <w:color w:val="auto"/>
              </w:rPr>
              <w:t>表</w:t>
            </w:r>
            <w:r>
              <w:rPr>
                <w:rFonts w:hint="eastAsia"/>
                <w:b/>
                <w:color w:val="auto"/>
                <w:lang w:val="en-US" w:eastAsia="zh-CN"/>
              </w:rPr>
              <w:t>3-2</w:t>
            </w:r>
            <w:r>
              <w:rPr>
                <w:b/>
                <w:color w:val="auto"/>
              </w:rPr>
              <w:t xml:space="preserve">  监测断面布置及执行标准一览表</w:t>
            </w:r>
          </w:p>
          <w:tbl>
            <w:tblPr>
              <w:tblStyle w:val="15"/>
              <w:tblW w:w="8504" w:type="dxa"/>
              <w:jc w:val="center"/>
              <w:tblLayout w:type="fixed"/>
              <w:tblCellMar>
                <w:top w:w="0" w:type="dxa"/>
                <w:left w:w="108" w:type="dxa"/>
                <w:bottom w:w="0" w:type="dxa"/>
                <w:right w:w="108" w:type="dxa"/>
              </w:tblCellMar>
            </w:tblPr>
            <w:tblGrid>
              <w:gridCol w:w="653"/>
              <w:gridCol w:w="908"/>
              <w:gridCol w:w="2720"/>
              <w:gridCol w:w="1245"/>
              <w:gridCol w:w="1895"/>
              <w:gridCol w:w="1083"/>
            </w:tblGrid>
            <w:tr w14:paraId="75BE1FD6">
              <w:tblPrEx>
                <w:tblCellMar>
                  <w:top w:w="0" w:type="dxa"/>
                  <w:left w:w="108" w:type="dxa"/>
                  <w:bottom w:w="0" w:type="dxa"/>
                  <w:right w:w="108" w:type="dxa"/>
                </w:tblCellMar>
              </w:tblPrEx>
              <w:trPr>
                <w:trHeight w:val="454" w:hRule="atLeast"/>
                <w:jc w:val="center"/>
              </w:trPr>
              <w:tc>
                <w:tcPr>
                  <w:tcW w:w="653" w:type="dxa"/>
                  <w:tcBorders>
                    <w:top w:val="single" w:color="auto" w:sz="12" w:space="0"/>
                    <w:left w:val="nil"/>
                    <w:bottom w:val="single" w:color="auto" w:sz="12" w:space="0"/>
                    <w:right w:val="single" w:color="auto" w:sz="6" w:space="0"/>
                  </w:tcBorders>
                  <w:vAlign w:val="center"/>
                </w:tcPr>
                <w:p w14:paraId="073E0AE3">
                  <w:pPr>
                    <w:jc w:val="center"/>
                    <w:rPr>
                      <w:b/>
                      <w:bCs/>
                      <w:color w:val="auto"/>
                      <w:sz w:val="21"/>
                      <w:szCs w:val="21"/>
                      <w:lang w:bidi="th-TH"/>
                    </w:rPr>
                  </w:pPr>
                  <w:r>
                    <w:rPr>
                      <w:b/>
                      <w:bCs/>
                      <w:color w:val="auto"/>
                      <w:sz w:val="21"/>
                      <w:szCs w:val="21"/>
                      <w:lang w:bidi="th-TH"/>
                    </w:rPr>
                    <w:t>编号</w:t>
                  </w:r>
                </w:p>
              </w:tc>
              <w:tc>
                <w:tcPr>
                  <w:tcW w:w="908" w:type="dxa"/>
                  <w:tcBorders>
                    <w:top w:val="single" w:color="auto" w:sz="12" w:space="0"/>
                    <w:left w:val="single" w:color="auto" w:sz="6" w:space="0"/>
                    <w:bottom w:val="single" w:color="auto" w:sz="12" w:space="0"/>
                    <w:right w:val="single" w:color="auto" w:sz="6" w:space="0"/>
                  </w:tcBorders>
                  <w:vAlign w:val="center"/>
                </w:tcPr>
                <w:p w14:paraId="1239735A">
                  <w:pPr>
                    <w:jc w:val="center"/>
                    <w:rPr>
                      <w:b/>
                      <w:bCs/>
                      <w:color w:val="auto"/>
                      <w:sz w:val="21"/>
                      <w:szCs w:val="21"/>
                      <w:lang w:bidi="th-TH"/>
                    </w:rPr>
                  </w:pPr>
                  <w:r>
                    <w:rPr>
                      <w:b/>
                      <w:bCs/>
                      <w:color w:val="auto"/>
                      <w:sz w:val="21"/>
                      <w:szCs w:val="21"/>
                      <w:lang w:bidi="th-TH"/>
                    </w:rPr>
                    <w:t>河流</w:t>
                  </w:r>
                </w:p>
              </w:tc>
              <w:tc>
                <w:tcPr>
                  <w:tcW w:w="2720" w:type="dxa"/>
                  <w:tcBorders>
                    <w:top w:val="single" w:color="auto" w:sz="12" w:space="0"/>
                    <w:left w:val="single" w:color="auto" w:sz="6" w:space="0"/>
                    <w:bottom w:val="single" w:color="auto" w:sz="12" w:space="0"/>
                    <w:right w:val="single" w:color="auto" w:sz="6" w:space="0"/>
                  </w:tcBorders>
                  <w:vAlign w:val="center"/>
                </w:tcPr>
                <w:p w14:paraId="13B8C14A">
                  <w:pPr>
                    <w:jc w:val="center"/>
                    <w:rPr>
                      <w:b/>
                      <w:bCs/>
                      <w:color w:val="auto"/>
                      <w:sz w:val="21"/>
                      <w:szCs w:val="21"/>
                      <w:lang w:bidi="th-TH"/>
                    </w:rPr>
                  </w:pPr>
                  <w:r>
                    <w:rPr>
                      <w:b/>
                      <w:bCs/>
                      <w:color w:val="auto"/>
                      <w:sz w:val="21"/>
                      <w:szCs w:val="21"/>
                      <w:lang w:bidi="th-TH"/>
                    </w:rPr>
                    <w:t>监测断面</w:t>
                  </w:r>
                </w:p>
              </w:tc>
              <w:tc>
                <w:tcPr>
                  <w:tcW w:w="1245" w:type="dxa"/>
                  <w:tcBorders>
                    <w:top w:val="single" w:color="auto" w:sz="12" w:space="0"/>
                    <w:left w:val="single" w:color="auto" w:sz="6" w:space="0"/>
                    <w:bottom w:val="single" w:color="auto" w:sz="12" w:space="0"/>
                    <w:right w:val="single" w:color="auto" w:sz="6" w:space="0"/>
                  </w:tcBorders>
                  <w:vAlign w:val="center"/>
                </w:tcPr>
                <w:p w14:paraId="4B3EE99A">
                  <w:pPr>
                    <w:jc w:val="center"/>
                    <w:rPr>
                      <w:b/>
                      <w:bCs/>
                      <w:color w:val="auto"/>
                      <w:sz w:val="21"/>
                      <w:szCs w:val="21"/>
                      <w:lang w:bidi="th-TH"/>
                    </w:rPr>
                  </w:pPr>
                  <w:r>
                    <w:rPr>
                      <w:b/>
                      <w:bCs/>
                      <w:color w:val="auto"/>
                      <w:sz w:val="21"/>
                      <w:szCs w:val="21"/>
                      <w:lang w:bidi="th-TH"/>
                    </w:rPr>
                    <w:t>断面功能</w:t>
                  </w:r>
                </w:p>
              </w:tc>
              <w:tc>
                <w:tcPr>
                  <w:tcW w:w="1895" w:type="dxa"/>
                  <w:tcBorders>
                    <w:top w:val="single" w:color="auto" w:sz="12" w:space="0"/>
                    <w:left w:val="single" w:color="auto" w:sz="6" w:space="0"/>
                    <w:bottom w:val="single" w:color="auto" w:sz="12" w:space="0"/>
                    <w:right w:val="single" w:color="auto" w:sz="6" w:space="0"/>
                  </w:tcBorders>
                  <w:vAlign w:val="center"/>
                </w:tcPr>
                <w:p w14:paraId="2945A56A">
                  <w:pPr>
                    <w:jc w:val="center"/>
                    <w:rPr>
                      <w:b/>
                      <w:bCs/>
                      <w:color w:val="auto"/>
                      <w:sz w:val="21"/>
                      <w:szCs w:val="21"/>
                      <w:lang w:bidi="th-TH"/>
                    </w:rPr>
                  </w:pPr>
                  <w:r>
                    <w:rPr>
                      <w:b/>
                      <w:bCs/>
                      <w:color w:val="auto"/>
                      <w:sz w:val="21"/>
                      <w:szCs w:val="21"/>
                      <w:lang w:bidi="th-TH"/>
                    </w:rPr>
                    <w:t>标准号及名称</w:t>
                  </w:r>
                </w:p>
              </w:tc>
              <w:tc>
                <w:tcPr>
                  <w:tcW w:w="1083" w:type="dxa"/>
                  <w:tcBorders>
                    <w:top w:val="single" w:color="auto" w:sz="12" w:space="0"/>
                    <w:left w:val="single" w:color="auto" w:sz="6" w:space="0"/>
                    <w:bottom w:val="single" w:color="auto" w:sz="12" w:space="0"/>
                    <w:right w:val="nil"/>
                  </w:tcBorders>
                  <w:vAlign w:val="center"/>
                </w:tcPr>
                <w:p w14:paraId="61811919">
                  <w:pPr>
                    <w:jc w:val="center"/>
                    <w:rPr>
                      <w:b/>
                      <w:bCs/>
                      <w:color w:val="auto"/>
                      <w:sz w:val="21"/>
                      <w:szCs w:val="21"/>
                      <w:lang w:bidi="th-TH"/>
                    </w:rPr>
                  </w:pPr>
                  <w:r>
                    <w:rPr>
                      <w:b/>
                      <w:bCs/>
                      <w:color w:val="auto"/>
                      <w:sz w:val="21"/>
                      <w:szCs w:val="21"/>
                      <w:lang w:bidi="th-TH"/>
                    </w:rPr>
                    <w:t>类（级别）</w:t>
                  </w:r>
                </w:p>
              </w:tc>
            </w:tr>
            <w:tr w14:paraId="3FFC3D72">
              <w:tblPrEx>
                <w:tblCellMar>
                  <w:top w:w="0" w:type="dxa"/>
                  <w:left w:w="108" w:type="dxa"/>
                  <w:bottom w:w="0" w:type="dxa"/>
                  <w:right w:w="108" w:type="dxa"/>
                </w:tblCellMar>
              </w:tblPrEx>
              <w:trPr>
                <w:trHeight w:val="454" w:hRule="atLeast"/>
                <w:jc w:val="center"/>
              </w:trPr>
              <w:tc>
                <w:tcPr>
                  <w:tcW w:w="653" w:type="dxa"/>
                  <w:tcBorders>
                    <w:top w:val="single" w:color="auto" w:sz="6" w:space="0"/>
                    <w:left w:val="nil"/>
                    <w:bottom w:val="single" w:color="auto" w:sz="6" w:space="0"/>
                    <w:right w:val="single" w:color="auto" w:sz="6" w:space="0"/>
                  </w:tcBorders>
                  <w:vAlign w:val="center"/>
                </w:tcPr>
                <w:p w14:paraId="53D99A5F">
                  <w:pPr>
                    <w:jc w:val="center"/>
                    <w:rPr>
                      <w:color w:val="auto"/>
                      <w:sz w:val="21"/>
                      <w:szCs w:val="21"/>
                      <w:lang w:bidi="th-TH"/>
                    </w:rPr>
                  </w:pPr>
                  <w:r>
                    <w:rPr>
                      <w:rFonts w:hint="eastAsia"/>
                      <w:color w:val="auto"/>
                      <w:sz w:val="21"/>
                      <w:szCs w:val="21"/>
                      <w:lang w:bidi="th-TH"/>
                    </w:rPr>
                    <w:t>W1#</w:t>
                  </w:r>
                </w:p>
              </w:tc>
              <w:tc>
                <w:tcPr>
                  <w:tcW w:w="908" w:type="dxa"/>
                  <w:vMerge w:val="restart"/>
                  <w:tcBorders>
                    <w:top w:val="single" w:color="auto" w:sz="6" w:space="0"/>
                    <w:left w:val="single" w:color="auto" w:sz="6" w:space="0"/>
                    <w:right w:val="single" w:color="auto" w:sz="6" w:space="0"/>
                  </w:tcBorders>
                  <w:vAlign w:val="center"/>
                </w:tcPr>
                <w:p w14:paraId="544BC5CA">
                  <w:pPr>
                    <w:jc w:val="center"/>
                    <w:rPr>
                      <w:color w:val="auto"/>
                      <w:sz w:val="21"/>
                      <w:szCs w:val="21"/>
                      <w:lang w:bidi="th-TH"/>
                    </w:rPr>
                  </w:pPr>
                  <w:r>
                    <w:rPr>
                      <w:color w:val="auto"/>
                      <w:sz w:val="21"/>
                      <w:szCs w:val="21"/>
                      <w:lang w:bidi="th-TH"/>
                    </w:rPr>
                    <w:t>长江（</w:t>
                  </w:r>
                  <w:r>
                    <w:rPr>
                      <w:rFonts w:hint="eastAsia"/>
                      <w:color w:val="auto"/>
                      <w:sz w:val="21"/>
                      <w:szCs w:val="21"/>
                      <w:lang w:bidi="th-TH"/>
                    </w:rPr>
                    <w:t>鄂州</w:t>
                  </w:r>
                  <w:r>
                    <w:rPr>
                      <w:color w:val="auto"/>
                      <w:sz w:val="21"/>
                      <w:szCs w:val="21"/>
                      <w:lang w:bidi="th-TH"/>
                    </w:rPr>
                    <w:t>段）</w:t>
                  </w:r>
                </w:p>
              </w:tc>
              <w:tc>
                <w:tcPr>
                  <w:tcW w:w="2720" w:type="dxa"/>
                  <w:tcBorders>
                    <w:top w:val="single" w:color="auto" w:sz="6" w:space="0"/>
                    <w:left w:val="single" w:color="auto" w:sz="6" w:space="0"/>
                    <w:bottom w:val="single" w:color="auto" w:sz="6" w:space="0"/>
                    <w:right w:val="single" w:color="auto" w:sz="6" w:space="0"/>
                  </w:tcBorders>
                  <w:vAlign w:val="center"/>
                </w:tcPr>
                <w:p w14:paraId="12482A44">
                  <w:pPr>
                    <w:jc w:val="center"/>
                    <w:rPr>
                      <w:color w:val="auto"/>
                      <w:sz w:val="21"/>
                      <w:szCs w:val="21"/>
                    </w:rPr>
                  </w:pPr>
                  <w:r>
                    <w:rPr>
                      <w:color w:val="auto"/>
                      <w:sz w:val="21"/>
                      <w:szCs w:val="21"/>
                    </w:rPr>
                    <w:t>排污口上游500m</w:t>
                  </w:r>
                </w:p>
              </w:tc>
              <w:tc>
                <w:tcPr>
                  <w:tcW w:w="1245" w:type="dxa"/>
                  <w:tcBorders>
                    <w:top w:val="single" w:color="auto" w:sz="6" w:space="0"/>
                    <w:left w:val="single" w:color="auto" w:sz="6" w:space="0"/>
                    <w:bottom w:val="single" w:color="auto" w:sz="6" w:space="0"/>
                    <w:right w:val="single" w:color="auto" w:sz="6" w:space="0"/>
                  </w:tcBorders>
                  <w:vAlign w:val="center"/>
                </w:tcPr>
                <w:p w14:paraId="12190756">
                  <w:pPr>
                    <w:jc w:val="center"/>
                    <w:rPr>
                      <w:color w:val="auto"/>
                      <w:sz w:val="21"/>
                      <w:szCs w:val="21"/>
                    </w:rPr>
                  </w:pPr>
                  <w:r>
                    <w:rPr>
                      <w:color w:val="auto"/>
                      <w:sz w:val="21"/>
                      <w:szCs w:val="21"/>
                    </w:rPr>
                    <w:t>对照断面</w:t>
                  </w:r>
                </w:p>
              </w:tc>
              <w:tc>
                <w:tcPr>
                  <w:tcW w:w="1895" w:type="dxa"/>
                  <w:vMerge w:val="restart"/>
                  <w:tcBorders>
                    <w:left w:val="single" w:color="auto" w:sz="6" w:space="0"/>
                    <w:right w:val="single" w:color="auto" w:sz="6" w:space="0"/>
                  </w:tcBorders>
                  <w:vAlign w:val="center"/>
                </w:tcPr>
                <w:p w14:paraId="4A5AF694">
                  <w:pPr>
                    <w:jc w:val="center"/>
                    <w:rPr>
                      <w:color w:val="auto"/>
                      <w:sz w:val="21"/>
                      <w:szCs w:val="21"/>
                      <w:lang w:bidi="th-TH"/>
                    </w:rPr>
                  </w:pPr>
                  <w:r>
                    <w:rPr>
                      <w:color w:val="auto"/>
                      <w:sz w:val="21"/>
                      <w:szCs w:val="21"/>
                      <w:lang w:bidi="th-TH"/>
                    </w:rPr>
                    <w:t>《地表水质量标准》（GB3838-2002）</w:t>
                  </w:r>
                </w:p>
              </w:tc>
              <w:tc>
                <w:tcPr>
                  <w:tcW w:w="1083" w:type="dxa"/>
                  <w:vMerge w:val="restart"/>
                  <w:tcBorders>
                    <w:top w:val="single" w:color="auto" w:sz="6" w:space="0"/>
                    <w:left w:val="single" w:color="auto" w:sz="6" w:space="0"/>
                    <w:right w:val="nil"/>
                  </w:tcBorders>
                  <w:vAlign w:val="center"/>
                </w:tcPr>
                <w:p w14:paraId="2B106569">
                  <w:pPr>
                    <w:jc w:val="center"/>
                    <w:rPr>
                      <w:color w:val="auto"/>
                      <w:sz w:val="21"/>
                      <w:szCs w:val="21"/>
                      <w:lang w:bidi="th-TH"/>
                    </w:rPr>
                  </w:pPr>
                  <w:r>
                    <w:rPr>
                      <w:rFonts w:hint="eastAsia"/>
                      <w:color w:val="auto"/>
                      <w:sz w:val="21"/>
                      <w:szCs w:val="21"/>
                      <w:lang w:bidi="th-TH"/>
                    </w:rPr>
                    <w:t>Ⅲ</w:t>
                  </w:r>
                  <w:r>
                    <w:rPr>
                      <w:color w:val="auto"/>
                      <w:sz w:val="21"/>
                      <w:szCs w:val="21"/>
                      <w:lang w:bidi="th-TH"/>
                    </w:rPr>
                    <w:t>类</w:t>
                  </w:r>
                </w:p>
              </w:tc>
            </w:tr>
            <w:tr w14:paraId="41B68EBA">
              <w:tblPrEx>
                <w:tblCellMar>
                  <w:top w:w="0" w:type="dxa"/>
                  <w:left w:w="108" w:type="dxa"/>
                  <w:bottom w:w="0" w:type="dxa"/>
                  <w:right w:w="108" w:type="dxa"/>
                </w:tblCellMar>
              </w:tblPrEx>
              <w:trPr>
                <w:trHeight w:val="454" w:hRule="atLeast"/>
                <w:jc w:val="center"/>
              </w:trPr>
              <w:tc>
                <w:tcPr>
                  <w:tcW w:w="653" w:type="dxa"/>
                  <w:tcBorders>
                    <w:top w:val="single" w:color="auto" w:sz="6" w:space="0"/>
                    <w:left w:val="nil"/>
                    <w:bottom w:val="single" w:color="auto" w:sz="6" w:space="0"/>
                    <w:right w:val="single" w:color="auto" w:sz="6" w:space="0"/>
                  </w:tcBorders>
                  <w:vAlign w:val="center"/>
                </w:tcPr>
                <w:p w14:paraId="60212EA2">
                  <w:pPr>
                    <w:jc w:val="center"/>
                    <w:rPr>
                      <w:color w:val="auto"/>
                      <w:sz w:val="21"/>
                      <w:szCs w:val="21"/>
                      <w:lang w:bidi="th-TH"/>
                    </w:rPr>
                  </w:pPr>
                  <w:r>
                    <w:rPr>
                      <w:rFonts w:hint="eastAsia"/>
                      <w:color w:val="auto"/>
                      <w:sz w:val="21"/>
                      <w:szCs w:val="21"/>
                      <w:lang w:bidi="th-TH"/>
                    </w:rPr>
                    <w:t>W2#</w:t>
                  </w:r>
                </w:p>
              </w:tc>
              <w:tc>
                <w:tcPr>
                  <w:tcW w:w="908" w:type="dxa"/>
                  <w:vMerge w:val="continue"/>
                  <w:tcBorders>
                    <w:left w:val="single" w:color="auto" w:sz="6" w:space="0"/>
                    <w:right w:val="single" w:color="auto" w:sz="6" w:space="0"/>
                  </w:tcBorders>
                  <w:vAlign w:val="center"/>
                </w:tcPr>
                <w:p w14:paraId="19013A5F">
                  <w:pPr>
                    <w:jc w:val="center"/>
                    <w:rPr>
                      <w:color w:val="auto"/>
                      <w:sz w:val="21"/>
                      <w:szCs w:val="21"/>
                      <w:lang w:bidi="th-TH"/>
                    </w:rPr>
                  </w:pPr>
                </w:p>
              </w:tc>
              <w:tc>
                <w:tcPr>
                  <w:tcW w:w="2720" w:type="dxa"/>
                  <w:tcBorders>
                    <w:top w:val="single" w:color="auto" w:sz="6" w:space="0"/>
                    <w:left w:val="single" w:color="auto" w:sz="6" w:space="0"/>
                    <w:bottom w:val="single" w:color="auto" w:sz="6" w:space="0"/>
                    <w:right w:val="single" w:color="auto" w:sz="6" w:space="0"/>
                  </w:tcBorders>
                  <w:vAlign w:val="center"/>
                </w:tcPr>
                <w:p w14:paraId="52983E07">
                  <w:pPr>
                    <w:jc w:val="center"/>
                    <w:rPr>
                      <w:color w:val="auto"/>
                      <w:spacing w:val="-8"/>
                      <w:sz w:val="21"/>
                      <w:szCs w:val="21"/>
                    </w:rPr>
                  </w:pPr>
                  <w:r>
                    <w:rPr>
                      <w:color w:val="auto"/>
                      <w:sz w:val="21"/>
                      <w:szCs w:val="21"/>
                    </w:rPr>
                    <w:t>排污口</w:t>
                  </w:r>
                </w:p>
              </w:tc>
              <w:tc>
                <w:tcPr>
                  <w:tcW w:w="1245" w:type="dxa"/>
                  <w:tcBorders>
                    <w:top w:val="single" w:color="auto" w:sz="6" w:space="0"/>
                    <w:left w:val="single" w:color="auto" w:sz="6" w:space="0"/>
                    <w:bottom w:val="single" w:color="auto" w:sz="6" w:space="0"/>
                    <w:right w:val="single" w:color="auto" w:sz="6" w:space="0"/>
                  </w:tcBorders>
                  <w:vAlign w:val="center"/>
                </w:tcPr>
                <w:p w14:paraId="3D4A7812">
                  <w:pPr>
                    <w:jc w:val="center"/>
                    <w:rPr>
                      <w:color w:val="auto"/>
                      <w:sz w:val="21"/>
                      <w:szCs w:val="21"/>
                    </w:rPr>
                  </w:pPr>
                  <w:r>
                    <w:rPr>
                      <w:color w:val="auto"/>
                      <w:sz w:val="21"/>
                      <w:szCs w:val="21"/>
                    </w:rPr>
                    <w:t>控制断面</w:t>
                  </w:r>
                </w:p>
              </w:tc>
              <w:tc>
                <w:tcPr>
                  <w:tcW w:w="1895" w:type="dxa"/>
                  <w:vMerge w:val="continue"/>
                  <w:tcBorders>
                    <w:left w:val="single" w:color="auto" w:sz="6" w:space="0"/>
                    <w:right w:val="single" w:color="auto" w:sz="6" w:space="0"/>
                  </w:tcBorders>
                  <w:vAlign w:val="center"/>
                </w:tcPr>
                <w:p w14:paraId="51D99E1D">
                  <w:pPr>
                    <w:jc w:val="center"/>
                    <w:rPr>
                      <w:color w:val="auto"/>
                      <w:sz w:val="21"/>
                      <w:szCs w:val="21"/>
                      <w:lang w:bidi="th-TH"/>
                    </w:rPr>
                  </w:pPr>
                </w:p>
              </w:tc>
              <w:tc>
                <w:tcPr>
                  <w:tcW w:w="1083" w:type="dxa"/>
                  <w:vMerge w:val="continue"/>
                  <w:tcBorders>
                    <w:left w:val="single" w:color="auto" w:sz="6" w:space="0"/>
                    <w:right w:val="nil"/>
                  </w:tcBorders>
                  <w:vAlign w:val="center"/>
                </w:tcPr>
                <w:p w14:paraId="20772DE0">
                  <w:pPr>
                    <w:jc w:val="center"/>
                    <w:rPr>
                      <w:color w:val="auto"/>
                      <w:sz w:val="21"/>
                      <w:szCs w:val="21"/>
                      <w:lang w:bidi="th-TH"/>
                    </w:rPr>
                  </w:pPr>
                </w:p>
              </w:tc>
            </w:tr>
            <w:tr w14:paraId="2407C791">
              <w:tblPrEx>
                <w:tblCellMar>
                  <w:top w:w="0" w:type="dxa"/>
                  <w:left w:w="108" w:type="dxa"/>
                  <w:bottom w:w="0" w:type="dxa"/>
                  <w:right w:w="108" w:type="dxa"/>
                </w:tblCellMar>
              </w:tblPrEx>
              <w:trPr>
                <w:trHeight w:val="454" w:hRule="atLeast"/>
                <w:jc w:val="center"/>
              </w:trPr>
              <w:tc>
                <w:tcPr>
                  <w:tcW w:w="653" w:type="dxa"/>
                  <w:tcBorders>
                    <w:top w:val="single" w:color="auto" w:sz="6" w:space="0"/>
                    <w:left w:val="nil"/>
                    <w:bottom w:val="single" w:color="auto" w:sz="12" w:space="0"/>
                    <w:right w:val="single" w:color="auto" w:sz="6" w:space="0"/>
                  </w:tcBorders>
                  <w:vAlign w:val="center"/>
                </w:tcPr>
                <w:p w14:paraId="7D1C9B01">
                  <w:pPr>
                    <w:jc w:val="center"/>
                    <w:rPr>
                      <w:color w:val="auto"/>
                      <w:sz w:val="21"/>
                      <w:szCs w:val="21"/>
                      <w:lang w:bidi="th-TH"/>
                    </w:rPr>
                  </w:pPr>
                  <w:r>
                    <w:rPr>
                      <w:rFonts w:hint="eastAsia"/>
                      <w:color w:val="auto"/>
                      <w:sz w:val="21"/>
                      <w:szCs w:val="21"/>
                      <w:lang w:bidi="th-TH"/>
                    </w:rPr>
                    <w:t>W3#</w:t>
                  </w:r>
                </w:p>
              </w:tc>
              <w:tc>
                <w:tcPr>
                  <w:tcW w:w="908" w:type="dxa"/>
                  <w:vMerge w:val="continue"/>
                  <w:tcBorders>
                    <w:left w:val="single" w:color="auto" w:sz="6" w:space="0"/>
                    <w:bottom w:val="single" w:color="auto" w:sz="12" w:space="0"/>
                    <w:right w:val="single" w:color="auto" w:sz="6" w:space="0"/>
                  </w:tcBorders>
                  <w:vAlign w:val="center"/>
                </w:tcPr>
                <w:p w14:paraId="4CA39148">
                  <w:pPr>
                    <w:jc w:val="center"/>
                    <w:rPr>
                      <w:color w:val="auto"/>
                      <w:sz w:val="21"/>
                      <w:szCs w:val="21"/>
                      <w:lang w:bidi="th-TH"/>
                    </w:rPr>
                  </w:pPr>
                </w:p>
              </w:tc>
              <w:tc>
                <w:tcPr>
                  <w:tcW w:w="2720" w:type="dxa"/>
                  <w:tcBorders>
                    <w:top w:val="single" w:color="auto" w:sz="6" w:space="0"/>
                    <w:left w:val="single" w:color="auto" w:sz="6" w:space="0"/>
                    <w:bottom w:val="single" w:color="auto" w:sz="12" w:space="0"/>
                    <w:right w:val="single" w:color="auto" w:sz="6" w:space="0"/>
                  </w:tcBorders>
                  <w:vAlign w:val="center"/>
                </w:tcPr>
                <w:p w14:paraId="6FB6CAA8">
                  <w:pPr>
                    <w:jc w:val="center"/>
                    <w:rPr>
                      <w:color w:val="auto"/>
                      <w:sz w:val="21"/>
                      <w:szCs w:val="21"/>
                    </w:rPr>
                  </w:pPr>
                  <w:r>
                    <w:rPr>
                      <w:color w:val="auto"/>
                      <w:sz w:val="21"/>
                      <w:szCs w:val="21"/>
                    </w:rPr>
                    <w:t>排污口下游</w:t>
                  </w:r>
                  <w:r>
                    <w:rPr>
                      <w:rFonts w:hint="eastAsia"/>
                      <w:color w:val="auto"/>
                      <w:sz w:val="21"/>
                      <w:szCs w:val="21"/>
                    </w:rPr>
                    <w:t>1</w:t>
                  </w:r>
                  <w:r>
                    <w:rPr>
                      <w:color w:val="auto"/>
                      <w:sz w:val="21"/>
                      <w:szCs w:val="21"/>
                    </w:rPr>
                    <w:t>000m</w:t>
                  </w:r>
                </w:p>
              </w:tc>
              <w:tc>
                <w:tcPr>
                  <w:tcW w:w="1245" w:type="dxa"/>
                  <w:tcBorders>
                    <w:top w:val="single" w:color="auto" w:sz="6" w:space="0"/>
                    <w:left w:val="single" w:color="auto" w:sz="6" w:space="0"/>
                    <w:bottom w:val="single" w:color="auto" w:sz="12" w:space="0"/>
                    <w:right w:val="single" w:color="auto" w:sz="6" w:space="0"/>
                  </w:tcBorders>
                  <w:vAlign w:val="center"/>
                </w:tcPr>
                <w:p w14:paraId="1D5FF60B">
                  <w:pPr>
                    <w:jc w:val="center"/>
                    <w:rPr>
                      <w:color w:val="auto"/>
                      <w:sz w:val="21"/>
                      <w:szCs w:val="21"/>
                    </w:rPr>
                  </w:pPr>
                  <w:r>
                    <w:rPr>
                      <w:color w:val="auto"/>
                      <w:sz w:val="21"/>
                      <w:szCs w:val="21"/>
                    </w:rPr>
                    <w:t>消减断面</w:t>
                  </w:r>
                </w:p>
              </w:tc>
              <w:tc>
                <w:tcPr>
                  <w:tcW w:w="1895" w:type="dxa"/>
                  <w:vMerge w:val="continue"/>
                  <w:tcBorders>
                    <w:left w:val="single" w:color="auto" w:sz="6" w:space="0"/>
                    <w:bottom w:val="single" w:color="auto" w:sz="12" w:space="0"/>
                    <w:right w:val="single" w:color="auto" w:sz="6" w:space="0"/>
                  </w:tcBorders>
                  <w:vAlign w:val="center"/>
                </w:tcPr>
                <w:p w14:paraId="5F114CA8">
                  <w:pPr>
                    <w:jc w:val="center"/>
                    <w:rPr>
                      <w:color w:val="auto"/>
                      <w:sz w:val="21"/>
                      <w:szCs w:val="21"/>
                      <w:lang w:bidi="th-TH"/>
                    </w:rPr>
                  </w:pPr>
                </w:p>
              </w:tc>
              <w:tc>
                <w:tcPr>
                  <w:tcW w:w="1083" w:type="dxa"/>
                  <w:vMerge w:val="continue"/>
                  <w:tcBorders>
                    <w:left w:val="single" w:color="auto" w:sz="6" w:space="0"/>
                    <w:bottom w:val="single" w:color="auto" w:sz="12" w:space="0"/>
                    <w:right w:val="nil"/>
                  </w:tcBorders>
                  <w:vAlign w:val="center"/>
                </w:tcPr>
                <w:p w14:paraId="7A5D0AAD">
                  <w:pPr>
                    <w:jc w:val="center"/>
                    <w:rPr>
                      <w:color w:val="auto"/>
                      <w:sz w:val="21"/>
                      <w:szCs w:val="21"/>
                      <w:lang w:bidi="th-TH"/>
                    </w:rPr>
                  </w:pPr>
                </w:p>
              </w:tc>
            </w:tr>
          </w:tbl>
          <w:p w14:paraId="68779F24">
            <w:pPr>
              <w:snapToGrid w:val="0"/>
              <w:ind w:right="420"/>
              <w:jc w:val="right"/>
              <w:rPr>
                <w:b/>
                <w:color w:val="auto"/>
                <w:szCs w:val="21"/>
              </w:rPr>
            </w:pPr>
            <w:r>
              <w:rPr>
                <w:b/>
                <w:color w:val="auto"/>
              </w:rPr>
              <w:t>表</w:t>
            </w:r>
            <w:r>
              <w:rPr>
                <w:rFonts w:hint="eastAsia"/>
                <w:b/>
                <w:color w:val="auto"/>
                <w:lang w:val="en-US" w:eastAsia="zh-CN"/>
              </w:rPr>
              <w:t>3-3</w:t>
            </w:r>
            <w:r>
              <w:rPr>
                <w:b/>
                <w:color w:val="auto"/>
              </w:rPr>
              <w:t xml:space="preserve"> 地表水监测及评价结果一览表       </w:t>
            </w:r>
            <w:r>
              <w:rPr>
                <w:rFonts w:hint="eastAsia"/>
                <w:b/>
                <w:color w:val="auto"/>
                <w:lang w:val="en-US" w:eastAsia="zh-CN"/>
              </w:rPr>
              <w:t xml:space="preserve"> </w:t>
            </w:r>
            <w:r>
              <w:rPr>
                <w:b/>
                <w:bCs/>
                <w:color w:val="auto"/>
                <w:sz w:val="18"/>
                <w:szCs w:val="18"/>
              </w:rPr>
              <w:t>单位：mg/L，pH无量纲</w:t>
            </w:r>
          </w:p>
          <w:tbl>
            <w:tblPr>
              <w:tblStyle w:val="15"/>
              <w:tblW w:w="8504" w:type="dxa"/>
              <w:jc w:val="center"/>
              <w:tblLayout w:type="fixed"/>
              <w:tblCellMar>
                <w:top w:w="0" w:type="dxa"/>
                <w:left w:w="108" w:type="dxa"/>
                <w:bottom w:w="0" w:type="dxa"/>
                <w:right w:w="108" w:type="dxa"/>
              </w:tblCellMar>
            </w:tblPr>
            <w:tblGrid>
              <w:gridCol w:w="1247"/>
              <w:gridCol w:w="1211"/>
              <w:gridCol w:w="1217"/>
              <w:gridCol w:w="1211"/>
              <w:gridCol w:w="1210"/>
              <w:gridCol w:w="1211"/>
              <w:gridCol w:w="1197"/>
            </w:tblGrid>
            <w:tr w14:paraId="06549ABA">
              <w:tblPrEx>
                <w:tblCellMar>
                  <w:top w:w="0" w:type="dxa"/>
                  <w:left w:w="108" w:type="dxa"/>
                  <w:bottom w:w="0" w:type="dxa"/>
                  <w:right w:w="108" w:type="dxa"/>
                </w:tblCellMar>
              </w:tblPrEx>
              <w:trPr>
                <w:trHeight w:val="454" w:hRule="atLeast"/>
                <w:jc w:val="center"/>
              </w:trPr>
              <w:tc>
                <w:tcPr>
                  <w:tcW w:w="1247" w:type="dxa"/>
                  <w:vMerge w:val="restart"/>
                  <w:tcBorders>
                    <w:top w:val="single" w:color="auto" w:sz="12" w:space="0"/>
                    <w:left w:val="nil"/>
                    <w:right w:val="single" w:color="auto" w:sz="6" w:space="0"/>
                    <w:tl2br w:val="single" w:color="auto" w:sz="6" w:space="0"/>
                  </w:tcBorders>
                  <w:vAlign w:val="top"/>
                </w:tcPr>
                <w:p w14:paraId="5B52742D">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 xml:space="preserve">      监测  </w:t>
                  </w:r>
                </w:p>
                <w:p w14:paraId="1DB6507B">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 xml:space="preserve">      断面</w:t>
                  </w:r>
                </w:p>
                <w:p w14:paraId="37E3E655">
                  <w:pP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监测</w:t>
                  </w:r>
                </w:p>
                <w:p w14:paraId="64674E14">
                  <w:pP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因子</w:t>
                  </w:r>
                </w:p>
              </w:tc>
              <w:tc>
                <w:tcPr>
                  <w:tcW w:w="2428" w:type="dxa"/>
                  <w:gridSpan w:val="2"/>
                  <w:tcBorders>
                    <w:top w:val="single" w:color="auto" w:sz="12" w:space="0"/>
                    <w:left w:val="single" w:color="auto" w:sz="6" w:space="0"/>
                    <w:bottom w:val="single" w:color="auto" w:sz="6" w:space="0"/>
                    <w:right w:val="single" w:color="auto" w:sz="6" w:space="0"/>
                  </w:tcBorders>
                  <w:vAlign w:val="center"/>
                </w:tcPr>
                <w:p w14:paraId="03846881">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W1</w:t>
                  </w:r>
                </w:p>
              </w:tc>
              <w:tc>
                <w:tcPr>
                  <w:tcW w:w="2421" w:type="dxa"/>
                  <w:gridSpan w:val="2"/>
                  <w:tcBorders>
                    <w:top w:val="single" w:color="auto" w:sz="12" w:space="0"/>
                    <w:left w:val="single" w:color="auto" w:sz="6" w:space="0"/>
                    <w:bottom w:val="single" w:color="auto" w:sz="6" w:space="0"/>
                    <w:right w:val="single" w:color="auto" w:sz="6" w:space="0"/>
                  </w:tcBorders>
                  <w:vAlign w:val="center"/>
                </w:tcPr>
                <w:p w14:paraId="198C7B11">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W2</w:t>
                  </w:r>
                </w:p>
              </w:tc>
              <w:tc>
                <w:tcPr>
                  <w:tcW w:w="2408" w:type="dxa"/>
                  <w:gridSpan w:val="2"/>
                  <w:tcBorders>
                    <w:top w:val="single" w:color="auto" w:sz="12" w:space="0"/>
                    <w:left w:val="single" w:color="auto" w:sz="6" w:space="0"/>
                    <w:bottom w:val="single" w:color="auto" w:sz="6" w:space="0"/>
                  </w:tcBorders>
                  <w:vAlign w:val="center"/>
                </w:tcPr>
                <w:p w14:paraId="02823F56">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W3</w:t>
                  </w:r>
                </w:p>
              </w:tc>
            </w:tr>
            <w:tr w14:paraId="2FA9C786">
              <w:tblPrEx>
                <w:tblCellMar>
                  <w:top w:w="0" w:type="dxa"/>
                  <w:left w:w="108" w:type="dxa"/>
                  <w:bottom w:w="0" w:type="dxa"/>
                  <w:right w:w="108" w:type="dxa"/>
                </w:tblCellMar>
              </w:tblPrEx>
              <w:trPr>
                <w:trHeight w:val="454" w:hRule="atLeast"/>
                <w:jc w:val="center"/>
              </w:trPr>
              <w:tc>
                <w:tcPr>
                  <w:tcW w:w="1247" w:type="dxa"/>
                  <w:vMerge w:val="continue"/>
                  <w:tcBorders>
                    <w:left w:val="nil"/>
                    <w:right w:val="single" w:color="auto" w:sz="6" w:space="0"/>
                    <w:tl2br w:val="single" w:color="auto" w:sz="6" w:space="0"/>
                  </w:tcBorders>
                  <w:vAlign w:val="top"/>
                </w:tcPr>
                <w:p w14:paraId="7C268C84">
                  <w:pPr>
                    <w:jc w:val="center"/>
                    <w:rPr>
                      <w:rFonts w:hint="default" w:ascii="Times New Roman" w:hAnsi="Times New Roman" w:eastAsia="宋体" w:cs="Times New Roman"/>
                      <w:b/>
                      <w:bCs/>
                      <w:color w:val="auto"/>
                      <w:spacing w:val="-12"/>
                      <w:sz w:val="21"/>
                      <w:szCs w:val="21"/>
                    </w:rPr>
                  </w:pPr>
                </w:p>
              </w:tc>
              <w:tc>
                <w:tcPr>
                  <w:tcW w:w="1211" w:type="dxa"/>
                  <w:tcBorders>
                    <w:top w:val="single" w:color="auto" w:sz="6" w:space="0"/>
                    <w:left w:val="single" w:color="auto" w:sz="6" w:space="0"/>
                    <w:right w:val="single" w:color="auto" w:sz="6" w:space="0"/>
                  </w:tcBorders>
                  <w:vAlign w:val="center"/>
                </w:tcPr>
                <w:p w14:paraId="3107F645">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监测值</w:t>
                  </w:r>
                </w:p>
              </w:tc>
              <w:tc>
                <w:tcPr>
                  <w:tcW w:w="1217" w:type="dxa"/>
                  <w:tcBorders>
                    <w:top w:val="single" w:color="auto" w:sz="6" w:space="0"/>
                    <w:left w:val="single" w:color="auto" w:sz="6" w:space="0"/>
                    <w:right w:val="single" w:color="auto" w:sz="6" w:space="0"/>
                  </w:tcBorders>
                  <w:vAlign w:val="center"/>
                </w:tcPr>
                <w:p w14:paraId="24268D3C">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Si</w:t>
                  </w:r>
                </w:p>
              </w:tc>
              <w:tc>
                <w:tcPr>
                  <w:tcW w:w="1211" w:type="dxa"/>
                  <w:tcBorders>
                    <w:top w:val="single" w:color="auto" w:sz="6" w:space="0"/>
                    <w:left w:val="single" w:color="auto" w:sz="6" w:space="0"/>
                    <w:right w:val="single" w:color="auto" w:sz="6" w:space="0"/>
                  </w:tcBorders>
                  <w:vAlign w:val="center"/>
                </w:tcPr>
                <w:p w14:paraId="32E11B89">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监测值</w:t>
                  </w:r>
                </w:p>
              </w:tc>
              <w:tc>
                <w:tcPr>
                  <w:tcW w:w="1210" w:type="dxa"/>
                  <w:tcBorders>
                    <w:top w:val="single" w:color="auto" w:sz="6" w:space="0"/>
                    <w:left w:val="single" w:color="auto" w:sz="6" w:space="0"/>
                    <w:right w:val="single" w:color="auto" w:sz="6" w:space="0"/>
                  </w:tcBorders>
                  <w:vAlign w:val="center"/>
                </w:tcPr>
                <w:p w14:paraId="321E2016">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Si</w:t>
                  </w:r>
                </w:p>
              </w:tc>
              <w:tc>
                <w:tcPr>
                  <w:tcW w:w="1211" w:type="dxa"/>
                  <w:tcBorders>
                    <w:top w:val="single" w:color="auto" w:sz="6" w:space="0"/>
                    <w:left w:val="single" w:color="auto" w:sz="6" w:space="0"/>
                    <w:right w:val="single" w:color="auto" w:sz="6" w:space="0"/>
                  </w:tcBorders>
                  <w:vAlign w:val="center"/>
                </w:tcPr>
                <w:p w14:paraId="4FEAB75B">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监测值</w:t>
                  </w:r>
                </w:p>
              </w:tc>
              <w:tc>
                <w:tcPr>
                  <w:tcW w:w="1197" w:type="dxa"/>
                  <w:tcBorders>
                    <w:top w:val="single" w:color="auto" w:sz="6" w:space="0"/>
                    <w:left w:val="single" w:color="auto" w:sz="6" w:space="0"/>
                  </w:tcBorders>
                  <w:vAlign w:val="center"/>
                </w:tcPr>
                <w:p w14:paraId="6A65E9BE">
                  <w:pPr>
                    <w:jc w:val="center"/>
                    <w:rPr>
                      <w:rFonts w:hint="default" w:ascii="Times New Roman" w:hAnsi="Times New Roman" w:eastAsia="宋体" w:cs="Times New Roman"/>
                      <w:b/>
                      <w:bCs/>
                      <w:color w:val="auto"/>
                      <w:spacing w:val="-12"/>
                      <w:sz w:val="21"/>
                      <w:szCs w:val="21"/>
                    </w:rPr>
                  </w:pPr>
                  <w:r>
                    <w:rPr>
                      <w:rFonts w:hint="default" w:ascii="Times New Roman" w:hAnsi="Times New Roman" w:eastAsia="宋体" w:cs="Times New Roman"/>
                      <w:b/>
                      <w:bCs/>
                      <w:color w:val="auto"/>
                      <w:spacing w:val="-12"/>
                      <w:sz w:val="21"/>
                      <w:szCs w:val="21"/>
                    </w:rPr>
                    <w:t>Si</w:t>
                  </w:r>
                </w:p>
              </w:tc>
            </w:tr>
            <w:tr w14:paraId="25D4BB6C">
              <w:tblPrEx>
                <w:tblCellMar>
                  <w:top w:w="0" w:type="dxa"/>
                  <w:left w:w="108" w:type="dxa"/>
                  <w:bottom w:w="0" w:type="dxa"/>
                  <w:right w:w="108" w:type="dxa"/>
                </w:tblCellMar>
              </w:tblPrEx>
              <w:trPr>
                <w:trHeight w:val="454" w:hRule="atLeast"/>
                <w:jc w:val="center"/>
              </w:trPr>
              <w:tc>
                <w:tcPr>
                  <w:tcW w:w="1247" w:type="dxa"/>
                  <w:tcBorders>
                    <w:top w:val="single" w:color="auto" w:sz="12" w:space="0"/>
                    <w:left w:val="nil"/>
                    <w:bottom w:val="single" w:color="auto" w:sz="4" w:space="0"/>
                    <w:right w:val="single" w:color="auto" w:sz="6" w:space="0"/>
                  </w:tcBorders>
                  <w:vAlign w:val="center"/>
                </w:tcPr>
                <w:p w14:paraId="7CE96E9A">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水温（℃）</w:t>
                  </w:r>
                </w:p>
              </w:tc>
              <w:tc>
                <w:tcPr>
                  <w:tcW w:w="1211" w:type="dxa"/>
                  <w:tcBorders>
                    <w:top w:val="single" w:color="auto" w:sz="12" w:space="0"/>
                    <w:left w:val="single" w:color="auto" w:sz="6" w:space="0"/>
                    <w:bottom w:val="single" w:color="auto" w:sz="4" w:space="0"/>
                    <w:right w:val="single" w:color="auto" w:sz="6" w:space="0"/>
                  </w:tcBorders>
                  <w:vAlign w:val="center"/>
                </w:tcPr>
                <w:p w14:paraId="53EA6B52">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26.0~39.8</w:t>
                  </w:r>
                </w:p>
              </w:tc>
              <w:tc>
                <w:tcPr>
                  <w:tcW w:w="1217" w:type="dxa"/>
                  <w:tcBorders>
                    <w:top w:val="single" w:color="auto" w:sz="12" w:space="0"/>
                    <w:left w:val="single" w:color="auto" w:sz="6" w:space="0"/>
                    <w:bottom w:val="single" w:color="auto" w:sz="4" w:space="0"/>
                    <w:right w:val="single" w:color="auto" w:sz="6" w:space="0"/>
                  </w:tcBorders>
                  <w:vAlign w:val="center"/>
                </w:tcPr>
                <w:p w14:paraId="56248428">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w:t>
                  </w:r>
                </w:p>
              </w:tc>
              <w:tc>
                <w:tcPr>
                  <w:tcW w:w="1211" w:type="dxa"/>
                  <w:tcBorders>
                    <w:top w:val="single" w:color="auto" w:sz="12" w:space="0"/>
                    <w:left w:val="single" w:color="auto" w:sz="6" w:space="0"/>
                    <w:bottom w:val="single" w:color="auto" w:sz="4" w:space="0"/>
                    <w:right w:val="single" w:color="auto" w:sz="6" w:space="0"/>
                  </w:tcBorders>
                  <w:vAlign w:val="center"/>
                </w:tcPr>
                <w:p w14:paraId="33B04B67">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26.0~39.8</w:t>
                  </w:r>
                </w:p>
              </w:tc>
              <w:tc>
                <w:tcPr>
                  <w:tcW w:w="1210" w:type="dxa"/>
                  <w:tcBorders>
                    <w:top w:val="single" w:color="auto" w:sz="12" w:space="0"/>
                    <w:left w:val="single" w:color="auto" w:sz="6" w:space="0"/>
                    <w:bottom w:val="single" w:color="auto" w:sz="4" w:space="0"/>
                    <w:right w:val="single" w:color="auto" w:sz="6" w:space="0"/>
                  </w:tcBorders>
                  <w:vAlign w:val="center"/>
                </w:tcPr>
                <w:p w14:paraId="58481169">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w:t>
                  </w:r>
                </w:p>
              </w:tc>
              <w:tc>
                <w:tcPr>
                  <w:tcW w:w="1211" w:type="dxa"/>
                  <w:tcBorders>
                    <w:top w:val="single" w:color="auto" w:sz="12" w:space="0"/>
                    <w:left w:val="single" w:color="auto" w:sz="6" w:space="0"/>
                    <w:bottom w:val="single" w:color="auto" w:sz="4" w:space="0"/>
                    <w:right w:val="single" w:color="auto" w:sz="6" w:space="0"/>
                  </w:tcBorders>
                  <w:vAlign w:val="center"/>
                </w:tcPr>
                <w:p w14:paraId="7DF1993E">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26.0~39.8</w:t>
                  </w:r>
                </w:p>
              </w:tc>
              <w:tc>
                <w:tcPr>
                  <w:tcW w:w="1197" w:type="dxa"/>
                  <w:tcBorders>
                    <w:top w:val="single" w:color="auto" w:sz="12" w:space="0"/>
                    <w:left w:val="single" w:color="auto" w:sz="6" w:space="0"/>
                    <w:bottom w:val="single" w:color="auto" w:sz="4" w:space="0"/>
                  </w:tcBorders>
                  <w:vAlign w:val="center"/>
                </w:tcPr>
                <w:p w14:paraId="25FB09E2">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w:t>
                  </w:r>
                </w:p>
              </w:tc>
            </w:tr>
            <w:tr w14:paraId="1C0CB600">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58DED045">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pH值</w:t>
                  </w:r>
                </w:p>
              </w:tc>
              <w:tc>
                <w:tcPr>
                  <w:tcW w:w="1211" w:type="dxa"/>
                  <w:tcBorders>
                    <w:top w:val="single" w:color="auto" w:sz="6" w:space="0"/>
                    <w:left w:val="single" w:color="auto" w:sz="6" w:space="0"/>
                    <w:bottom w:val="single" w:color="auto" w:sz="6" w:space="0"/>
                    <w:right w:val="single" w:color="auto" w:sz="6" w:space="0"/>
                  </w:tcBorders>
                  <w:vAlign w:val="center"/>
                </w:tcPr>
                <w:p w14:paraId="0B5DEE3A">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7.71~7.93</w:t>
                  </w:r>
                </w:p>
              </w:tc>
              <w:tc>
                <w:tcPr>
                  <w:tcW w:w="1217" w:type="dxa"/>
                  <w:tcBorders>
                    <w:top w:val="single" w:color="auto" w:sz="6" w:space="0"/>
                    <w:left w:val="single" w:color="auto" w:sz="6" w:space="0"/>
                    <w:bottom w:val="single" w:color="auto" w:sz="6" w:space="0"/>
                    <w:right w:val="single" w:color="auto" w:sz="6" w:space="0"/>
                  </w:tcBorders>
                  <w:vAlign w:val="center"/>
                </w:tcPr>
                <w:p w14:paraId="3F0A1016">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0.355~0.465</w:t>
                  </w:r>
                </w:p>
              </w:tc>
              <w:tc>
                <w:tcPr>
                  <w:tcW w:w="1211" w:type="dxa"/>
                  <w:tcBorders>
                    <w:top w:val="single" w:color="auto" w:sz="6" w:space="0"/>
                    <w:left w:val="single" w:color="auto" w:sz="6" w:space="0"/>
                    <w:bottom w:val="single" w:color="auto" w:sz="6" w:space="0"/>
                    <w:right w:val="single" w:color="auto" w:sz="6" w:space="0"/>
                  </w:tcBorders>
                  <w:vAlign w:val="center"/>
                </w:tcPr>
                <w:p w14:paraId="6E484196">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7.65~7.87</w:t>
                  </w:r>
                </w:p>
              </w:tc>
              <w:tc>
                <w:tcPr>
                  <w:tcW w:w="1210" w:type="dxa"/>
                  <w:tcBorders>
                    <w:top w:val="single" w:color="auto" w:sz="6" w:space="0"/>
                    <w:left w:val="single" w:color="auto" w:sz="6" w:space="0"/>
                    <w:bottom w:val="single" w:color="auto" w:sz="6" w:space="0"/>
                    <w:right w:val="single" w:color="auto" w:sz="6" w:space="0"/>
                  </w:tcBorders>
                  <w:vAlign w:val="center"/>
                </w:tcPr>
                <w:p w14:paraId="65E8E00A">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0.325~</w:t>
                  </w:r>
                </w:p>
              </w:tc>
              <w:tc>
                <w:tcPr>
                  <w:tcW w:w="1211" w:type="dxa"/>
                  <w:tcBorders>
                    <w:top w:val="single" w:color="auto" w:sz="6" w:space="0"/>
                    <w:left w:val="single" w:color="auto" w:sz="6" w:space="0"/>
                    <w:bottom w:val="single" w:color="auto" w:sz="6" w:space="0"/>
                    <w:right w:val="single" w:color="auto" w:sz="6" w:space="0"/>
                  </w:tcBorders>
                  <w:vAlign w:val="center"/>
                </w:tcPr>
                <w:p w14:paraId="398DF249">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7.70~7.89</w:t>
                  </w:r>
                </w:p>
              </w:tc>
              <w:tc>
                <w:tcPr>
                  <w:tcW w:w="1197" w:type="dxa"/>
                  <w:tcBorders>
                    <w:top w:val="single" w:color="auto" w:sz="6" w:space="0"/>
                    <w:left w:val="single" w:color="auto" w:sz="6" w:space="0"/>
                    <w:bottom w:val="single" w:color="auto" w:sz="6" w:space="0"/>
                  </w:tcBorders>
                  <w:vAlign w:val="center"/>
                </w:tcPr>
                <w:p w14:paraId="4E295AD1">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0.35~0.445</w:t>
                  </w:r>
                </w:p>
              </w:tc>
            </w:tr>
            <w:tr w14:paraId="0A39391D">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2587F93E">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化学需氧量</w:t>
                  </w:r>
                </w:p>
              </w:tc>
              <w:tc>
                <w:tcPr>
                  <w:tcW w:w="1211" w:type="dxa"/>
                  <w:tcBorders>
                    <w:top w:val="single" w:color="auto" w:sz="6" w:space="0"/>
                    <w:left w:val="single" w:color="auto" w:sz="6" w:space="0"/>
                    <w:bottom w:val="single" w:color="auto" w:sz="6" w:space="0"/>
                    <w:right w:val="single" w:color="auto" w:sz="6" w:space="0"/>
                  </w:tcBorders>
                  <w:vAlign w:val="center"/>
                </w:tcPr>
                <w:p w14:paraId="07CE8D26">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13~16</w:t>
                  </w:r>
                </w:p>
              </w:tc>
              <w:tc>
                <w:tcPr>
                  <w:tcW w:w="1217" w:type="dxa"/>
                  <w:tcBorders>
                    <w:top w:val="single" w:color="auto" w:sz="6" w:space="0"/>
                    <w:left w:val="single" w:color="auto" w:sz="6" w:space="0"/>
                    <w:bottom w:val="single" w:color="auto" w:sz="6" w:space="0"/>
                    <w:right w:val="single" w:color="auto" w:sz="6" w:space="0"/>
                  </w:tcBorders>
                  <w:vAlign w:val="center"/>
                </w:tcPr>
                <w:p w14:paraId="00AC0D03">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0.65~0.8</w:t>
                  </w:r>
                </w:p>
              </w:tc>
              <w:tc>
                <w:tcPr>
                  <w:tcW w:w="1211" w:type="dxa"/>
                  <w:tcBorders>
                    <w:top w:val="single" w:color="auto" w:sz="6" w:space="0"/>
                    <w:left w:val="single" w:color="auto" w:sz="6" w:space="0"/>
                    <w:bottom w:val="single" w:color="auto" w:sz="6" w:space="0"/>
                    <w:right w:val="single" w:color="auto" w:sz="6" w:space="0"/>
                  </w:tcBorders>
                  <w:vAlign w:val="center"/>
                </w:tcPr>
                <w:p w14:paraId="3B19B47F">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14~15</w:t>
                  </w:r>
                </w:p>
              </w:tc>
              <w:tc>
                <w:tcPr>
                  <w:tcW w:w="1210" w:type="dxa"/>
                  <w:tcBorders>
                    <w:top w:val="single" w:color="auto" w:sz="6" w:space="0"/>
                    <w:left w:val="single" w:color="auto" w:sz="6" w:space="0"/>
                    <w:bottom w:val="single" w:color="auto" w:sz="6" w:space="0"/>
                    <w:right w:val="single" w:color="auto" w:sz="6" w:space="0"/>
                  </w:tcBorders>
                  <w:vAlign w:val="center"/>
                </w:tcPr>
                <w:p w14:paraId="4E02B9AE">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0.7~0.75</w:t>
                  </w:r>
                </w:p>
              </w:tc>
              <w:tc>
                <w:tcPr>
                  <w:tcW w:w="1211" w:type="dxa"/>
                  <w:tcBorders>
                    <w:top w:val="single" w:color="auto" w:sz="6" w:space="0"/>
                    <w:left w:val="single" w:color="auto" w:sz="6" w:space="0"/>
                    <w:bottom w:val="single" w:color="auto" w:sz="6" w:space="0"/>
                    <w:right w:val="single" w:color="auto" w:sz="6" w:space="0"/>
                  </w:tcBorders>
                  <w:vAlign w:val="center"/>
                </w:tcPr>
                <w:p w14:paraId="5A4C536B">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11~16</w:t>
                  </w:r>
                </w:p>
              </w:tc>
              <w:tc>
                <w:tcPr>
                  <w:tcW w:w="1197" w:type="dxa"/>
                  <w:tcBorders>
                    <w:top w:val="single" w:color="auto" w:sz="6" w:space="0"/>
                    <w:left w:val="single" w:color="auto" w:sz="6" w:space="0"/>
                    <w:bottom w:val="single" w:color="auto" w:sz="6" w:space="0"/>
                  </w:tcBorders>
                  <w:vAlign w:val="center"/>
                </w:tcPr>
                <w:p w14:paraId="2AEFD5E0">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0.55~0.8</w:t>
                  </w:r>
                </w:p>
              </w:tc>
            </w:tr>
            <w:tr w14:paraId="647E74D2">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1F093772">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五日生化需氧量</w:t>
                  </w:r>
                </w:p>
              </w:tc>
              <w:tc>
                <w:tcPr>
                  <w:tcW w:w="1211" w:type="dxa"/>
                  <w:tcBorders>
                    <w:top w:val="single" w:color="auto" w:sz="6" w:space="0"/>
                    <w:left w:val="single" w:color="auto" w:sz="6" w:space="0"/>
                    <w:bottom w:val="single" w:color="auto" w:sz="6" w:space="0"/>
                    <w:right w:val="single" w:color="auto" w:sz="6" w:space="0"/>
                  </w:tcBorders>
                  <w:vAlign w:val="center"/>
                </w:tcPr>
                <w:p w14:paraId="2F48E5C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2~3</w:t>
                  </w:r>
                </w:p>
              </w:tc>
              <w:tc>
                <w:tcPr>
                  <w:tcW w:w="1217" w:type="dxa"/>
                  <w:tcBorders>
                    <w:top w:val="single" w:color="auto" w:sz="6" w:space="0"/>
                    <w:left w:val="single" w:color="auto" w:sz="6" w:space="0"/>
                    <w:bottom w:val="single" w:color="auto" w:sz="6" w:space="0"/>
                    <w:right w:val="single" w:color="auto" w:sz="6" w:space="0"/>
                  </w:tcBorders>
                  <w:vAlign w:val="center"/>
                </w:tcPr>
                <w:p w14:paraId="47EB205A">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0.5~0.75</w:t>
                  </w:r>
                </w:p>
              </w:tc>
              <w:tc>
                <w:tcPr>
                  <w:tcW w:w="1211" w:type="dxa"/>
                  <w:tcBorders>
                    <w:top w:val="single" w:color="auto" w:sz="6" w:space="0"/>
                    <w:left w:val="single" w:color="auto" w:sz="6" w:space="0"/>
                    <w:bottom w:val="single" w:color="auto" w:sz="6" w:space="0"/>
                    <w:right w:val="single" w:color="auto" w:sz="6" w:space="0"/>
                  </w:tcBorders>
                  <w:vAlign w:val="center"/>
                </w:tcPr>
                <w:p w14:paraId="4553D1F4">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2~3</w:t>
                  </w:r>
                </w:p>
              </w:tc>
              <w:tc>
                <w:tcPr>
                  <w:tcW w:w="1210" w:type="dxa"/>
                  <w:tcBorders>
                    <w:top w:val="single" w:color="auto" w:sz="6" w:space="0"/>
                    <w:left w:val="single" w:color="auto" w:sz="6" w:space="0"/>
                    <w:bottom w:val="single" w:color="auto" w:sz="6" w:space="0"/>
                    <w:right w:val="single" w:color="auto" w:sz="6" w:space="0"/>
                  </w:tcBorders>
                  <w:vAlign w:val="center"/>
                </w:tcPr>
                <w:p w14:paraId="476D5C42">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0.5~0.75</w:t>
                  </w:r>
                </w:p>
              </w:tc>
              <w:tc>
                <w:tcPr>
                  <w:tcW w:w="1211" w:type="dxa"/>
                  <w:tcBorders>
                    <w:top w:val="single" w:color="auto" w:sz="6" w:space="0"/>
                    <w:left w:val="single" w:color="auto" w:sz="6" w:space="0"/>
                    <w:bottom w:val="single" w:color="auto" w:sz="6" w:space="0"/>
                    <w:right w:val="single" w:color="auto" w:sz="6" w:space="0"/>
                  </w:tcBorders>
                  <w:vAlign w:val="center"/>
                </w:tcPr>
                <w:p w14:paraId="738E38E2">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2~3</w:t>
                  </w:r>
                </w:p>
              </w:tc>
              <w:tc>
                <w:tcPr>
                  <w:tcW w:w="1197" w:type="dxa"/>
                  <w:tcBorders>
                    <w:top w:val="single" w:color="auto" w:sz="6" w:space="0"/>
                    <w:left w:val="single" w:color="auto" w:sz="6" w:space="0"/>
                    <w:bottom w:val="single" w:color="auto" w:sz="6" w:space="0"/>
                  </w:tcBorders>
                  <w:vAlign w:val="center"/>
                </w:tcPr>
                <w:p w14:paraId="470CA761">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0.5~0.75</w:t>
                  </w:r>
                </w:p>
              </w:tc>
            </w:tr>
            <w:tr w14:paraId="5CED8719">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204E93A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氨氮</w:t>
                  </w:r>
                </w:p>
              </w:tc>
              <w:tc>
                <w:tcPr>
                  <w:tcW w:w="1211" w:type="dxa"/>
                  <w:tcBorders>
                    <w:top w:val="single" w:color="auto" w:sz="6" w:space="0"/>
                    <w:left w:val="single" w:color="auto" w:sz="6" w:space="0"/>
                    <w:bottom w:val="single" w:color="auto" w:sz="6" w:space="0"/>
                    <w:right w:val="single" w:color="auto" w:sz="6" w:space="0"/>
                  </w:tcBorders>
                  <w:vAlign w:val="center"/>
                </w:tcPr>
                <w:p w14:paraId="5333C67F">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0.20~0.25</w:t>
                  </w:r>
                </w:p>
              </w:tc>
              <w:tc>
                <w:tcPr>
                  <w:tcW w:w="1217" w:type="dxa"/>
                  <w:tcBorders>
                    <w:top w:val="single" w:color="auto" w:sz="6" w:space="0"/>
                    <w:left w:val="single" w:color="auto" w:sz="6" w:space="0"/>
                    <w:bottom w:val="single" w:color="auto" w:sz="6" w:space="0"/>
                    <w:right w:val="single" w:color="auto" w:sz="6" w:space="0"/>
                  </w:tcBorders>
                  <w:vAlign w:val="center"/>
                </w:tcPr>
                <w:p w14:paraId="7EF4BF7A">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0.20~0.25</w:t>
                  </w:r>
                </w:p>
              </w:tc>
              <w:tc>
                <w:tcPr>
                  <w:tcW w:w="1211" w:type="dxa"/>
                  <w:tcBorders>
                    <w:top w:val="single" w:color="auto" w:sz="6" w:space="0"/>
                    <w:left w:val="single" w:color="auto" w:sz="6" w:space="0"/>
                    <w:bottom w:val="single" w:color="auto" w:sz="6" w:space="0"/>
                    <w:right w:val="single" w:color="auto" w:sz="6" w:space="0"/>
                  </w:tcBorders>
                  <w:vAlign w:val="center"/>
                </w:tcPr>
                <w:p w14:paraId="0512C537">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0.06~0.14</w:t>
                  </w:r>
                </w:p>
              </w:tc>
              <w:tc>
                <w:tcPr>
                  <w:tcW w:w="1210" w:type="dxa"/>
                  <w:tcBorders>
                    <w:top w:val="single" w:color="auto" w:sz="6" w:space="0"/>
                    <w:left w:val="single" w:color="auto" w:sz="6" w:space="0"/>
                    <w:bottom w:val="single" w:color="auto" w:sz="6" w:space="0"/>
                    <w:right w:val="single" w:color="auto" w:sz="6" w:space="0"/>
                  </w:tcBorders>
                  <w:vAlign w:val="center"/>
                </w:tcPr>
                <w:p w14:paraId="7376CA91">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0.06~0.14</w:t>
                  </w:r>
                </w:p>
              </w:tc>
              <w:tc>
                <w:tcPr>
                  <w:tcW w:w="1211" w:type="dxa"/>
                  <w:tcBorders>
                    <w:top w:val="single" w:color="auto" w:sz="6" w:space="0"/>
                    <w:left w:val="single" w:color="auto" w:sz="6" w:space="0"/>
                    <w:bottom w:val="single" w:color="auto" w:sz="6" w:space="0"/>
                    <w:right w:val="single" w:color="auto" w:sz="6" w:space="0"/>
                  </w:tcBorders>
                  <w:vAlign w:val="center"/>
                </w:tcPr>
                <w:p w14:paraId="4AF80F64">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0.11~0.18</w:t>
                  </w:r>
                </w:p>
              </w:tc>
              <w:tc>
                <w:tcPr>
                  <w:tcW w:w="1197" w:type="dxa"/>
                  <w:tcBorders>
                    <w:top w:val="single" w:color="auto" w:sz="6" w:space="0"/>
                    <w:left w:val="single" w:color="auto" w:sz="6" w:space="0"/>
                    <w:bottom w:val="single" w:color="auto" w:sz="6" w:space="0"/>
                  </w:tcBorders>
                  <w:vAlign w:val="center"/>
                </w:tcPr>
                <w:p w14:paraId="023773FF">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0.11~0.18</w:t>
                  </w:r>
                </w:p>
              </w:tc>
            </w:tr>
            <w:tr w14:paraId="55BC3178">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200F93DB">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总磷</w:t>
                  </w:r>
                </w:p>
              </w:tc>
              <w:tc>
                <w:tcPr>
                  <w:tcW w:w="1211" w:type="dxa"/>
                  <w:tcBorders>
                    <w:top w:val="single" w:color="auto" w:sz="6" w:space="0"/>
                    <w:left w:val="single" w:color="auto" w:sz="6" w:space="0"/>
                    <w:bottom w:val="single" w:color="auto" w:sz="6" w:space="0"/>
                    <w:right w:val="single" w:color="auto" w:sz="6" w:space="0"/>
                  </w:tcBorders>
                  <w:vAlign w:val="center"/>
                </w:tcPr>
                <w:p w14:paraId="51037614">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0.132~0.162</w:t>
                  </w:r>
                </w:p>
              </w:tc>
              <w:tc>
                <w:tcPr>
                  <w:tcW w:w="1217" w:type="dxa"/>
                  <w:tcBorders>
                    <w:top w:val="single" w:color="auto" w:sz="6" w:space="0"/>
                    <w:left w:val="single" w:color="auto" w:sz="6" w:space="0"/>
                    <w:bottom w:val="single" w:color="auto" w:sz="6" w:space="0"/>
                    <w:right w:val="single" w:color="auto" w:sz="6" w:space="0"/>
                  </w:tcBorders>
                  <w:vAlign w:val="center"/>
                </w:tcPr>
                <w:p w14:paraId="2E980B22">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0.66~0.81</w:t>
                  </w:r>
                </w:p>
              </w:tc>
              <w:tc>
                <w:tcPr>
                  <w:tcW w:w="1211" w:type="dxa"/>
                  <w:tcBorders>
                    <w:top w:val="single" w:color="auto" w:sz="6" w:space="0"/>
                    <w:left w:val="single" w:color="auto" w:sz="6" w:space="0"/>
                    <w:bottom w:val="single" w:color="auto" w:sz="6" w:space="0"/>
                    <w:right w:val="single" w:color="auto" w:sz="6" w:space="0"/>
                  </w:tcBorders>
                  <w:vAlign w:val="center"/>
                </w:tcPr>
                <w:p w14:paraId="206F3C57">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0.124~0.172</w:t>
                  </w:r>
                </w:p>
              </w:tc>
              <w:tc>
                <w:tcPr>
                  <w:tcW w:w="1210" w:type="dxa"/>
                  <w:tcBorders>
                    <w:top w:val="single" w:color="auto" w:sz="6" w:space="0"/>
                    <w:left w:val="single" w:color="auto" w:sz="6" w:space="0"/>
                    <w:bottom w:val="single" w:color="auto" w:sz="6" w:space="0"/>
                    <w:right w:val="single" w:color="auto" w:sz="6" w:space="0"/>
                  </w:tcBorders>
                  <w:vAlign w:val="center"/>
                </w:tcPr>
                <w:p w14:paraId="29E5844C">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0.62~0.86</w:t>
                  </w:r>
                </w:p>
              </w:tc>
              <w:tc>
                <w:tcPr>
                  <w:tcW w:w="1211" w:type="dxa"/>
                  <w:tcBorders>
                    <w:top w:val="single" w:color="auto" w:sz="6" w:space="0"/>
                    <w:left w:val="single" w:color="auto" w:sz="6" w:space="0"/>
                    <w:bottom w:val="single" w:color="auto" w:sz="6" w:space="0"/>
                    <w:right w:val="single" w:color="auto" w:sz="6" w:space="0"/>
                  </w:tcBorders>
                  <w:vAlign w:val="center"/>
                </w:tcPr>
                <w:p w14:paraId="310B16E8">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0.126~0.168</w:t>
                  </w:r>
                </w:p>
              </w:tc>
              <w:tc>
                <w:tcPr>
                  <w:tcW w:w="1197" w:type="dxa"/>
                  <w:tcBorders>
                    <w:top w:val="single" w:color="auto" w:sz="6" w:space="0"/>
                    <w:left w:val="single" w:color="auto" w:sz="6" w:space="0"/>
                    <w:bottom w:val="single" w:color="auto" w:sz="6" w:space="0"/>
                  </w:tcBorders>
                  <w:vAlign w:val="center"/>
                </w:tcPr>
                <w:p w14:paraId="746E9C2B">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0.63~0.84</w:t>
                  </w:r>
                </w:p>
              </w:tc>
            </w:tr>
            <w:tr w14:paraId="01F9D2B8">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0B0E61F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溶解氧</w:t>
                  </w:r>
                </w:p>
              </w:tc>
              <w:tc>
                <w:tcPr>
                  <w:tcW w:w="1211" w:type="dxa"/>
                  <w:tcBorders>
                    <w:top w:val="single" w:color="auto" w:sz="6" w:space="0"/>
                    <w:left w:val="single" w:color="auto" w:sz="6" w:space="0"/>
                    <w:bottom w:val="single" w:color="auto" w:sz="6" w:space="0"/>
                    <w:right w:val="single" w:color="auto" w:sz="6" w:space="0"/>
                  </w:tcBorders>
                  <w:vAlign w:val="center"/>
                </w:tcPr>
                <w:p w14:paraId="44C7ACE2">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6.3~6.4</w:t>
                  </w:r>
                </w:p>
              </w:tc>
              <w:tc>
                <w:tcPr>
                  <w:tcW w:w="1217" w:type="dxa"/>
                  <w:tcBorders>
                    <w:top w:val="single" w:color="auto" w:sz="6" w:space="0"/>
                    <w:left w:val="single" w:color="auto" w:sz="6" w:space="0"/>
                    <w:bottom w:val="single" w:color="auto" w:sz="6" w:space="0"/>
                    <w:right w:val="single" w:color="auto" w:sz="6" w:space="0"/>
                  </w:tcBorders>
                  <w:vAlign w:val="center"/>
                </w:tcPr>
                <w:p w14:paraId="4F3612AF">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9"/>
                      <w:sz w:val="21"/>
                      <w:szCs w:val="21"/>
                    </w:rPr>
                    <w:t>0.161~0.584</w:t>
                  </w:r>
                </w:p>
              </w:tc>
              <w:tc>
                <w:tcPr>
                  <w:tcW w:w="1211" w:type="dxa"/>
                  <w:tcBorders>
                    <w:top w:val="single" w:color="auto" w:sz="6" w:space="0"/>
                    <w:left w:val="single" w:color="auto" w:sz="6" w:space="0"/>
                    <w:bottom w:val="single" w:color="auto" w:sz="6" w:space="0"/>
                    <w:right w:val="single" w:color="auto" w:sz="6" w:space="0"/>
                  </w:tcBorders>
                  <w:vAlign w:val="center"/>
                </w:tcPr>
                <w:p w14:paraId="125F7015">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6.2~7.4</w:t>
                  </w:r>
                </w:p>
              </w:tc>
              <w:tc>
                <w:tcPr>
                  <w:tcW w:w="1210" w:type="dxa"/>
                  <w:tcBorders>
                    <w:top w:val="single" w:color="auto" w:sz="6" w:space="0"/>
                    <w:left w:val="single" w:color="auto" w:sz="6" w:space="0"/>
                    <w:bottom w:val="single" w:color="auto" w:sz="6" w:space="0"/>
                    <w:right w:val="single" w:color="auto" w:sz="6" w:space="0"/>
                  </w:tcBorders>
                  <w:vAlign w:val="center"/>
                </w:tcPr>
                <w:p w14:paraId="375F2675">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9"/>
                      <w:sz w:val="21"/>
                      <w:szCs w:val="21"/>
                    </w:rPr>
                    <w:t>0.548~0.616</w:t>
                  </w:r>
                </w:p>
              </w:tc>
              <w:tc>
                <w:tcPr>
                  <w:tcW w:w="1211" w:type="dxa"/>
                  <w:tcBorders>
                    <w:top w:val="single" w:color="auto" w:sz="6" w:space="0"/>
                    <w:left w:val="single" w:color="auto" w:sz="6" w:space="0"/>
                    <w:bottom w:val="single" w:color="auto" w:sz="6" w:space="0"/>
                    <w:right w:val="single" w:color="auto" w:sz="6" w:space="0"/>
                  </w:tcBorders>
                  <w:vAlign w:val="center"/>
                </w:tcPr>
                <w:p w14:paraId="5850E2D3">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6.1~6.7</w:t>
                  </w:r>
                </w:p>
              </w:tc>
              <w:tc>
                <w:tcPr>
                  <w:tcW w:w="1197" w:type="dxa"/>
                  <w:tcBorders>
                    <w:top w:val="single" w:color="auto" w:sz="6" w:space="0"/>
                    <w:left w:val="single" w:color="auto" w:sz="6" w:space="0"/>
                    <w:bottom w:val="single" w:color="auto" w:sz="6" w:space="0"/>
                  </w:tcBorders>
                  <w:vAlign w:val="center"/>
                </w:tcPr>
                <w:p w14:paraId="3C41996C">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9"/>
                      <w:sz w:val="21"/>
                      <w:szCs w:val="21"/>
                    </w:rPr>
                    <w:t>0.097~0.648</w:t>
                  </w:r>
                </w:p>
              </w:tc>
            </w:tr>
            <w:tr w14:paraId="4B548F87">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366F1E7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氰化物</w:t>
                  </w:r>
                </w:p>
              </w:tc>
              <w:tc>
                <w:tcPr>
                  <w:tcW w:w="1211" w:type="dxa"/>
                  <w:tcBorders>
                    <w:top w:val="single" w:color="auto" w:sz="6" w:space="0"/>
                    <w:left w:val="single" w:color="auto" w:sz="6" w:space="0"/>
                    <w:bottom w:val="single" w:color="auto" w:sz="6" w:space="0"/>
                    <w:right w:val="single" w:color="auto" w:sz="6" w:space="0"/>
                  </w:tcBorders>
                  <w:vAlign w:val="center"/>
                </w:tcPr>
                <w:p w14:paraId="6C99B768">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7" w:type="dxa"/>
                  <w:tcBorders>
                    <w:top w:val="single" w:color="auto" w:sz="6" w:space="0"/>
                    <w:left w:val="single" w:color="auto" w:sz="6" w:space="0"/>
                    <w:bottom w:val="single" w:color="auto" w:sz="6" w:space="0"/>
                    <w:right w:val="single" w:color="auto" w:sz="6" w:space="0"/>
                  </w:tcBorders>
                  <w:vAlign w:val="center"/>
                </w:tcPr>
                <w:p w14:paraId="62974E2B">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6" w:space="0"/>
                    <w:right w:val="single" w:color="auto" w:sz="6" w:space="0"/>
                  </w:tcBorders>
                  <w:vAlign w:val="center"/>
                </w:tcPr>
                <w:p w14:paraId="7C11A009">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0" w:type="dxa"/>
                  <w:tcBorders>
                    <w:top w:val="single" w:color="auto" w:sz="6" w:space="0"/>
                    <w:left w:val="single" w:color="auto" w:sz="6" w:space="0"/>
                    <w:bottom w:val="single" w:color="auto" w:sz="6" w:space="0"/>
                    <w:right w:val="single" w:color="auto" w:sz="6" w:space="0"/>
                  </w:tcBorders>
                  <w:vAlign w:val="center"/>
                </w:tcPr>
                <w:p w14:paraId="2DABE383">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6" w:space="0"/>
                    <w:right w:val="single" w:color="auto" w:sz="6" w:space="0"/>
                  </w:tcBorders>
                  <w:vAlign w:val="center"/>
                </w:tcPr>
                <w:p w14:paraId="1F0328A4">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197" w:type="dxa"/>
                  <w:tcBorders>
                    <w:top w:val="single" w:color="auto" w:sz="6" w:space="0"/>
                    <w:left w:val="single" w:color="auto" w:sz="6" w:space="0"/>
                    <w:bottom w:val="single" w:color="auto" w:sz="6" w:space="0"/>
                  </w:tcBorders>
                  <w:vAlign w:val="center"/>
                </w:tcPr>
                <w:p w14:paraId="4610E36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r w14:paraId="673638F7">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049BF824">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石油类</w:t>
                  </w:r>
                </w:p>
              </w:tc>
              <w:tc>
                <w:tcPr>
                  <w:tcW w:w="1211" w:type="dxa"/>
                  <w:tcBorders>
                    <w:top w:val="single" w:color="auto" w:sz="6" w:space="0"/>
                    <w:left w:val="single" w:color="auto" w:sz="6" w:space="0"/>
                    <w:bottom w:val="single" w:color="auto" w:sz="6" w:space="0"/>
                    <w:right w:val="single" w:color="auto" w:sz="6" w:space="0"/>
                  </w:tcBorders>
                  <w:vAlign w:val="center"/>
                </w:tcPr>
                <w:p w14:paraId="3BFBA966">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7" w:type="dxa"/>
                  <w:tcBorders>
                    <w:top w:val="single" w:color="auto" w:sz="6" w:space="0"/>
                    <w:left w:val="single" w:color="auto" w:sz="6" w:space="0"/>
                    <w:bottom w:val="single" w:color="auto" w:sz="6" w:space="0"/>
                    <w:right w:val="single" w:color="auto" w:sz="6" w:space="0"/>
                  </w:tcBorders>
                  <w:vAlign w:val="center"/>
                </w:tcPr>
                <w:p w14:paraId="518CFB47">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6" w:space="0"/>
                    <w:right w:val="single" w:color="auto" w:sz="6" w:space="0"/>
                  </w:tcBorders>
                  <w:vAlign w:val="center"/>
                </w:tcPr>
                <w:p w14:paraId="3B1CDE58">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0" w:type="dxa"/>
                  <w:tcBorders>
                    <w:top w:val="single" w:color="auto" w:sz="6" w:space="0"/>
                    <w:left w:val="single" w:color="auto" w:sz="6" w:space="0"/>
                    <w:bottom w:val="single" w:color="auto" w:sz="6" w:space="0"/>
                    <w:right w:val="single" w:color="auto" w:sz="6" w:space="0"/>
                  </w:tcBorders>
                  <w:vAlign w:val="center"/>
                </w:tcPr>
                <w:p w14:paraId="6F270BD8">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6" w:space="0"/>
                    <w:right w:val="single" w:color="auto" w:sz="6" w:space="0"/>
                  </w:tcBorders>
                  <w:vAlign w:val="center"/>
                </w:tcPr>
                <w:p w14:paraId="76B13906">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197" w:type="dxa"/>
                  <w:tcBorders>
                    <w:top w:val="single" w:color="auto" w:sz="6" w:space="0"/>
                    <w:left w:val="single" w:color="auto" w:sz="6" w:space="0"/>
                    <w:bottom w:val="single" w:color="auto" w:sz="6" w:space="0"/>
                  </w:tcBorders>
                  <w:vAlign w:val="center"/>
                </w:tcPr>
                <w:p w14:paraId="5B0870D7">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r w14:paraId="65C8B787">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7922768A">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挥发酚</w:t>
                  </w:r>
                </w:p>
              </w:tc>
              <w:tc>
                <w:tcPr>
                  <w:tcW w:w="1211" w:type="dxa"/>
                  <w:tcBorders>
                    <w:top w:val="single" w:color="auto" w:sz="6" w:space="0"/>
                    <w:left w:val="single" w:color="auto" w:sz="6" w:space="0"/>
                    <w:bottom w:val="single" w:color="auto" w:sz="6" w:space="0"/>
                    <w:right w:val="single" w:color="auto" w:sz="6" w:space="0"/>
                  </w:tcBorders>
                  <w:vAlign w:val="center"/>
                </w:tcPr>
                <w:p w14:paraId="0DE8FB4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ND~0.0005</w:t>
                  </w:r>
                </w:p>
              </w:tc>
              <w:tc>
                <w:tcPr>
                  <w:tcW w:w="1217" w:type="dxa"/>
                  <w:tcBorders>
                    <w:top w:val="single" w:color="auto" w:sz="6" w:space="0"/>
                    <w:left w:val="single" w:color="auto" w:sz="6" w:space="0"/>
                    <w:bottom w:val="single" w:color="auto" w:sz="6" w:space="0"/>
                    <w:right w:val="single" w:color="auto" w:sz="6" w:space="0"/>
                  </w:tcBorders>
                  <w:vAlign w:val="center"/>
                </w:tcPr>
                <w:p w14:paraId="6C43A38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0.1</w:t>
                  </w:r>
                </w:p>
              </w:tc>
              <w:tc>
                <w:tcPr>
                  <w:tcW w:w="1211" w:type="dxa"/>
                  <w:tcBorders>
                    <w:top w:val="single" w:color="auto" w:sz="6" w:space="0"/>
                    <w:left w:val="single" w:color="auto" w:sz="6" w:space="0"/>
                    <w:bottom w:val="single" w:color="auto" w:sz="6" w:space="0"/>
                    <w:right w:val="single" w:color="auto" w:sz="6" w:space="0"/>
                  </w:tcBorders>
                  <w:vAlign w:val="center"/>
                </w:tcPr>
                <w:p w14:paraId="367FD5F4">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ND~0.0004</w:t>
                  </w:r>
                </w:p>
              </w:tc>
              <w:tc>
                <w:tcPr>
                  <w:tcW w:w="1210" w:type="dxa"/>
                  <w:tcBorders>
                    <w:top w:val="single" w:color="auto" w:sz="6" w:space="0"/>
                    <w:left w:val="single" w:color="auto" w:sz="6" w:space="0"/>
                    <w:bottom w:val="single" w:color="auto" w:sz="6" w:space="0"/>
                    <w:right w:val="single" w:color="auto" w:sz="6" w:space="0"/>
                  </w:tcBorders>
                  <w:vAlign w:val="center"/>
                </w:tcPr>
                <w:p w14:paraId="2D4A959E">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0.08</w:t>
                  </w:r>
                </w:p>
              </w:tc>
              <w:tc>
                <w:tcPr>
                  <w:tcW w:w="1211" w:type="dxa"/>
                  <w:tcBorders>
                    <w:top w:val="single" w:color="auto" w:sz="6" w:space="0"/>
                    <w:left w:val="single" w:color="auto" w:sz="6" w:space="0"/>
                    <w:bottom w:val="single" w:color="auto" w:sz="6" w:space="0"/>
                    <w:right w:val="single" w:color="auto" w:sz="6" w:space="0"/>
                  </w:tcBorders>
                  <w:vAlign w:val="center"/>
                </w:tcPr>
                <w:p w14:paraId="3F2A5D2B">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ND~0.0005</w:t>
                  </w:r>
                </w:p>
              </w:tc>
              <w:tc>
                <w:tcPr>
                  <w:tcW w:w="1197" w:type="dxa"/>
                  <w:tcBorders>
                    <w:top w:val="single" w:color="auto" w:sz="6" w:space="0"/>
                    <w:left w:val="single" w:color="auto" w:sz="6" w:space="0"/>
                    <w:bottom w:val="single" w:color="auto" w:sz="6" w:space="0"/>
                  </w:tcBorders>
                  <w:vAlign w:val="center"/>
                </w:tcPr>
                <w:p w14:paraId="2EBFB45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0.1</w:t>
                  </w:r>
                </w:p>
              </w:tc>
            </w:tr>
            <w:tr w14:paraId="235586D2">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352F5815">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汞</w:t>
                  </w:r>
                </w:p>
              </w:tc>
              <w:tc>
                <w:tcPr>
                  <w:tcW w:w="1211" w:type="dxa"/>
                  <w:tcBorders>
                    <w:top w:val="single" w:color="auto" w:sz="6" w:space="0"/>
                    <w:left w:val="single" w:color="auto" w:sz="6" w:space="0"/>
                    <w:bottom w:val="single" w:color="auto" w:sz="6" w:space="0"/>
                    <w:right w:val="single" w:color="auto" w:sz="6" w:space="0"/>
                  </w:tcBorders>
                  <w:vAlign w:val="center"/>
                </w:tcPr>
                <w:p w14:paraId="3B0791F3">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7" w:type="dxa"/>
                  <w:tcBorders>
                    <w:top w:val="single" w:color="auto" w:sz="6" w:space="0"/>
                    <w:left w:val="single" w:color="auto" w:sz="6" w:space="0"/>
                    <w:bottom w:val="single" w:color="auto" w:sz="6" w:space="0"/>
                    <w:right w:val="single" w:color="auto" w:sz="6" w:space="0"/>
                  </w:tcBorders>
                  <w:vAlign w:val="center"/>
                </w:tcPr>
                <w:p w14:paraId="09C3F32F">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6" w:space="0"/>
                    <w:right w:val="single" w:color="auto" w:sz="6" w:space="0"/>
                  </w:tcBorders>
                  <w:vAlign w:val="center"/>
                </w:tcPr>
                <w:p w14:paraId="30A6558C">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0" w:type="dxa"/>
                  <w:tcBorders>
                    <w:top w:val="single" w:color="auto" w:sz="6" w:space="0"/>
                    <w:left w:val="single" w:color="auto" w:sz="6" w:space="0"/>
                    <w:bottom w:val="single" w:color="auto" w:sz="6" w:space="0"/>
                    <w:right w:val="single" w:color="auto" w:sz="6" w:space="0"/>
                  </w:tcBorders>
                  <w:vAlign w:val="center"/>
                </w:tcPr>
                <w:p w14:paraId="7C25731E">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6" w:space="0"/>
                    <w:right w:val="single" w:color="auto" w:sz="6" w:space="0"/>
                  </w:tcBorders>
                  <w:vAlign w:val="center"/>
                </w:tcPr>
                <w:p w14:paraId="3AF5EC57">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197" w:type="dxa"/>
                  <w:tcBorders>
                    <w:top w:val="single" w:color="auto" w:sz="6" w:space="0"/>
                    <w:left w:val="single" w:color="auto" w:sz="6" w:space="0"/>
                    <w:bottom w:val="single" w:color="auto" w:sz="6" w:space="0"/>
                  </w:tcBorders>
                  <w:vAlign w:val="center"/>
                </w:tcPr>
                <w:p w14:paraId="32770CB6">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r w14:paraId="1DBA52CA">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30BE4D4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六价铬</w:t>
                  </w:r>
                </w:p>
              </w:tc>
              <w:tc>
                <w:tcPr>
                  <w:tcW w:w="1211" w:type="dxa"/>
                  <w:tcBorders>
                    <w:top w:val="single" w:color="auto" w:sz="6" w:space="0"/>
                    <w:left w:val="single" w:color="auto" w:sz="6" w:space="0"/>
                    <w:bottom w:val="single" w:color="auto" w:sz="6" w:space="0"/>
                    <w:right w:val="single" w:color="auto" w:sz="6" w:space="0"/>
                  </w:tcBorders>
                  <w:vAlign w:val="center"/>
                </w:tcPr>
                <w:p w14:paraId="7B9DDEFD">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0.018~0.025</w:t>
                  </w:r>
                </w:p>
              </w:tc>
              <w:tc>
                <w:tcPr>
                  <w:tcW w:w="1217" w:type="dxa"/>
                  <w:tcBorders>
                    <w:top w:val="single" w:color="auto" w:sz="6" w:space="0"/>
                    <w:left w:val="single" w:color="auto" w:sz="6" w:space="0"/>
                    <w:bottom w:val="single" w:color="auto" w:sz="6" w:space="0"/>
                    <w:right w:val="single" w:color="auto" w:sz="6" w:space="0"/>
                  </w:tcBorders>
                  <w:vAlign w:val="center"/>
                </w:tcPr>
                <w:p w14:paraId="3FECDEAC">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0.36~0.5</w:t>
                  </w:r>
                </w:p>
              </w:tc>
              <w:tc>
                <w:tcPr>
                  <w:tcW w:w="1211" w:type="dxa"/>
                  <w:tcBorders>
                    <w:top w:val="single" w:color="auto" w:sz="6" w:space="0"/>
                    <w:left w:val="single" w:color="auto" w:sz="6" w:space="0"/>
                    <w:bottom w:val="single" w:color="auto" w:sz="6" w:space="0"/>
                    <w:right w:val="single" w:color="auto" w:sz="6" w:space="0"/>
                  </w:tcBorders>
                  <w:vAlign w:val="center"/>
                </w:tcPr>
                <w:p w14:paraId="69DEEF94">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0.021~0.026</w:t>
                  </w:r>
                </w:p>
              </w:tc>
              <w:tc>
                <w:tcPr>
                  <w:tcW w:w="1210" w:type="dxa"/>
                  <w:tcBorders>
                    <w:top w:val="single" w:color="auto" w:sz="6" w:space="0"/>
                    <w:left w:val="single" w:color="auto" w:sz="6" w:space="0"/>
                    <w:bottom w:val="single" w:color="auto" w:sz="6" w:space="0"/>
                    <w:right w:val="single" w:color="auto" w:sz="6" w:space="0"/>
                  </w:tcBorders>
                  <w:vAlign w:val="center"/>
                </w:tcPr>
                <w:p w14:paraId="4DCED9DB">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0.42~0.52</w:t>
                  </w:r>
                </w:p>
              </w:tc>
              <w:tc>
                <w:tcPr>
                  <w:tcW w:w="1211" w:type="dxa"/>
                  <w:tcBorders>
                    <w:top w:val="single" w:color="auto" w:sz="6" w:space="0"/>
                    <w:left w:val="single" w:color="auto" w:sz="6" w:space="0"/>
                    <w:bottom w:val="single" w:color="auto" w:sz="6" w:space="0"/>
                    <w:right w:val="single" w:color="auto" w:sz="6" w:space="0"/>
                  </w:tcBorders>
                  <w:vAlign w:val="center"/>
                </w:tcPr>
                <w:p w14:paraId="44C51DAA">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0.020~0.034</w:t>
                  </w:r>
                </w:p>
              </w:tc>
              <w:tc>
                <w:tcPr>
                  <w:tcW w:w="1197" w:type="dxa"/>
                  <w:tcBorders>
                    <w:top w:val="single" w:color="auto" w:sz="6" w:space="0"/>
                    <w:left w:val="single" w:color="auto" w:sz="6" w:space="0"/>
                    <w:bottom w:val="single" w:color="auto" w:sz="6" w:space="0"/>
                  </w:tcBorders>
                  <w:vAlign w:val="center"/>
                </w:tcPr>
                <w:p w14:paraId="32009B0B">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0.4~0.68</w:t>
                  </w:r>
                </w:p>
              </w:tc>
            </w:tr>
            <w:tr w14:paraId="45F1E1AC">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6" w:space="0"/>
                    <w:right w:val="single" w:color="auto" w:sz="6" w:space="0"/>
                  </w:tcBorders>
                  <w:vAlign w:val="center"/>
                </w:tcPr>
                <w:p w14:paraId="5F1A0426">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铅</w:t>
                  </w:r>
                </w:p>
              </w:tc>
              <w:tc>
                <w:tcPr>
                  <w:tcW w:w="1211" w:type="dxa"/>
                  <w:tcBorders>
                    <w:top w:val="single" w:color="auto" w:sz="6" w:space="0"/>
                    <w:left w:val="single" w:color="auto" w:sz="6" w:space="0"/>
                    <w:bottom w:val="single" w:color="auto" w:sz="6" w:space="0"/>
                    <w:right w:val="single" w:color="auto" w:sz="6" w:space="0"/>
                  </w:tcBorders>
                  <w:vAlign w:val="center"/>
                </w:tcPr>
                <w:p w14:paraId="01D7C632">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7" w:type="dxa"/>
                  <w:tcBorders>
                    <w:top w:val="single" w:color="auto" w:sz="6" w:space="0"/>
                    <w:left w:val="single" w:color="auto" w:sz="6" w:space="0"/>
                    <w:bottom w:val="single" w:color="auto" w:sz="6" w:space="0"/>
                    <w:right w:val="single" w:color="auto" w:sz="6" w:space="0"/>
                  </w:tcBorders>
                  <w:vAlign w:val="center"/>
                </w:tcPr>
                <w:p w14:paraId="37ECFD9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6" w:space="0"/>
                    <w:right w:val="single" w:color="auto" w:sz="6" w:space="0"/>
                  </w:tcBorders>
                  <w:vAlign w:val="center"/>
                </w:tcPr>
                <w:p w14:paraId="0C98A64E">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0" w:type="dxa"/>
                  <w:tcBorders>
                    <w:top w:val="single" w:color="auto" w:sz="6" w:space="0"/>
                    <w:left w:val="single" w:color="auto" w:sz="6" w:space="0"/>
                    <w:bottom w:val="single" w:color="auto" w:sz="6" w:space="0"/>
                    <w:right w:val="single" w:color="auto" w:sz="6" w:space="0"/>
                  </w:tcBorders>
                  <w:vAlign w:val="center"/>
                </w:tcPr>
                <w:p w14:paraId="4AE177E5">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6" w:space="0"/>
                    <w:right w:val="single" w:color="auto" w:sz="6" w:space="0"/>
                  </w:tcBorders>
                  <w:vAlign w:val="center"/>
                </w:tcPr>
                <w:p w14:paraId="5A82A822">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197" w:type="dxa"/>
                  <w:tcBorders>
                    <w:top w:val="single" w:color="auto" w:sz="6" w:space="0"/>
                    <w:left w:val="single" w:color="auto" w:sz="6" w:space="0"/>
                    <w:bottom w:val="single" w:color="auto" w:sz="6" w:space="0"/>
                  </w:tcBorders>
                  <w:vAlign w:val="center"/>
                </w:tcPr>
                <w:p w14:paraId="2B9B7947">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r w14:paraId="73169F02">
              <w:tblPrEx>
                <w:tblCellMar>
                  <w:top w:w="0" w:type="dxa"/>
                  <w:left w:w="108" w:type="dxa"/>
                  <w:bottom w:w="0" w:type="dxa"/>
                  <w:right w:w="108" w:type="dxa"/>
                </w:tblCellMar>
              </w:tblPrEx>
              <w:trPr>
                <w:trHeight w:val="454" w:hRule="atLeast"/>
                <w:jc w:val="center"/>
              </w:trPr>
              <w:tc>
                <w:tcPr>
                  <w:tcW w:w="1247" w:type="dxa"/>
                  <w:tcBorders>
                    <w:top w:val="single" w:color="auto" w:sz="6" w:space="0"/>
                    <w:left w:val="nil"/>
                    <w:bottom w:val="single" w:color="auto" w:sz="12" w:space="0"/>
                    <w:right w:val="single" w:color="auto" w:sz="6" w:space="0"/>
                  </w:tcBorders>
                  <w:vAlign w:val="center"/>
                </w:tcPr>
                <w:p w14:paraId="3389AD12">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镍</w:t>
                  </w:r>
                </w:p>
              </w:tc>
              <w:tc>
                <w:tcPr>
                  <w:tcW w:w="1211" w:type="dxa"/>
                  <w:tcBorders>
                    <w:top w:val="single" w:color="auto" w:sz="6" w:space="0"/>
                    <w:left w:val="single" w:color="auto" w:sz="6" w:space="0"/>
                    <w:bottom w:val="single" w:color="auto" w:sz="12" w:space="0"/>
                    <w:right w:val="single" w:color="auto" w:sz="6" w:space="0"/>
                  </w:tcBorders>
                  <w:vAlign w:val="center"/>
                </w:tcPr>
                <w:p w14:paraId="31FB2FC9">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7" w:type="dxa"/>
                  <w:tcBorders>
                    <w:top w:val="single" w:color="auto" w:sz="6" w:space="0"/>
                    <w:left w:val="single" w:color="auto" w:sz="6" w:space="0"/>
                    <w:bottom w:val="single" w:color="auto" w:sz="12" w:space="0"/>
                    <w:right w:val="single" w:color="auto" w:sz="6" w:space="0"/>
                  </w:tcBorders>
                  <w:vAlign w:val="center"/>
                </w:tcPr>
                <w:p w14:paraId="46769450">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12" w:space="0"/>
                    <w:right w:val="single" w:color="auto" w:sz="6" w:space="0"/>
                  </w:tcBorders>
                  <w:vAlign w:val="center"/>
                </w:tcPr>
                <w:p w14:paraId="7EA78FF2">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210" w:type="dxa"/>
                  <w:tcBorders>
                    <w:top w:val="single" w:color="auto" w:sz="6" w:space="0"/>
                    <w:left w:val="single" w:color="auto" w:sz="6" w:space="0"/>
                    <w:bottom w:val="single" w:color="auto" w:sz="12" w:space="0"/>
                    <w:right w:val="single" w:color="auto" w:sz="6" w:space="0"/>
                  </w:tcBorders>
                  <w:vAlign w:val="center"/>
                </w:tcPr>
                <w:p w14:paraId="0C6EAA90">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211" w:type="dxa"/>
                  <w:tcBorders>
                    <w:top w:val="single" w:color="auto" w:sz="6" w:space="0"/>
                    <w:left w:val="single" w:color="auto" w:sz="6" w:space="0"/>
                    <w:bottom w:val="single" w:color="auto" w:sz="12" w:space="0"/>
                    <w:right w:val="single" w:color="auto" w:sz="6" w:space="0"/>
                  </w:tcBorders>
                  <w:vAlign w:val="center"/>
                </w:tcPr>
                <w:p w14:paraId="60F63A50">
                  <w:pPr>
                    <w:jc w:val="center"/>
                    <w:rPr>
                      <w:rFonts w:hint="default" w:ascii="Times New Roman" w:hAnsi="Times New Roman" w:eastAsia="宋体" w:cs="Times New Roman"/>
                      <w:color w:val="auto"/>
                      <w:spacing w:val="-12"/>
                      <w:sz w:val="21"/>
                      <w:szCs w:val="21"/>
                    </w:rPr>
                  </w:pPr>
                  <w:r>
                    <w:rPr>
                      <w:rFonts w:hint="default" w:ascii="Times New Roman" w:hAnsi="Times New Roman" w:eastAsia="宋体" w:cs="Times New Roman"/>
                      <w:color w:val="auto"/>
                      <w:spacing w:val="-12"/>
                      <w:sz w:val="21"/>
                      <w:szCs w:val="21"/>
                    </w:rPr>
                    <w:t>ND</w:t>
                  </w:r>
                </w:p>
              </w:tc>
              <w:tc>
                <w:tcPr>
                  <w:tcW w:w="1197" w:type="dxa"/>
                  <w:tcBorders>
                    <w:top w:val="single" w:color="auto" w:sz="6" w:space="0"/>
                    <w:left w:val="single" w:color="auto" w:sz="6" w:space="0"/>
                    <w:bottom w:val="single" w:color="auto" w:sz="12" w:space="0"/>
                  </w:tcBorders>
                  <w:vAlign w:val="center"/>
                </w:tcPr>
                <w:p w14:paraId="7DC92D0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bl>
          <w:p w14:paraId="4DD2F01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b/>
                <w:bCs/>
                <w:color w:val="auto"/>
                <w:sz w:val="18"/>
                <w:szCs w:val="18"/>
              </w:rPr>
            </w:pPr>
            <w:r>
              <w:rPr>
                <w:b/>
                <w:bCs/>
                <w:color w:val="auto"/>
                <w:sz w:val="18"/>
                <w:szCs w:val="18"/>
              </w:rPr>
              <w:t>注：ND表示未检出</w:t>
            </w:r>
          </w:p>
          <w:p w14:paraId="1E1BF3A4">
            <w:pPr>
              <w:spacing w:line="360" w:lineRule="auto"/>
              <w:ind w:firstLine="482"/>
              <w:rPr>
                <w:color w:val="auto"/>
                <w:sz w:val="24"/>
              </w:rPr>
            </w:pPr>
            <w:r>
              <w:rPr>
                <w:color w:val="auto"/>
                <w:sz w:val="24"/>
                <w:szCs w:val="24"/>
              </w:rPr>
              <w:t>由上表可知，W1～W</w:t>
            </w:r>
            <w:r>
              <w:rPr>
                <w:rFonts w:hint="eastAsia"/>
                <w:color w:val="auto"/>
                <w:sz w:val="24"/>
                <w:szCs w:val="24"/>
              </w:rPr>
              <w:t>3</w:t>
            </w:r>
            <w:r>
              <w:rPr>
                <w:color w:val="auto"/>
                <w:sz w:val="24"/>
                <w:szCs w:val="24"/>
              </w:rPr>
              <w:t>断面中</w:t>
            </w:r>
            <w:r>
              <w:rPr>
                <w:color w:val="auto"/>
                <w:sz w:val="24"/>
              </w:rPr>
              <w:t>各项监测因子的单项因子指数均不超过1</w:t>
            </w:r>
            <w:r>
              <w:rPr>
                <w:rFonts w:hint="eastAsia"/>
                <w:color w:val="auto"/>
                <w:sz w:val="24"/>
              </w:rPr>
              <w:t>，满足</w:t>
            </w:r>
            <w:r>
              <w:rPr>
                <w:color w:val="auto"/>
                <w:sz w:val="24"/>
                <w:szCs w:val="24"/>
              </w:rPr>
              <w:t>《地表水环境质量标准》（GB3838-2002）中的</w:t>
            </w:r>
            <w:r>
              <w:rPr>
                <w:rFonts w:hint="eastAsia"/>
                <w:color w:val="auto"/>
                <w:sz w:val="24"/>
                <w:szCs w:val="24"/>
              </w:rPr>
              <w:t>Ⅲ</w:t>
            </w:r>
            <w:r>
              <w:rPr>
                <w:color w:val="auto"/>
                <w:sz w:val="24"/>
                <w:szCs w:val="24"/>
              </w:rPr>
              <w:t>类标准</w:t>
            </w:r>
            <w:r>
              <w:rPr>
                <w:color w:val="auto"/>
                <w:sz w:val="24"/>
              </w:rPr>
              <w:t>。</w:t>
            </w:r>
            <w:r>
              <w:rPr>
                <w:color w:val="auto"/>
                <w:sz w:val="24"/>
                <w:szCs w:val="24"/>
              </w:rPr>
              <w:t>综上所述可知，长江鄂州段水质较好可达标。</w:t>
            </w:r>
          </w:p>
          <w:p w14:paraId="7D46A7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jc w:val="both"/>
              <w:textAlignment w:val="auto"/>
              <w:outlineLvl w:val="9"/>
              <w:rPr>
                <w:rFonts w:hint="eastAsia" w:ascii="Times New Roman" w:hAnsi="Times New Roman" w:cs="Times New Roman"/>
                <w:b/>
                <w:bCs/>
                <w:color w:val="auto"/>
                <w:sz w:val="28"/>
                <w:szCs w:val="28"/>
                <w:highlight w:val="none"/>
              </w:rPr>
            </w:pPr>
            <w:r>
              <w:rPr>
                <w:rFonts w:hint="eastAsia" w:ascii="Times New Roman" w:hAnsi="Times New Roman" w:cs="Times New Roman"/>
                <w:b/>
                <w:bCs/>
                <w:color w:val="auto"/>
                <w:sz w:val="28"/>
                <w:szCs w:val="28"/>
                <w:highlight w:val="none"/>
                <w:lang w:eastAsia="zh-CN"/>
              </w:rPr>
              <w:t>三、</w:t>
            </w:r>
            <w:r>
              <w:rPr>
                <w:rFonts w:hint="eastAsia" w:ascii="Times New Roman" w:hAnsi="Times New Roman" w:cs="Times New Roman"/>
                <w:b/>
                <w:bCs/>
                <w:color w:val="auto"/>
                <w:sz w:val="28"/>
                <w:szCs w:val="28"/>
                <w:highlight w:val="none"/>
              </w:rPr>
              <w:t>环境噪声现状监测及评价</w:t>
            </w:r>
          </w:p>
          <w:p w14:paraId="46C7861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44" w:firstLineChars="200"/>
              <w:jc w:val="left"/>
              <w:textAlignment w:val="auto"/>
              <w:outlineLvl w:val="9"/>
              <w:rPr>
                <w:rFonts w:hint="default" w:hAnsi="宋体"/>
                <w:color w:val="auto"/>
                <w:spacing w:val="-9"/>
                <w:sz w:val="24"/>
                <w:highlight w:val="none"/>
                <w:lang w:val="en-US" w:eastAsia="zh-CN"/>
              </w:rPr>
            </w:pPr>
            <w:r>
              <w:rPr>
                <w:rFonts w:hint="default" w:ascii="Times New Roman" w:hAnsi="Times New Roman" w:eastAsia="宋体" w:cs="Times New Roman"/>
                <w:color w:val="auto"/>
                <w:spacing w:val="-9"/>
                <w:sz w:val="24"/>
                <w:highlight w:val="none"/>
              </w:rPr>
              <w:t>为详细了解项目所在地声环境现状，</w:t>
            </w:r>
            <w:r>
              <w:rPr>
                <w:rFonts w:hint="eastAsia" w:ascii="Times New Roman" w:hAnsi="Times New Roman" w:cs="Times New Roman"/>
                <w:color w:val="auto"/>
                <w:sz w:val="24"/>
                <w:highlight w:val="none"/>
                <w:lang w:val="en-US" w:eastAsia="zh-CN"/>
              </w:rPr>
              <w:t>湖北巨能房地产开发有限公司于2018年1月9日委托武汉众谱检测科技有限公司对该公司维纳春天项目的噪声进</w:t>
            </w:r>
            <w:r>
              <w:rPr>
                <w:rFonts w:hint="eastAsia"/>
                <w:color w:val="auto"/>
                <w:sz w:val="24"/>
                <w:highlight w:val="none"/>
              </w:rPr>
              <w:t>行监测</w:t>
            </w:r>
            <w:r>
              <w:rPr>
                <w:rFonts w:hint="eastAsia" w:hAnsi="宋体"/>
                <w:color w:val="auto"/>
                <w:spacing w:val="-9"/>
                <w:sz w:val="24"/>
                <w:highlight w:val="none"/>
                <w:lang w:eastAsia="zh-CN"/>
              </w:rPr>
              <w:t>。</w:t>
            </w:r>
          </w:p>
          <w:p w14:paraId="7E42BFD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9"/>
              <w:rPr>
                <w:rFonts w:hint="default" w:ascii="Times New Roman" w:hAnsi="Times New Roman" w:eastAsia="宋体" w:cs="Times New Roman"/>
                <w:b/>
                <w:color w:val="auto"/>
                <w:sz w:val="21"/>
                <w:szCs w:val="21"/>
                <w:highlight w:val="none"/>
              </w:rPr>
            </w:pPr>
          </w:p>
          <w:p w14:paraId="78969D3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9"/>
              <w:rPr>
                <w:rFonts w:hint="default" w:ascii="Times New Roman" w:hAnsi="Times New Roman" w:eastAsia="宋体" w:cs="Times New Roman"/>
                <w:b/>
                <w:color w:val="auto"/>
                <w:sz w:val="21"/>
                <w:szCs w:val="21"/>
                <w:highlight w:val="none"/>
              </w:rPr>
            </w:pPr>
          </w:p>
          <w:p w14:paraId="53102C0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9"/>
              <w:rPr>
                <w:rFonts w:hint="default" w:ascii="Times New Roman" w:hAnsi="Times New Roman" w:eastAsia="宋体" w:cs="Times New Roman"/>
                <w:b/>
                <w:color w:val="auto"/>
                <w:sz w:val="21"/>
                <w:szCs w:val="21"/>
                <w:highlight w:val="none"/>
              </w:rPr>
            </w:pPr>
          </w:p>
          <w:p w14:paraId="3C2F57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9"/>
              <w:rPr>
                <w:rFonts w:hint="default" w:ascii="Times New Roman" w:hAnsi="Times New Roman" w:eastAsia="宋体" w:cs="Times New Roman"/>
                <w:b/>
                <w:color w:val="auto"/>
                <w:sz w:val="21"/>
                <w:szCs w:val="21"/>
                <w:highlight w:val="none"/>
              </w:rPr>
            </w:pPr>
          </w:p>
          <w:p w14:paraId="1AD3258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9"/>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表3</w:t>
            </w:r>
            <w:r>
              <w:rPr>
                <w:rFonts w:hint="default" w:ascii="Times New Roman" w:hAnsi="Times New Roman" w:cs="Times New Roman"/>
                <w:b/>
                <w:color w:val="auto"/>
                <w:sz w:val="21"/>
                <w:szCs w:val="21"/>
                <w:highlight w:val="none"/>
                <w:lang w:val="en-US" w:eastAsia="zh-CN"/>
              </w:rPr>
              <w:t>-</w:t>
            </w:r>
            <w:r>
              <w:rPr>
                <w:rFonts w:hint="eastAsia" w:cs="Times New Roman"/>
                <w:b/>
                <w:color w:val="auto"/>
                <w:sz w:val="21"/>
                <w:szCs w:val="21"/>
                <w:highlight w:val="none"/>
                <w:lang w:val="en-US" w:eastAsia="zh-CN"/>
              </w:rPr>
              <w:t>3</w:t>
            </w:r>
            <w:r>
              <w:rPr>
                <w:rFonts w:hint="default" w:ascii="Times New Roman" w:hAnsi="Times New Roman" w:eastAsia="宋体" w:cs="Times New Roman"/>
                <w:b/>
                <w:color w:val="auto"/>
                <w:sz w:val="21"/>
                <w:szCs w:val="21"/>
                <w:highlight w:val="none"/>
              </w:rPr>
              <w:t xml:space="preserve"> </w:t>
            </w:r>
            <w:r>
              <w:rPr>
                <w:rFonts w:hint="eastAsia" w:ascii="Times New Roman" w:hAnsi="Times New Roman" w:cs="Times New Roman"/>
                <w:b/>
                <w:color w:val="auto"/>
                <w:sz w:val="21"/>
                <w:szCs w:val="21"/>
                <w:highlight w:val="none"/>
                <w:lang w:val="en-US" w:eastAsia="zh-CN"/>
              </w:rPr>
              <w:t xml:space="preserve"> </w:t>
            </w:r>
            <w:r>
              <w:rPr>
                <w:rFonts w:hint="default" w:ascii="Times New Roman" w:hAnsi="Times New Roman" w:eastAsia="宋体" w:cs="Times New Roman"/>
                <w:b/>
                <w:color w:val="auto"/>
                <w:sz w:val="21"/>
                <w:szCs w:val="21"/>
                <w:highlight w:val="none"/>
              </w:rPr>
              <w:t>环境噪声监测结果</w:t>
            </w:r>
          </w:p>
          <w:tbl>
            <w:tblPr>
              <w:tblStyle w:val="15"/>
              <w:tblW w:w="8504"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804"/>
              <w:gridCol w:w="1080"/>
              <w:gridCol w:w="1380"/>
              <w:gridCol w:w="1380"/>
              <w:gridCol w:w="1382"/>
            </w:tblGrid>
            <w:tr w14:paraId="361166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tcBorders>
                    <w:tl2br w:val="nil"/>
                    <w:tr2bl w:val="nil"/>
                  </w:tcBorders>
                  <w:vAlign w:val="center"/>
                </w:tcPr>
                <w:p w14:paraId="392502B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测点编号</w:t>
                  </w:r>
                </w:p>
              </w:tc>
              <w:tc>
                <w:tcPr>
                  <w:tcW w:w="1884" w:type="dxa"/>
                  <w:gridSpan w:val="2"/>
                  <w:tcBorders>
                    <w:tl2br w:val="nil"/>
                    <w:tr2bl w:val="nil"/>
                  </w:tcBorders>
                  <w:vAlign w:val="center"/>
                </w:tcPr>
                <w:p w14:paraId="5BF988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监测时间</w:t>
                  </w:r>
                </w:p>
              </w:tc>
              <w:tc>
                <w:tcPr>
                  <w:tcW w:w="1380" w:type="dxa"/>
                  <w:tcBorders>
                    <w:tl2br w:val="nil"/>
                    <w:tr2bl w:val="nil"/>
                  </w:tcBorders>
                  <w:vAlign w:val="center"/>
                </w:tcPr>
                <w:p w14:paraId="505E28E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highlight w:val="none"/>
                      <w:lang w:eastAsia="zh-CN"/>
                    </w:rPr>
                  </w:pPr>
                  <w:r>
                    <w:rPr>
                      <w:rFonts w:hint="eastAsia" w:cs="Times New Roman"/>
                      <w:color w:val="auto"/>
                      <w:sz w:val="21"/>
                      <w:szCs w:val="21"/>
                      <w:highlight w:val="none"/>
                      <w:lang w:eastAsia="zh-CN"/>
                    </w:rPr>
                    <w:t>监测结果</w:t>
                  </w:r>
                </w:p>
                <w:p w14:paraId="3871EDD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dB(A)</w:t>
                  </w:r>
                </w:p>
              </w:tc>
              <w:tc>
                <w:tcPr>
                  <w:tcW w:w="1380" w:type="dxa"/>
                  <w:tcBorders>
                    <w:tl2br w:val="nil"/>
                    <w:tr2bl w:val="nil"/>
                  </w:tcBorders>
                  <w:vAlign w:val="center"/>
                </w:tcPr>
                <w:p w14:paraId="41B778A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标准</w:t>
                  </w:r>
                  <w:r>
                    <w:rPr>
                      <w:rFonts w:hint="eastAsia" w:cs="Times New Roman"/>
                      <w:color w:val="auto"/>
                      <w:sz w:val="21"/>
                      <w:szCs w:val="21"/>
                      <w:highlight w:val="none"/>
                      <w:lang w:eastAsia="zh-CN"/>
                    </w:rPr>
                    <w:t>限</w:t>
                  </w:r>
                  <w:r>
                    <w:rPr>
                      <w:rFonts w:hint="default" w:ascii="Times New Roman" w:hAnsi="Times New Roman" w:eastAsia="宋体" w:cs="Times New Roman"/>
                      <w:color w:val="auto"/>
                      <w:sz w:val="21"/>
                      <w:szCs w:val="21"/>
                      <w:highlight w:val="none"/>
                    </w:rPr>
                    <w:t>值</w:t>
                  </w:r>
                </w:p>
                <w:p w14:paraId="5894A69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dB(A)</w:t>
                  </w:r>
                </w:p>
              </w:tc>
              <w:tc>
                <w:tcPr>
                  <w:tcW w:w="1382" w:type="dxa"/>
                  <w:tcBorders>
                    <w:tl2br w:val="nil"/>
                    <w:tr2bl w:val="nil"/>
                  </w:tcBorders>
                  <w:vAlign w:val="center"/>
                </w:tcPr>
                <w:p w14:paraId="6455E3A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是否</w:t>
                  </w:r>
                </w:p>
                <w:p w14:paraId="5C4306C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078DDA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restart"/>
                  <w:tcBorders>
                    <w:tl2br w:val="nil"/>
                    <w:tr2bl w:val="nil"/>
                  </w:tcBorders>
                  <w:vAlign w:val="center"/>
                </w:tcPr>
                <w:p w14:paraId="039737B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项目东侧</w:t>
                  </w:r>
                  <w:r>
                    <w:rPr>
                      <w:rFonts w:hint="eastAsia" w:cs="Times New Roman"/>
                      <w:color w:val="auto"/>
                      <w:sz w:val="21"/>
                      <w:szCs w:val="21"/>
                      <w:highlight w:val="none"/>
                      <w:lang w:eastAsia="zh-CN"/>
                    </w:rPr>
                    <w:t>场</w:t>
                  </w:r>
                  <w:r>
                    <w:rPr>
                      <w:rFonts w:hint="default" w:ascii="Times New Roman" w:hAnsi="Times New Roman" w:eastAsia="宋体" w:cs="Times New Roman"/>
                      <w:color w:val="auto"/>
                      <w:sz w:val="21"/>
                      <w:szCs w:val="21"/>
                      <w:highlight w:val="none"/>
                    </w:rPr>
                    <w:t>界外1m</w:t>
                  </w:r>
                  <w:r>
                    <w:rPr>
                      <w:rFonts w:hint="eastAsia" w:ascii="Times New Roman" w:hAnsi="Times New Roman" w:eastAsia="宋体" w:cs="Times New Roman"/>
                      <w:color w:val="auto"/>
                      <w:sz w:val="21"/>
                      <w:szCs w:val="21"/>
                      <w:highlight w:val="none"/>
                      <w:lang w:eastAsia="zh-CN"/>
                    </w:rPr>
                    <w:t>处</w:t>
                  </w:r>
                </w:p>
              </w:tc>
              <w:tc>
                <w:tcPr>
                  <w:tcW w:w="804" w:type="dxa"/>
                  <w:vMerge w:val="restart"/>
                  <w:tcBorders>
                    <w:tl2br w:val="nil"/>
                    <w:tr2bl w:val="nil"/>
                  </w:tcBorders>
                  <w:vAlign w:val="center"/>
                </w:tcPr>
                <w:p w14:paraId="628D3D0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2018年1月9日</w:t>
                  </w:r>
                </w:p>
              </w:tc>
              <w:tc>
                <w:tcPr>
                  <w:tcW w:w="1080" w:type="dxa"/>
                  <w:tcBorders>
                    <w:tl2br w:val="nil"/>
                    <w:tr2bl w:val="nil"/>
                  </w:tcBorders>
                  <w:vAlign w:val="center"/>
                </w:tcPr>
                <w:p w14:paraId="73C93B4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eastAsia="zh-CN"/>
                    </w:rPr>
                  </w:pPr>
                  <w:r>
                    <w:rPr>
                      <w:rFonts w:hint="eastAsia" w:cs="Times New Roman"/>
                      <w:color w:val="auto"/>
                      <w:sz w:val="21"/>
                      <w:szCs w:val="21"/>
                      <w:highlight w:val="none"/>
                      <w:lang w:eastAsia="zh-CN"/>
                    </w:rPr>
                    <w:t>昼间</w:t>
                  </w:r>
                </w:p>
              </w:tc>
              <w:tc>
                <w:tcPr>
                  <w:tcW w:w="1380" w:type="dxa"/>
                  <w:tcBorders>
                    <w:tl2br w:val="nil"/>
                    <w:tr2bl w:val="nil"/>
                  </w:tcBorders>
                  <w:vAlign w:val="center"/>
                </w:tcPr>
                <w:p w14:paraId="35B9970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54.7</w:t>
                  </w:r>
                </w:p>
              </w:tc>
              <w:tc>
                <w:tcPr>
                  <w:tcW w:w="1380" w:type="dxa"/>
                  <w:tcBorders>
                    <w:tl2br w:val="nil"/>
                    <w:tr2bl w:val="nil"/>
                  </w:tcBorders>
                  <w:vAlign w:val="center"/>
                </w:tcPr>
                <w:p w14:paraId="59179FB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60</w:t>
                  </w:r>
                </w:p>
              </w:tc>
              <w:tc>
                <w:tcPr>
                  <w:tcW w:w="1382" w:type="dxa"/>
                  <w:tcBorders>
                    <w:tl2br w:val="nil"/>
                    <w:tr2bl w:val="nil"/>
                  </w:tcBorders>
                  <w:vAlign w:val="center"/>
                </w:tcPr>
                <w:p w14:paraId="2B13A2A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038988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continue"/>
                  <w:tcBorders>
                    <w:tl2br w:val="nil"/>
                    <w:tr2bl w:val="nil"/>
                  </w:tcBorders>
                  <w:vAlign w:val="center"/>
                </w:tcPr>
                <w:p w14:paraId="6B9061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804" w:type="dxa"/>
                  <w:vMerge w:val="continue"/>
                  <w:tcBorders>
                    <w:tl2br w:val="nil"/>
                    <w:tr2bl w:val="nil"/>
                  </w:tcBorders>
                  <w:vAlign w:val="center"/>
                </w:tcPr>
                <w:p w14:paraId="0579083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072BA1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eastAsia="zh-CN"/>
                    </w:rPr>
                  </w:pPr>
                  <w:r>
                    <w:rPr>
                      <w:rFonts w:hint="eastAsia" w:cs="Times New Roman"/>
                      <w:color w:val="auto"/>
                      <w:sz w:val="21"/>
                      <w:szCs w:val="21"/>
                      <w:highlight w:val="none"/>
                      <w:lang w:eastAsia="zh-CN"/>
                    </w:rPr>
                    <w:t>夜间</w:t>
                  </w:r>
                </w:p>
              </w:tc>
              <w:tc>
                <w:tcPr>
                  <w:tcW w:w="1380" w:type="dxa"/>
                  <w:tcBorders>
                    <w:tl2br w:val="nil"/>
                    <w:tr2bl w:val="nil"/>
                  </w:tcBorders>
                  <w:vAlign w:val="center"/>
                </w:tcPr>
                <w:p w14:paraId="7E60C49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44.3</w:t>
                  </w:r>
                </w:p>
              </w:tc>
              <w:tc>
                <w:tcPr>
                  <w:tcW w:w="1380" w:type="dxa"/>
                  <w:tcBorders>
                    <w:tl2br w:val="nil"/>
                    <w:tr2bl w:val="nil"/>
                  </w:tcBorders>
                  <w:vAlign w:val="center"/>
                </w:tcPr>
                <w:p w14:paraId="1CDF132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50</w:t>
                  </w:r>
                </w:p>
              </w:tc>
              <w:tc>
                <w:tcPr>
                  <w:tcW w:w="1382" w:type="dxa"/>
                  <w:tcBorders>
                    <w:tl2br w:val="nil"/>
                    <w:tr2bl w:val="nil"/>
                  </w:tcBorders>
                  <w:vAlign w:val="center"/>
                </w:tcPr>
                <w:p w14:paraId="541F410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2B98B7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restart"/>
                  <w:tcBorders>
                    <w:tl2br w:val="nil"/>
                    <w:tr2bl w:val="nil"/>
                  </w:tcBorders>
                  <w:vAlign w:val="center"/>
                </w:tcPr>
                <w:p w14:paraId="458003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项目南侧</w:t>
                  </w:r>
                  <w:r>
                    <w:rPr>
                      <w:rFonts w:hint="eastAsia" w:cs="Times New Roman"/>
                      <w:color w:val="auto"/>
                      <w:sz w:val="21"/>
                      <w:szCs w:val="21"/>
                      <w:highlight w:val="none"/>
                      <w:lang w:eastAsia="zh-CN"/>
                    </w:rPr>
                    <w:t>场</w:t>
                  </w:r>
                  <w:r>
                    <w:rPr>
                      <w:rFonts w:hint="default" w:ascii="Times New Roman" w:hAnsi="Times New Roman" w:eastAsia="宋体" w:cs="Times New Roman"/>
                      <w:color w:val="auto"/>
                      <w:sz w:val="21"/>
                      <w:szCs w:val="21"/>
                      <w:highlight w:val="none"/>
                    </w:rPr>
                    <w:t>界外1m</w:t>
                  </w:r>
                  <w:r>
                    <w:rPr>
                      <w:rFonts w:hint="eastAsia" w:ascii="Times New Roman" w:hAnsi="Times New Roman" w:eastAsia="宋体" w:cs="Times New Roman"/>
                      <w:color w:val="auto"/>
                      <w:sz w:val="21"/>
                      <w:szCs w:val="21"/>
                      <w:highlight w:val="none"/>
                      <w:lang w:eastAsia="zh-CN"/>
                    </w:rPr>
                    <w:t>处</w:t>
                  </w:r>
                </w:p>
              </w:tc>
              <w:tc>
                <w:tcPr>
                  <w:tcW w:w="804" w:type="dxa"/>
                  <w:vMerge w:val="continue"/>
                  <w:tcBorders>
                    <w:tl2br w:val="nil"/>
                    <w:tr2bl w:val="nil"/>
                  </w:tcBorders>
                  <w:vAlign w:val="center"/>
                </w:tcPr>
                <w:p w14:paraId="5619BFB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6EDE2A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eastAsia="zh-CN"/>
                    </w:rPr>
                    <w:t>昼间</w:t>
                  </w:r>
                </w:p>
              </w:tc>
              <w:tc>
                <w:tcPr>
                  <w:tcW w:w="1380" w:type="dxa"/>
                  <w:tcBorders>
                    <w:tl2br w:val="nil"/>
                    <w:tr2bl w:val="nil"/>
                  </w:tcBorders>
                  <w:vAlign w:val="center"/>
                </w:tcPr>
                <w:p w14:paraId="3E29120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53.5</w:t>
                  </w:r>
                </w:p>
              </w:tc>
              <w:tc>
                <w:tcPr>
                  <w:tcW w:w="1380" w:type="dxa"/>
                  <w:tcBorders>
                    <w:tl2br w:val="nil"/>
                    <w:tr2bl w:val="nil"/>
                  </w:tcBorders>
                  <w:vAlign w:val="center"/>
                </w:tcPr>
                <w:p w14:paraId="32E5153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70</w:t>
                  </w:r>
                </w:p>
              </w:tc>
              <w:tc>
                <w:tcPr>
                  <w:tcW w:w="1382" w:type="dxa"/>
                  <w:tcBorders>
                    <w:tl2br w:val="nil"/>
                    <w:tr2bl w:val="nil"/>
                  </w:tcBorders>
                  <w:vAlign w:val="center"/>
                </w:tcPr>
                <w:p w14:paraId="6AB9284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5C03C74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continue"/>
                  <w:tcBorders>
                    <w:tl2br w:val="nil"/>
                    <w:tr2bl w:val="nil"/>
                  </w:tcBorders>
                  <w:vAlign w:val="center"/>
                </w:tcPr>
                <w:p w14:paraId="15E6F4D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804" w:type="dxa"/>
                  <w:vMerge w:val="continue"/>
                  <w:tcBorders>
                    <w:tl2br w:val="nil"/>
                    <w:tr2bl w:val="nil"/>
                  </w:tcBorders>
                  <w:vAlign w:val="center"/>
                </w:tcPr>
                <w:p w14:paraId="26ACFE1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60F4CA2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eastAsia="zh-CN"/>
                    </w:rPr>
                    <w:t>夜间</w:t>
                  </w:r>
                </w:p>
              </w:tc>
              <w:tc>
                <w:tcPr>
                  <w:tcW w:w="1380" w:type="dxa"/>
                  <w:tcBorders>
                    <w:tl2br w:val="nil"/>
                    <w:tr2bl w:val="nil"/>
                  </w:tcBorders>
                  <w:vAlign w:val="center"/>
                </w:tcPr>
                <w:p w14:paraId="5EFD795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44.0</w:t>
                  </w:r>
                </w:p>
              </w:tc>
              <w:tc>
                <w:tcPr>
                  <w:tcW w:w="1380" w:type="dxa"/>
                  <w:tcBorders>
                    <w:tl2br w:val="nil"/>
                    <w:tr2bl w:val="nil"/>
                  </w:tcBorders>
                  <w:vAlign w:val="center"/>
                </w:tcPr>
                <w:p w14:paraId="3B6D0E6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55</w:t>
                  </w:r>
                </w:p>
              </w:tc>
              <w:tc>
                <w:tcPr>
                  <w:tcW w:w="1382" w:type="dxa"/>
                  <w:tcBorders>
                    <w:tl2br w:val="nil"/>
                    <w:tr2bl w:val="nil"/>
                  </w:tcBorders>
                  <w:vAlign w:val="center"/>
                </w:tcPr>
                <w:p w14:paraId="0E808BC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51FB5BD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restart"/>
                  <w:tcBorders>
                    <w:tl2br w:val="nil"/>
                    <w:tr2bl w:val="nil"/>
                  </w:tcBorders>
                  <w:vAlign w:val="center"/>
                </w:tcPr>
                <w:p w14:paraId="3320FE4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项目西侧</w:t>
                  </w:r>
                  <w:r>
                    <w:rPr>
                      <w:rFonts w:hint="eastAsia" w:cs="Times New Roman"/>
                      <w:color w:val="auto"/>
                      <w:sz w:val="21"/>
                      <w:szCs w:val="21"/>
                      <w:highlight w:val="none"/>
                      <w:lang w:eastAsia="zh-CN"/>
                    </w:rPr>
                    <w:t>场</w:t>
                  </w:r>
                  <w:r>
                    <w:rPr>
                      <w:rFonts w:hint="default" w:ascii="Times New Roman" w:hAnsi="Times New Roman" w:eastAsia="宋体" w:cs="Times New Roman"/>
                      <w:color w:val="auto"/>
                      <w:sz w:val="21"/>
                      <w:szCs w:val="21"/>
                      <w:highlight w:val="none"/>
                    </w:rPr>
                    <w:t>界外1m</w:t>
                  </w:r>
                  <w:r>
                    <w:rPr>
                      <w:rFonts w:hint="eastAsia" w:ascii="Times New Roman" w:hAnsi="Times New Roman" w:eastAsia="宋体" w:cs="Times New Roman"/>
                      <w:color w:val="auto"/>
                      <w:sz w:val="21"/>
                      <w:szCs w:val="21"/>
                      <w:highlight w:val="none"/>
                      <w:lang w:eastAsia="zh-CN"/>
                    </w:rPr>
                    <w:t>处</w:t>
                  </w:r>
                </w:p>
              </w:tc>
              <w:tc>
                <w:tcPr>
                  <w:tcW w:w="804" w:type="dxa"/>
                  <w:vMerge w:val="continue"/>
                  <w:tcBorders>
                    <w:tl2br w:val="nil"/>
                    <w:tr2bl w:val="nil"/>
                  </w:tcBorders>
                  <w:vAlign w:val="center"/>
                </w:tcPr>
                <w:p w14:paraId="24D5E8A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3519D4D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eastAsia="zh-CN"/>
                    </w:rPr>
                    <w:t>昼间</w:t>
                  </w:r>
                </w:p>
              </w:tc>
              <w:tc>
                <w:tcPr>
                  <w:tcW w:w="1380" w:type="dxa"/>
                  <w:tcBorders>
                    <w:tl2br w:val="nil"/>
                    <w:tr2bl w:val="nil"/>
                  </w:tcBorders>
                  <w:vAlign w:val="center"/>
                </w:tcPr>
                <w:p w14:paraId="2054527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57.3</w:t>
                  </w:r>
                </w:p>
              </w:tc>
              <w:tc>
                <w:tcPr>
                  <w:tcW w:w="1380" w:type="dxa"/>
                  <w:tcBorders>
                    <w:tl2br w:val="nil"/>
                    <w:tr2bl w:val="nil"/>
                  </w:tcBorders>
                  <w:vAlign w:val="center"/>
                </w:tcPr>
                <w:p w14:paraId="043CB1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60</w:t>
                  </w:r>
                </w:p>
              </w:tc>
              <w:tc>
                <w:tcPr>
                  <w:tcW w:w="1382" w:type="dxa"/>
                  <w:tcBorders>
                    <w:tl2br w:val="nil"/>
                    <w:tr2bl w:val="nil"/>
                  </w:tcBorders>
                  <w:vAlign w:val="center"/>
                </w:tcPr>
                <w:p w14:paraId="4B55CF7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11D20C0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continue"/>
                  <w:tcBorders>
                    <w:tl2br w:val="nil"/>
                    <w:tr2bl w:val="nil"/>
                  </w:tcBorders>
                  <w:vAlign w:val="center"/>
                </w:tcPr>
                <w:p w14:paraId="25F59DA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804" w:type="dxa"/>
                  <w:vMerge w:val="continue"/>
                  <w:tcBorders>
                    <w:tl2br w:val="nil"/>
                    <w:tr2bl w:val="nil"/>
                  </w:tcBorders>
                  <w:vAlign w:val="center"/>
                </w:tcPr>
                <w:p w14:paraId="009247B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4008345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eastAsia="zh-CN"/>
                    </w:rPr>
                    <w:t>夜间</w:t>
                  </w:r>
                </w:p>
              </w:tc>
              <w:tc>
                <w:tcPr>
                  <w:tcW w:w="1380" w:type="dxa"/>
                  <w:tcBorders>
                    <w:tl2br w:val="nil"/>
                    <w:tr2bl w:val="nil"/>
                  </w:tcBorders>
                  <w:vAlign w:val="center"/>
                </w:tcPr>
                <w:p w14:paraId="217C8D0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46.9</w:t>
                  </w:r>
                </w:p>
              </w:tc>
              <w:tc>
                <w:tcPr>
                  <w:tcW w:w="1380" w:type="dxa"/>
                  <w:tcBorders>
                    <w:tl2br w:val="nil"/>
                    <w:tr2bl w:val="nil"/>
                  </w:tcBorders>
                  <w:vAlign w:val="center"/>
                </w:tcPr>
                <w:p w14:paraId="7F0B74B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50</w:t>
                  </w:r>
                </w:p>
              </w:tc>
              <w:tc>
                <w:tcPr>
                  <w:tcW w:w="1382" w:type="dxa"/>
                  <w:tcBorders>
                    <w:tl2br w:val="nil"/>
                    <w:tr2bl w:val="nil"/>
                  </w:tcBorders>
                  <w:vAlign w:val="center"/>
                </w:tcPr>
                <w:p w14:paraId="047F689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73CD706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restart"/>
                  <w:tcBorders>
                    <w:tl2br w:val="nil"/>
                    <w:tr2bl w:val="nil"/>
                  </w:tcBorders>
                  <w:vAlign w:val="center"/>
                </w:tcPr>
                <w:p w14:paraId="51AF429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项目北侧</w:t>
                  </w:r>
                  <w:r>
                    <w:rPr>
                      <w:rFonts w:hint="eastAsia" w:cs="Times New Roman"/>
                      <w:color w:val="auto"/>
                      <w:sz w:val="21"/>
                      <w:szCs w:val="21"/>
                      <w:highlight w:val="none"/>
                      <w:lang w:eastAsia="zh-CN"/>
                    </w:rPr>
                    <w:t>场</w:t>
                  </w:r>
                  <w:r>
                    <w:rPr>
                      <w:rFonts w:hint="default" w:ascii="Times New Roman" w:hAnsi="Times New Roman" w:eastAsia="宋体" w:cs="Times New Roman"/>
                      <w:color w:val="auto"/>
                      <w:sz w:val="21"/>
                      <w:szCs w:val="21"/>
                      <w:highlight w:val="none"/>
                    </w:rPr>
                    <w:t>界外1m</w:t>
                  </w:r>
                  <w:r>
                    <w:rPr>
                      <w:rFonts w:hint="eastAsia" w:ascii="Times New Roman" w:hAnsi="Times New Roman" w:eastAsia="宋体" w:cs="Times New Roman"/>
                      <w:color w:val="auto"/>
                      <w:sz w:val="21"/>
                      <w:szCs w:val="21"/>
                      <w:highlight w:val="none"/>
                      <w:lang w:eastAsia="zh-CN"/>
                    </w:rPr>
                    <w:t>处</w:t>
                  </w:r>
                </w:p>
              </w:tc>
              <w:tc>
                <w:tcPr>
                  <w:tcW w:w="804" w:type="dxa"/>
                  <w:vMerge w:val="continue"/>
                  <w:tcBorders>
                    <w:tl2br w:val="nil"/>
                    <w:tr2bl w:val="nil"/>
                  </w:tcBorders>
                  <w:vAlign w:val="center"/>
                </w:tcPr>
                <w:p w14:paraId="6921C11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4DED137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eastAsia="zh-CN"/>
                    </w:rPr>
                    <w:t>昼间</w:t>
                  </w:r>
                </w:p>
              </w:tc>
              <w:tc>
                <w:tcPr>
                  <w:tcW w:w="1380" w:type="dxa"/>
                  <w:tcBorders>
                    <w:tl2br w:val="nil"/>
                    <w:tr2bl w:val="nil"/>
                  </w:tcBorders>
                  <w:vAlign w:val="center"/>
                </w:tcPr>
                <w:p w14:paraId="703D427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58.1</w:t>
                  </w:r>
                </w:p>
              </w:tc>
              <w:tc>
                <w:tcPr>
                  <w:tcW w:w="1380" w:type="dxa"/>
                  <w:tcBorders>
                    <w:tl2br w:val="nil"/>
                    <w:tr2bl w:val="nil"/>
                  </w:tcBorders>
                  <w:vAlign w:val="center"/>
                </w:tcPr>
                <w:p w14:paraId="63B527D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60</w:t>
                  </w:r>
                </w:p>
              </w:tc>
              <w:tc>
                <w:tcPr>
                  <w:tcW w:w="1382" w:type="dxa"/>
                  <w:tcBorders>
                    <w:tl2br w:val="nil"/>
                    <w:tr2bl w:val="nil"/>
                  </w:tcBorders>
                  <w:vAlign w:val="center"/>
                </w:tcPr>
                <w:p w14:paraId="3034853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1D27405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continue"/>
                  <w:tcBorders>
                    <w:tl2br w:val="nil"/>
                    <w:tr2bl w:val="nil"/>
                  </w:tcBorders>
                  <w:vAlign w:val="center"/>
                </w:tcPr>
                <w:p w14:paraId="5F61CDC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804" w:type="dxa"/>
                  <w:vMerge w:val="continue"/>
                  <w:tcBorders>
                    <w:tl2br w:val="nil"/>
                    <w:tr2bl w:val="nil"/>
                  </w:tcBorders>
                  <w:vAlign w:val="center"/>
                </w:tcPr>
                <w:p w14:paraId="4C80C8E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0B3AFAD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eastAsia="zh-CN"/>
                    </w:rPr>
                    <w:t>夜间</w:t>
                  </w:r>
                </w:p>
              </w:tc>
              <w:tc>
                <w:tcPr>
                  <w:tcW w:w="1380" w:type="dxa"/>
                  <w:tcBorders>
                    <w:tl2br w:val="nil"/>
                    <w:tr2bl w:val="nil"/>
                  </w:tcBorders>
                  <w:vAlign w:val="center"/>
                </w:tcPr>
                <w:p w14:paraId="0B4D654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48.5</w:t>
                  </w:r>
                </w:p>
              </w:tc>
              <w:tc>
                <w:tcPr>
                  <w:tcW w:w="1380" w:type="dxa"/>
                  <w:tcBorders>
                    <w:tl2br w:val="nil"/>
                    <w:tr2bl w:val="nil"/>
                  </w:tcBorders>
                  <w:vAlign w:val="center"/>
                </w:tcPr>
                <w:p w14:paraId="6C5E72F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50</w:t>
                  </w:r>
                </w:p>
              </w:tc>
              <w:tc>
                <w:tcPr>
                  <w:tcW w:w="1382" w:type="dxa"/>
                  <w:tcBorders>
                    <w:tl2br w:val="nil"/>
                    <w:tr2bl w:val="nil"/>
                  </w:tcBorders>
                  <w:vAlign w:val="center"/>
                </w:tcPr>
                <w:p w14:paraId="4277CBA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0C17363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restart"/>
                  <w:tcBorders>
                    <w:tl2br w:val="nil"/>
                    <w:tr2bl w:val="nil"/>
                  </w:tcBorders>
                  <w:vAlign w:val="center"/>
                </w:tcPr>
                <w:p w14:paraId="633DB71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项目东侧</w:t>
                  </w:r>
                  <w:r>
                    <w:rPr>
                      <w:rFonts w:hint="eastAsia" w:cs="Times New Roman"/>
                      <w:color w:val="auto"/>
                      <w:sz w:val="21"/>
                      <w:szCs w:val="21"/>
                      <w:highlight w:val="none"/>
                      <w:lang w:eastAsia="zh-CN"/>
                    </w:rPr>
                    <w:t>场</w:t>
                  </w:r>
                  <w:r>
                    <w:rPr>
                      <w:rFonts w:hint="default" w:ascii="Times New Roman" w:hAnsi="Times New Roman" w:eastAsia="宋体" w:cs="Times New Roman"/>
                      <w:color w:val="auto"/>
                      <w:sz w:val="21"/>
                      <w:szCs w:val="21"/>
                      <w:highlight w:val="none"/>
                    </w:rPr>
                    <w:t>界外1m</w:t>
                  </w:r>
                  <w:r>
                    <w:rPr>
                      <w:rFonts w:hint="eastAsia" w:ascii="Times New Roman" w:hAnsi="Times New Roman" w:eastAsia="宋体" w:cs="Times New Roman"/>
                      <w:color w:val="auto"/>
                      <w:sz w:val="21"/>
                      <w:szCs w:val="21"/>
                      <w:highlight w:val="none"/>
                      <w:lang w:eastAsia="zh-CN"/>
                    </w:rPr>
                    <w:t>处</w:t>
                  </w:r>
                </w:p>
              </w:tc>
              <w:tc>
                <w:tcPr>
                  <w:tcW w:w="804" w:type="dxa"/>
                  <w:vMerge w:val="restart"/>
                  <w:tcBorders>
                    <w:tl2br w:val="nil"/>
                    <w:tr2bl w:val="nil"/>
                  </w:tcBorders>
                  <w:vAlign w:val="center"/>
                </w:tcPr>
                <w:p w14:paraId="202A5C7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2018年1月10日</w:t>
                  </w:r>
                </w:p>
              </w:tc>
              <w:tc>
                <w:tcPr>
                  <w:tcW w:w="1080" w:type="dxa"/>
                  <w:tcBorders>
                    <w:tl2br w:val="nil"/>
                    <w:tr2bl w:val="nil"/>
                  </w:tcBorders>
                  <w:vAlign w:val="center"/>
                </w:tcPr>
                <w:p w14:paraId="756BD8F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highlight w:val="none"/>
                      <w:lang w:eastAsia="zh-CN"/>
                    </w:rPr>
                  </w:pPr>
                  <w:r>
                    <w:rPr>
                      <w:rFonts w:hint="eastAsia" w:cs="Times New Roman"/>
                      <w:color w:val="auto"/>
                      <w:sz w:val="21"/>
                      <w:szCs w:val="21"/>
                      <w:highlight w:val="none"/>
                      <w:lang w:eastAsia="zh-CN"/>
                    </w:rPr>
                    <w:t>昼间</w:t>
                  </w:r>
                </w:p>
              </w:tc>
              <w:tc>
                <w:tcPr>
                  <w:tcW w:w="1380" w:type="dxa"/>
                  <w:tcBorders>
                    <w:tl2br w:val="nil"/>
                    <w:tr2bl w:val="nil"/>
                  </w:tcBorders>
                  <w:vAlign w:val="center"/>
                </w:tcPr>
                <w:p w14:paraId="7FADC1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55.0</w:t>
                  </w:r>
                </w:p>
              </w:tc>
              <w:tc>
                <w:tcPr>
                  <w:tcW w:w="1380" w:type="dxa"/>
                  <w:tcBorders>
                    <w:tl2br w:val="nil"/>
                    <w:tr2bl w:val="nil"/>
                  </w:tcBorders>
                  <w:vAlign w:val="center"/>
                </w:tcPr>
                <w:p w14:paraId="0307E13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60</w:t>
                  </w:r>
                </w:p>
              </w:tc>
              <w:tc>
                <w:tcPr>
                  <w:tcW w:w="1382" w:type="dxa"/>
                  <w:tcBorders>
                    <w:tl2br w:val="nil"/>
                    <w:tr2bl w:val="nil"/>
                  </w:tcBorders>
                  <w:vAlign w:val="center"/>
                </w:tcPr>
                <w:p w14:paraId="3A6023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1F91281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continue"/>
                  <w:tcBorders>
                    <w:tl2br w:val="nil"/>
                    <w:tr2bl w:val="nil"/>
                  </w:tcBorders>
                  <w:vAlign w:val="center"/>
                </w:tcPr>
                <w:p w14:paraId="7B97DA8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804" w:type="dxa"/>
                  <w:vMerge w:val="continue"/>
                  <w:tcBorders>
                    <w:tl2br w:val="nil"/>
                    <w:tr2bl w:val="nil"/>
                  </w:tcBorders>
                  <w:vAlign w:val="center"/>
                </w:tcPr>
                <w:p w14:paraId="5A37D08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44FD234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highlight w:val="none"/>
                      <w:lang w:eastAsia="zh-CN"/>
                    </w:rPr>
                  </w:pPr>
                  <w:r>
                    <w:rPr>
                      <w:rFonts w:hint="eastAsia" w:cs="Times New Roman"/>
                      <w:color w:val="auto"/>
                      <w:sz w:val="21"/>
                      <w:szCs w:val="21"/>
                      <w:highlight w:val="none"/>
                      <w:lang w:eastAsia="zh-CN"/>
                    </w:rPr>
                    <w:t>夜间</w:t>
                  </w:r>
                </w:p>
              </w:tc>
              <w:tc>
                <w:tcPr>
                  <w:tcW w:w="1380" w:type="dxa"/>
                  <w:tcBorders>
                    <w:tl2br w:val="nil"/>
                    <w:tr2bl w:val="nil"/>
                  </w:tcBorders>
                  <w:vAlign w:val="center"/>
                </w:tcPr>
                <w:p w14:paraId="7E49910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44.0</w:t>
                  </w:r>
                </w:p>
              </w:tc>
              <w:tc>
                <w:tcPr>
                  <w:tcW w:w="1380" w:type="dxa"/>
                  <w:tcBorders>
                    <w:tl2br w:val="nil"/>
                    <w:tr2bl w:val="nil"/>
                  </w:tcBorders>
                  <w:vAlign w:val="center"/>
                </w:tcPr>
                <w:p w14:paraId="465BF0C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50</w:t>
                  </w:r>
                </w:p>
              </w:tc>
              <w:tc>
                <w:tcPr>
                  <w:tcW w:w="1382" w:type="dxa"/>
                  <w:tcBorders>
                    <w:tl2br w:val="nil"/>
                    <w:tr2bl w:val="nil"/>
                  </w:tcBorders>
                  <w:vAlign w:val="center"/>
                </w:tcPr>
                <w:p w14:paraId="236155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201F623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restart"/>
                  <w:tcBorders>
                    <w:tl2br w:val="nil"/>
                    <w:tr2bl w:val="nil"/>
                  </w:tcBorders>
                  <w:vAlign w:val="center"/>
                </w:tcPr>
                <w:p w14:paraId="68E7CCD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项目南侧</w:t>
                  </w:r>
                  <w:r>
                    <w:rPr>
                      <w:rFonts w:hint="eastAsia" w:cs="Times New Roman"/>
                      <w:color w:val="auto"/>
                      <w:sz w:val="21"/>
                      <w:szCs w:val="21"/>
                      <w:highlight w:val="none"/>
                      <w:lang w:eastAsia="zh-CN"/>
                    </w:rPr>
                    <w:t>场</w:t>
                  </w:r>
                  <w:r>
                    <w:rPr>
                      <w:rFonts w:hint="default" w:ascii="Times New Roman" w:hAnsi="Times New Roman" w:eastAsia="宋体" w:cs="Times New Roman"/>
                      <w:color w:val="auto"/>
                      <w:sz w:val="21"/>
                      <w:szCs w:val="21"/>
                      <w:highlight w:val="none"/>
                    </w:rPr>
                    <w:t>界外1m</w:t>
                  </w:r>
                  <w:r>
                    <w:rPr>
                      <w:rFonts w:hint="eastAsia" w:ascii="Times New Roman" w:hAnsi="Times New Roman" w:eastAsia="宋体" w:cs="Times New Roman"/>
                      <w:color w:val="auto"/>
                      <w:sz w:val="21"/>
                      <w:szCs w:val="21"/>
                      <w:highlight w:val="none"/>
                      <w:lang w:eastAsia="zh-CN"/>
                    </w:rPr>
                    <w:t>处</w:t>
                  </w:r>
                </w:p>
              </w:tc>
              <w:tc>
                <w:tcPr>
                  <w:tcW w:w="804" w:type="dxa"/>
                  <w:vMerge w:val="continue"/>
                  <w:tcBorders>
                    <w:tl2br w:val="nil"/>
                    <w:tr2bl w:val="nil"/>
                  </w:tcBorders>
                  <w:vAlign w:val="center"/>
                </w:tcPr>
                <w:p w14:paraId="797D7A1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350B4BA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highlight w:val="none"/>
                      <w:lang w:eastAsia="zh-CN"/>
                    </w:rPr>
                  </w:pPr>
                  <w:r>
                    <w:rPr>
                      <w:rFonts w:hint="eastAsia" w:cs="Times New Roman"/>
                      <w:color w:val="auto"/>
                      <w:sz w:val="21"/>
                      <w:szCs w:val="21"/>
                      <w:highlight w:val="none"/>
                      <w:lang w:eastAsia="zh-CN"/>
                    </w:rPr>
                    <w:t>昼间</w:t>
                  </w:r>
                </w:p>
              </w:tc>
              <w:tc>
                <w:tcPr>
                  <w:tcW w:w="1380" w:type="dxa"/>
                  <w:tcBorders>
                    <w:tl2br w:val="nil"/>
                    <w:tr2bl w:val="nil"/>
                  </w:tcBorders>
                  <w:vAlign w:val="center"/>
                </w:tcPr>
                <w:p w14:paraId="729678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ascii="Times New Roman" w:hAnsi="Times New Roman" w:cs="Times New Roman"/>
                      <w:sz w:val="21"/>
                      <w:szCs w:val="21"/>
                      <w:lang w:val="en-US" w:eastAsia="zh-CN"/>
                    </w:rPr>
                    <w:t>53.7</w:t>
                  </w:r>
                </w:p>
              </w:tc>
              <w:tc>
                <w:tcPr>
                  <w:tcW w:w="1380" w:type="dxa"/>
                  <w:tcBorders>
                    <w:tl2br w:val="nil"/>
                    <w:tr2bl w:val="nil"/>
                  </w:tcBorders>
                  <w:vAlign w:val="center"/>
                </w:tcPr>
                <w:p w14:paraId="7713EB0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70</w:t>
                  </w:r>
                </w:p>
              </w:tc>
              <w:tc>
                <w:tcPr>
                  <w:tcW w:w="1382" w:type="dxa"/>
                  <w:tcBorders>
                    <w:tl2br w:val="nil"/>
                    <w:tr2bl w:val="nil"/>
                  </w:tcBorders>
                  <w:vAlign w:val="center"/>
                </w:tcPr>
                <w:p w14:paraId="74230BE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49AFD62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continue"/>
                  <w:tcBorders>
                    <w:tl2br w:val="nil"/>
                    <w:tr2bl w:val="nil"/>
                  </w:tcBorders>
                  <w:vAlign w:val="center"/>
                </w:tcPr>
                <w:p w14:paraId="4BDDEEF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804" w:type="dxa"/>
                  <w:vMerge w:val="continue"/>
                  <w:tcBorders>
                    <w:tl2br w:val="nil"/>
                    <w:tr2bl w:val="nil"/>
                  </w:tcBorders>
                  <w:vAlign w:val="center"/>
                </w:tcPr>
                <w:p w14:paraId="4023314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004465C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highlight w:val="none"/>
                      <w:lang w:eastAsia="zh-CN"/>
                    </w:rPr>
                  </w:pPr>
                  <w:r>
                    <w:rPr>
                      <w:rFonts w:hint="eastAsia" w:cs="Times New Roman"/>
                      <w:color w:val="auto"/>
                      <w:sz w:val="21"/>
                      <w:szCs w:val="21"/>
                      <w:highlight w:val="none"/>
                      <w:lang w:eastAsia="zh-CN"/>
                    </w:rPr>
                    <w:t>夜间</w:t>
                  </w:r>
                </w:p>
              </w:tc>
              <w:tc>
                <w:tcPr>
                  <w:tcW w:w="1380" w:type="dxa"/>
                  <w:tcBorders>
                    <w:tl2br w:val="nil"/>
                    <w:tr2bl w:val="nil"/>
                  </w:tcBorders>
                  <w:vAlign w:val="center"/>
                </w:tcPr>
                <w:p w14:paraId="174FCD5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44.2</w:t>
                  </w:r>
                </w:p>
              </w:tc>
              <w:tc>
                <w:tcPr>
                  <w:tcW w:w="1380" w:type="dxa"/>
                  <w:tcBorders>
                    <w:tl2br w:val="nil"/>
                    <w:tr2bl w:val="nil"/>
                  </w:tcBorders>
                  <w:vAlign w:val="center"/>
                </w:tcPr>
                <w:p w14:paraId="4FC28D6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55</w:t>
                  </w:r>
                </w:p>
              </w:tc>
              <w:tc>
                <w:tcPr>
                  <w:tcW w:w="1382" w:type="dxa"/>
                  <w:tcBorders>
                    <w:tl2br w:val="nil"/>
                    <w:tr2bl w:val="nil"/>
                  </w:tcBorders>
                  <w:vAlign w:val="center"/>
                </w:tcPr>
                <w:p w14:paraId="3EE45CB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1E437C8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restart"/>
                  <w:tcBorders>
                    <w:tl2br w:val="nil"/>
                    <w:tr2bl w:val="nil"/>
                  </w:tcBorders>
                  <w:vAlign w:val="center"/>
                </w:tcPr>
                <w:p w14:paraId="110610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项目西侧</w:t>
                  </w:r>
                  <w:r>
                    <w:rPr>
                      <w:rFonts w:hint="eastAsia" w:cs="Times New Roman"/>
                      <w:color w:val="auto"/>
                      <w:sz w:val="21"/>
                      <w:szCs w:val="21"/>
                      <w:highlight w:val="none"/>
                      <w:lang w:eastAsia="zh-CN"/>
                    </w:rPr>
                    <w:t>场</w:t>
                  </w:r>
                  <w:r>
                    <w:rPr>
                      <w:rFonts w:hint="default" w:ascii="Times New Roman" w:hAnsi="Times New Roman" w:eastAsia="宋体" w:cs="Times New Roman"/>
                      <w:color w:val="auto"/>
                      <w:sz w:val="21"/>
                      <w:szCs w:val="21"/>
                      <w:highlight w:val="none"/>
                    </w:rPr>
                    <w:t>界外1m</w:t>
                  </w:r>
                  <w:r>
                    <w:rPr>
                      <w:rFonts w:hint="eastAsia" w:ascii="Times New Roman" w:hAnsi="Times New Roman" w:eastAsia="宋体" w:cs="Times New Roman"/>
                      <w:color w:val="auto"/>
                      <w:sz w:val="21"/>
                      <w:szCs w:val="21"/>
                      <w:highlight w:val="none"/>
                      <w:lang w:eastAsia="zh-CN"/>
                    </w:rPr>
                    <w:t>处</w:t>
                  </w:r>
                </w:p>
              </w:tc>
              <w:tc>
                <w:tcPr>
                  <w:tcW w:w="804" w:type="dxa"/>
                  <w:vMerge w:val="continue"/>
                  <w:tcBorders>
                    <w:tl2br w:val="nil"/>
                    <w:tr2bl w:val="nil"/>
                  </w:tcBorders>
                  <w:vAlign w:val="center"/>
                </w:tcPr>
                <w:p w14:paraId="5D7B5EF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3885237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highlight w:val="none"/>
                      <w:lang w:eastAsia="zh-CN"/>
                    </w:rPr>
                  </w:pPr>
                  <w:r>
                    <w:rPr>
                      <w:rFonts w:hint="eastAsia" w:cs="Times New Roman"/>
                      <w:color w:val="auto"/>
                      <w:sz w:val="21"/>
                      <w:szCs w:val="21"/>
                      <w:highlight w:val="none"/>
                      <w:lang w:eastAsia="zh-CN"/>
                    </w:rPr>
                    <w:t>昼间</w:t>
                  </w:r>
                </w:p>
              </w:tc>
              <w:tc>
                <w:tcPr>
                  <w:tcW w:w="1380" w:type="dxa"/>
                  <w:tcBorders>
                    <w:tl2br w:val="nil"/>
                    <w:tr2bl w:val="nil"/>
                  </w:tcBorders>
                  <w:vAlign w:val="center"/>
                </w:tcPr>
                <w:p w14:paraId="1638E9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57.8</w:t>
                  </w:r>
                </w:p>
              </w:tc>
              <w:tc>
                <w:tcPr>
                  <w:tcW w:w="1380" w:type="dxa"/>
                  <w:tcBorders>
                    <w:tl2br w:val="nil"/>
                    <w:tr2bl w:val="nil"/>
                  </w:tcBorders>
                  <w:vAlign w:val="center"/>
                </w:tcPr>
                <w:p w14:paraId="07E20DA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60</w:t>
                  </w:r>
                </w:p>
              </w:tc>
              <w:tc>
                <w:tcPr>
                  <w:tcW w:w="1382" w:type="dxa"/>
                  <w:tcBorders>
                    <w:tl2br w:val="nil"/>
                    <w:tr2bl w:val="nil"/>
                  </w:tcBorders>
                  <w:vAlign w:val="center"/>
                </w:tcPr>
                <w:p w14:paraId="11B0DF7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329F199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continue"/>
                  <w:tcBorders>
                    <w:tl2br w:val="nil"/>
                    <w:tr2bl w:val="nil"/>
                  </w:tcBorders>
                  <w:vAlign w:val="center"/>
                </w:tcPr>
                <w:p w14:paraId="09738AC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804" w:type="dxa"/>
                  <w:vMerge w:val="continue"/>
                  <w:tcBorders>
                    <w:tl2br w:val="nil"/>
                    <w:tr2bl w:val="nil"/>
                  </w:tcBorders>
                  <w:vAlign w:val="center"/>
                </w:tcPr>
                <w:p w14:paraId="7C7BED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5718E2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highlight w:val="none"/>
                      <w:lang w:eastAsia="zh-CN"/>
                    </w:rPr>
                  </w:pPr>
                  <w:r>
                    <w:rPr>
                      <w:rFonts w:hint="eastAsia" w:cs="Times New Roman"/>
                      <w:color w:val="auto"/>
                      <w:sz w:val="21"/>
                      <w:szCs w:val="21"/>
                      <w:highlight w:val="none"/>
                      <w:lang w:eastAsia="zh-CN"/>
                    </w:rPr>
                    <w:t>夜间</w:t>
                  </w:r>
                </w:p>
              </w:tc>
              <w:tc>
                <w:tcPr>
                  <w:tcW w:w="1380" w:type="dxa"/>
                  <w:tcBorders>
                    <w:tl2br w:val="nil"/>
                    <w:tr2bl w:val="nil"/>
                  </w:tcBorders>
                  <w:vAlign w:val="center"/>
                </w:tcPr>
                <w:p w14:paraId="620FEC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46.6</w:t>
                  </w:r>
                </w:p>
              </w:tc>
              <w:tc>
                <w:tcPr>
                  <w:tcW w:w="1380" w:type="dxa"/>
                  <w:tcBorders>
                    <w:tl2br w:val="nil"/>
                    <w:tr2bl w:val="nil"/>
                  </w:tcBorders>
                  <w:vAlign w:val="center"/>
                </w:tcPr>
                <w:p w14:paraId="779CC9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50</w:t>
                  </w:r>
                </w:p>
              </w:tc>
              <w:tc>
                <w:tcPr>
                  <w:tcW w:w="1382" w:type="dxa"/>
                  <w:tcBorders>
                    <w:tl2br w:val="nil"/>
                    <w:tr2bl w:val="nil"/>
                  </w:tcBorders>
                  <w:vAlign w:val="center"/>
                </w:tcPr>
                <w:p w14:paraId="373C564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422F6B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restart"/>
                  <w:tcBorders>
                    <w:tl2br w:val="nil"/>
                    <w:tr2bl w:val="nil"/>
                  </w:tcBorders>
                  <w:vAlign w:val="center"/>
                </w:tcPr>
                <w:p w14:paraId="73F128A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项目北侧</w:t>
                  </w:r>
                  <w:r>
                    <w:rPr>
                      <w:rFonts w:hint="eastAsia" w:cs="Times New Roman"/>
                      <w:color w:val="auto"/>
                      <w:sz w:val="21"/>
                      <w:szCs w:val="21"/>
                      <w:highlight w:val="none"/>
                      <w:lang w:eastAsia="zh-CN"/>
                    </w:rPr>
                    <w:t>场</w:t>
                  </w:r>
                  <w:r>
                    <w:rPr>
                      <w:rFonts w:hint="default" w:ascii="Times New Roman" w:hAnsi="Times New Roman" w:eastAsia="宋体" w:cs="Times New Roman"/>
                      <w:color w:val="auto"/>
                      <w:sz w:val="21"/>
                      <w:szCs w:val="21"/>
                      <w:highlight w:val="none"/>
                    </w:rPr>
                    <w:t>界外1m</w:t>
                  </w:r>
                  <w:r>
                    <w:rPr>
                      <w:rFonts w:hint="eastAsia" w:ascii="Times New Roman" w:hAnsi="Times New Roman" w:eastAsia="宋体" w:cs="Times New Roman"/>
                      <w:color w:val="auto"/>
                      <w:sz w:val="21"/>
                      <w:szCs w:val="21"/>
                      <w:highlight w:val="none"/>
                      <w:lang w:eastAsia="zh-CN"/>
                    </w:rPr>
                    <w:t>处</w:t>
                  </w:r>
                </w:p>
              </w:tc>
              <w:tc>
                <w:tcPr>
                  <w:tcW w:w="804" w:type="dxa"/>
                  <w:vMerge w:val="continue"/>
                  <w:tcBorders>
                    <w:tl2br w:val="nil"/>
                    <w:tr2bl w:val="nil"/>
                  </w:tcBorders>
                  <w:vAlign w:val="center"/>
                </w:tcPr>
                <w:p w14:paraId="32EAA3B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3418BB4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highlight w:val="none"/>
                      <w:lang w:eastAsia="zh-CN"/>
                    </w:rPr>
                  </w:pPr>
                  <w:r>
                    <w:rPr>
                      <w:rFonts w:hint="eastAsia" w:cs="Times New Roman"/>
                      <w:color w:val="auto"/>
                      <w:sz w:val="21"/>
                      <w:szCs w:val="21"/>
                      <w:highlight w:val="none"/>
                      <w:lang w:eastAsia="zh-CN"/>
                    </w:rPr>
                    <w:t>昼间</w:t>
                  </w:r>
                </w:p>
              </w:tc>
              <w:tc>
                <w:tcPr>
                  <w:tcW w:w="1380" w:type="dxa"/>
                  <w:tcBorders>
                    <w:tl2br w:val="nil"/>
                    <w:tr2bl w:val="nil"/>
                  </w:tcBorders>
                  <w:vAlign w:val="center"/>
                </w:tcPr>
                <w:p w14:paraId="76AFAB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58.6</w:t>
                  </w:r>
                </w:p>
              </w:tc>
              <w:tc>
                <w:tcPr>
                  <w:tcW w:w="1380" w:type="dxa"/>
                  <w:tcBorders>
                    <w:tl2br w:val="nil"/>
                    <w:tr2bl w:val="nil"/>
                  </w:tcBorders>
                  <w:vAlign w:val="center"/>
                </w:tcPr>
                <w:p w14:paraId="49B9FD6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60</w:t>
                  </w:r>
                </w:p>
              </w:tc>
              <w:tc>
                <w:tcPr>
                  <w:tcW w:w="1382" w:type="dxa"/>
                  <w:tcBorders>
                    <w:tl2br w:val="nil"/>
                    <w:tr2bl w:val="nil"/>
                  </w:tcBorders>
                  <w:vAlign w:val="center"/>
                </w:tcPr>
                <w:p w14:paraId="3C38CA5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14:paraId="037A6E7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2478" w:type="dxa"/>
                  <w:vMerge w:val="continue"/>
                  <w:tcBorders>
                    <w:tl2br w:val="nil"/>
                    <w:tr2bl w:val="nil"/>
                  </w:tcBorders>
                  <w:vAlign w:val="center"/>
                </w:tcPr>
                <w:p w14:paraId="0334C3C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804" w:type="dxa"/>
                  <w:vMerge w:val="continue"/>
                  <w:tcBorders>
                    <w:tl2br w:val="nil"/>
                    <w:tr2bl w:val="nil"/>
                  </w:tcBorders>
                  <w:vAlign w:val="center"/>
                </w:tcPr>
                <w:p w14:paraId="3D8F22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p>
              </w:tc>
              <w:tc>
                <w:tcPr>
                  <w:tcW w:w="1080" w:type="dxa"/>
                  <w:tcBorders>
                    <w:tl2br w:val="nil"/>
                    <w:tr2bl w:val="nil"/>
                  </w:tcBorders>
                  <w:vAlign w:val="center"/>
                </w:tcPr>
                <w:p w14:paraId="53DCDBE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 w:val="21"/>
                      <w:szCs w:val="21"/>
                      <w:highlight w:val="none"/>
                      <w:lang w:eastAsia="zh-CN"/>
                    </w:rPr>
                  </w:pPr>
                  <w:r>
                    <w:rPr>
                      <w:rFonts w:hint="eastAsia" w:cs="Times New Roman"/>
                      <w:color w:val="auto"/>
                      <w:sz w:val="21"/>
                      <w:szCs w:val="21"/>
                      <w:highlight w:val="none"/>
                      <w:lang w:eastAsia="zh-CN"/>
                    </w:rPr>
                    <w:t>夜间</w:t>
                  </w:r>
                </w:p>
              </w:tc>
              <w:tc>
                <w:tcPr>
                  <w:tcW w:w="1380" w:type="dxa"/>
                  <w:tcBorders>
                    <w:tl2br w:val="nil"/>
                    <w:tr2bl w:val="nil"/>
                  </w:tcBorders>
                  <w:vAlign w:val="center"/>
                </w:tcPr>
                <w:p w14:paraId="5D3A9BB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sz w:val="21"/>
                      <w:szCs w:val="21"/>
                      <w:lang w:val="en-US" w:eastAsia="zh-CN"/>
                    </w:rPr>
                    <w:t>48.0</w:t>
                  </w:r>
                </w:p>
              </w:tc>
              <w:tc>
                <w:tcPr>
                  <w:tcW w:w="1380" w:type="dxa"/>
                  <w:tcBorders>
                    <w:tl2br w:val="nil"/>
                    <w:tr2bl w:val="nil"/>
                  </w:tcBorders>
                  <w:vAlign w:val="center"/>
                </w:tcPr>
                <w:p w14:paraId="46678A4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eastAsia" w:cs="Times New Roman"/>
                      <w:color w:val="auto"/>
                      <w:sz w:val="21"/>
                      <w:szCs w:val="21"/>
                      <w:highlight w:val="none"/>
                      <w:lang w:val="en-US" w:eastAsia="zh-CN"/>
                    </w:rPr>
                    <w:t>50</w:t>
                  </w:r>
                </w:p>
              </w:tc>
              <w:tc>
                <w:tcPr>
                  <w:tcW w:w="1382" w:type="dxa"/>
                  <w:tcBorders>
                    <w:tl2br w:val="nil"/>
                    <w:tr2bl w:val="nil"/>
                  </w:tcBorders>
                  <w:vAlign w:val="center"/>
                </w:tcPr>
                <w:p w14:paraId="6609EE5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bl>
          <w:p w14:paraId="0FA1E200">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从监测结果可知，</w:t>
            </w:r>
            <w:r>
              <w:rPr>
                <w:rFonts w:hint="eastAsia" w:cs="Times New Roman"/>
                <w:color w:val="auto"/>
                <w:sz w:val="24"/>
                <w:szCs w:val="24"/>
                <w:highlight w:val="none"/>
                <w:lang w:eastAsia="zh-CN"/>
              </w:rPr>
              <w:t>东</w:t>
            </w:r>
            <w:r>
              <w:rPr>
                <w:rFonts w:hint="eastAsia"/>
                <w:color w:val="auto"/>
                <w:kern w:val="0"/>
                <w:sz w:val="24"/>
                <w:highlight w:val="none"/>
              </w:rPr>
              <w:t>场界</w:t>
            </w:r>
            <w:r>
              <w:rPr>
                <w:rFonts w:hint="eastAsia"/>
                <w:color w:val="auto"/>
                <w:kern w:val="0"/>
                <w:sz w:val="24"/>
                <w:highlight w:val="none"/>
                <w:lang w:eastAsia="zh-CN"/>
              </w:rPr>
              <w:t>、西场界、南场界、北场界</w:t>
            </w:r>
            <w:r>
              <w:rPr>
                <w:rFonts w:hint="default" w:ascii="Times New Roman" w:hAnsi="Times New Roman" w:eastAsia="宋体" w:cs="Times New Roman"/>
                <w:color w:val="auto"/>
                <w:sz w:val="24"/>
                <w:szCs w:val="24"/>
                <w:highlight w:val="none"/>
              </w:rPr>
              <w:t>监测点</w:t>
            </w:r>
            <w:r>
              <w:rPr>
                <w:rFonts w:hint="eastAsia" w:cs="Times New Roman"/>
                <w:color w:val="auto"/>
                <w:sz w:val="24"/>
                <w:szCs w:val="24"/>
                <w:highlight w:val="none"/>
                <w:lang w:eastAsia="zh-CN"/>
              </w:rPr>
              <w:t>的</w:t>
            </w:r>
            <w:r>
              <w:rPr>
                <w:rFonts w:hint="default" w:ascii="Times New Roman" w:hAnsi="Times New Roman" w:eastAsia="宋体" w:cs="Times New Roman"/>
                <w:color w:val="auto"/>
                <w:sz w:val="24"/>
                <w:szCs w:val="24"/>
                <w:highlight w:val="none"/>
              </w:rPr>
              <w:t>昼</w:t>
            </w:r>
            <w:r>
              <w:rPr>
                <w:rFonts w:hint="eastAsia" w:cs="Times New Roman"/>
                <w:color w:val="auto"/>
                <w:sz w:val="24"/>
                <w:szCs w:val="24"/>
                <w:highlight w:val="none"/>
                <w:lang w:eastAsia="zh-CN"/>
              </w:rPr>
              <w:t>、夜</w:t>
            </w:r>
            <w:r>
              <w:rPr>
                <w:rFonts w:hint="default" w:ascii="Times New Roman" w:hAnsi="Times New Roman" w:eastAsia="宋体" w:cs="Times New Roman"/>
                <w:color w:val="auto"/>
                <w:sz w:val="24"/>
                <w:szCs w:val="24"/>
                <w:highlight w:val="none"/>
              </w:rPr>
              <w:t>间环境噪声</w:t>
            </w:r>
            <w:r>
              <w:rPr>
                <w:rFonts w:hint="eastAsia" w:cs="Times New Roman"/>
                <w:color w:val="auto"/>
                <w:sz w:val="24"/>
                <w:szCs w:val="24"/>
                <w:highlight w:val="none"/>
                <w:lang w:eastAsia="zh-CN"/>
              </w:rPr>
              <w:t>监测结果</w:t>
            </w:r>
            <w:r>
              <w:rPr>
                <w:rFonts w:hint="default" w:ascii="Times New Roman" w:hAnsi="Times New Roman" w:eastAsia="宋体" w:cs="Times New Roman"/>
                <w:color w:val="auto"/>
                <w:sz w:val="24"/>
                <w:szCs w:val="24"/>
                <w:highlight w:val="none"/>
              </w:rPr>
              <w:t>均能够满足功能区划的《声环境质量标准》（GB3096-2008）</w:t>
            </w:r>
            <w:r>
              <w:rPr>
                <w:rFonts w:hint="eastAsia" w:cs="Times New Roman"/>
                <w:color w:val="auto"/>
                <w:sz w:val="24"/>
                <w:szCs w:val="24"/>
                <w:highlight w:val="none"/>
                <w:lang w:val="en-US" w:eastAsia="zh-CN"/>
              </w:rPr>
              <w:t>2类</w:t>
            </w:r>
            <w:r>
              <w:rPr>
                <w:rFonts w:hint="default" w:ascii="Times New Roman" w:hAnsi="Times New Roman" w:eastAsia="宋体" w:cs="Times New Roman"/>
                <w:color w:val="auto"/>
                <w:sz w:val="24"/>
                <w:szCs w:val="24"/>
                <w:highlight w:val="none"/>
              </w:rPr>
              <w:t>标准要求</w:t>
            </w:r>
            <w:r>
              <w:rPr>
                <w:rFonts w:hint="eastAsia" w:cs="Times New Roman"/>
                <w:color w:val="auto"/>
                <w:sz w:val="24"/>
                <w:szCs w:val="24"/>
                <w:highlight w:val="none"/>
                <w:lang w:eastAsia="zh-CN"/>
              </w:rPr>
              <w:t>。</w:t>
            </w:r>
          </w:p>
          <w:p w14:paraId="6C79617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eastAsiaTheme="minorEastAsia"/>
                <w:b/>
                <w:color w:val="auto"/>
                <w:sz w:val="24"/>
              </w:rPr>
            </w:pPr>
            <w:r>
              <w:rPr>
                <w:rFonts w:ascii="Times New Roman" w:hAnsi="Times New Roman" w:cs="Times New Roman" w:eastAsiaTheme="minorEastAsia"/>
                <w:b/>
                <w:color w:val="auto"/>
                <w:sz w:val="24"/>
              </w:rPr>
              <w:t>由上述监测资料可以看出，目前该工程所在区域和工程影响区域大气环境质量、水环境和声环境质量现状满足该区域规定的质量标准，环境质量状况较好。</w:t>
            </w:r>
          </w:p>
          <w:p w14:paraId="373BF9D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eastAsiaTheme="minorEastAsia"/>
                <w:b/>
                <w:color w:val="auto"/>
                <w:sz w:val="24"/>
              </w:rPr>
            </w:pPr>
          </w:p>
          <w:p w14:paraId="1F7801F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eastAsiaTheme="minorEastAsia"/>
                <w:b/>
                <w:color w:val="auto"/>
                <w:sz w:val="24"/>
              </w:rPr>
            </w:pPr>
          </w:p>
          <w:p w14:paraId="0265077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eastAsiaTheme="minorEastAsia"/>
                <w:b/>
                <w:color w:val="auto"/>
                <w:sz w:val="24"/>
              </w:rPr>
            </w:pPr>
          </w:p>
          <w:p w14:paraId="27377E8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eastAsiaTheme="minorEastAsia"/>
                <w:b/>
                <w:color w:val="auto"/>
                <w:sz w:val="24"/>
              </w:rPr>
            </w:pPr>
          </w:p>
          <w:p w14:paraId="0059E6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eastAsiaTheme="minorEastAsia"/>
                <w:b/>
                <w:color w:val="auto"/>
                <w:sz w:val="24"/>
              </w:rPr>
            </w:pPr>
          </w:p>
          <w:p w14:paraId="5991E4A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eastAsiaTheme="minorEastAsia"/>
                <w:b/>
                <w:color w:val="auto"/>
                <w:sz w:val="24"/>
              </w:rPr>
            </w:pPr>
          </w:p>
          <w:p w14:paraId="3044745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eastAsiaTheme="minorEastAsia"/>
                <w:b/>
                <w:color w:val="auto"/>
                <w:sz w:val="24"/>
              </w:rPr>
            </w:pPr>
          </w:p>
          <w:p w14:paraId="6A5A6383">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cs="Times New Roman" w:eastAsiaTheme="minorEastAsia"/>
                <w:b/>
                <w:color w:val="auto"/>
                <w:sz w:val="24"/>
                <w:lang w:eastAsia="zh-CN"/>
              </w:rPr>
            </w:pPr>
          </w:p>
        </w:tc>
      </w:tr>
      <w:tr w14:paraId="4320EC3B">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9367" w:hRule="atLeast"/>
          <w:jc w:val="center"/>
        </w:trPr>
        <w:tc>
          <w:tcPr>
            <w:tcW w:w="9071" w:type="dxa"/>
            <w:tcBorders>
              <w:tl2br w:val="nil"/>
              <w:tr2bl w:val="nil"/>
            </w:tcBorders>
            <w:vAlign w:val="top"/>
          </w:tcPr>
          <w:p w14:paraId="045EA4F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Times New Roman" w:hAnsi="Times New Roman" w:cs="Times New Roman"/>
                <w:b/>
                <w:color w:val="auto"/>
                <w:sz w:val="30"/>
                <w:szCs w:val="30"/>
              </w:rPr>
            </w:pPr>
            <w:r>
              <w:rPr>
                <w:rFonts w:ascii="Times New Roman" w:hAnsi="Times New Roman" w:cs="Times New Roman"/>
                <w:b/>
                <w:color w:val="auto"/>
                <w:sz w:val="30"/>
                <w:szCs w:val="30"/>
              </w:rPr>
              <w:t>主要环境保护目标（列出名单及保护级别）：</w:t>
            </w:r>
          </w:p>
          <w:p w14:paraId="2128D209">
            <w:pPr>
              <w:autoSpaceDE w:val="0"/>
              <w:autoSpaceDN w:val="0"/>
              <w:adjustRightInd w:val="0"/>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本项目主要保护目标如下：</w:t>
            </w:r>
          </w:p>
          <w:p w14:paraId="3AE7CE1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0"/>
              <w:textAlignment w:val="auto"/>
              <w:outlineLvl w:val="9"/>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1、环境空气保护目标</w:t>
            </w:r>
          </w:p>
          <w:p w14:paraId="30C4F62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0"/>
              <w:textAlignment w:val="auto"/>
              <w:outlineLvl w:val="9"/>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区域环境空气质量应符合《环境空气质量标准》（GB3095-2012）中二级标准。</w:t>
            </w:r>
          </w:p>
          <w:p w14:paraId="3F5808CF">
            <w:pPr>
              <w:keepNext w:val="0"/>
              <w:keepLines w:val="0"/>
              <w:pageBreakBefore w:val="0"/>
              <w:widowControl w:val="0"/>
              <w:kinsoku/>
              <w:wordWrap/>
              <w:overflowPunct/>
              <w:topLinePunct w:val="0"/>
              <w:bidi w:val="0"/>
              <w:adjustRightInd/>
              <w:snapToGrid/>
              <w:spacing w:line="360" w:lineRule="auto"/>
              <w:ind w:left="0" w:leftChars="0" w:right="0" w:rightChars="0" w:firstLine="480" w:firstLineChars="200"/>
              <w:textAlignment w:val="auto"/>
              <w:outlineLvl w:val="9"/>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2、水环境保护目标</w:t>
            </w:r>
          </w:p>
          <w:p w14:paraId="6D004DC0">
            <w:pPr>
              <w:keepNext w:val="0"/>
              <w:keepLines w:val="0"/>
              <w:pageBreakBefore w:val="0"/>
              <w:widowControl w:val="0"/>
              <w:kinsoku/>
              <w:wordWrap/>
              <w:overflowPunct/>
              <w:topLinePunct w:val="0"/>
              <w:bidi w:val="0"/>
              <w:adjustRightInd/>
              <w:snapToGrid/>
              <w:spacing w:line="360" w:lineRule="auto"/>
              <w:ind w:left="0" w:leftChars="0" w:right="0" w:rightChars="0" w:firstLine="468" w:firstLineChars="200"/>
              <w:textAlignment w:val="auto"/>
              <w:outlineLvl w:val="9"/>
              <w:rPr>
                <w:rFonts w:hint="default" w:ascii="Times New Roman" w:hAnsi="Times New Roman" w:eastAsia="宋体" w:cs="Times New Roman"/>
                <w:color w:val="auto"/>
                <w:spacing w:val="-3"/>
                <w:sz w:val="24"/>
                <w:szCs w:val="24"/>
                <w:lang w:val="zh-CN"/>
              </w:rPr>
            </w:pPr>
            <w:r>
              <w:rPr>
                <w:rFonts w:hint="default" w:ascii="Times New Roman" w:hAnsi="Times New Roman" w:eastAsia="宋体" w:cs="Times New Roman"/>
                <w:color w:val="auto"/>
                <w:spacing w:val="-3"/>
                <w:sz w:val="24"/>
              </w:rPr>
              <w:t>受纳水体长江葛店段应符合</w:t>
            </w:r>
            <w:r>
              <w:rPr>
                <w:rFonts w:hint="default" w:ascii="Times New Roman" w:hAnsi="Times New Roman" w:eastAsia="宋体" w:cs="Times New Roman"/>
                <w:color w:val="auto"/>
                <w:spacing w:val="-3"/>
                <w:sz w:val="24"/>
                <w:szCs w:val="24"/>
                <w:lang w:val="zh-CN"/>
              </w:rPr>
              <w:t>《地表水环境质量标准》（</w:t>
            </w:r>
            <w:r>
              <w:rPr>
                <w:rFonts w:hint="default" w:ascii="Times New Roman" w:hAnsi="Times New Roman" w:eastAsia="宋体" w:cs="Times New Roman"/>
                <w:color w:val="auto"/>
                <w:spacing w:val="-3"/>
                <w:sz w:val="24"/>
                <w:szCs w:val="24"/>
              </w:rPr>
              <w:t>GB3838-2002</w:t>
            </w:r>
            <w:r>
              <w:rPr>
                <w:rFonts w:hint="default" w:ascii="Times New Roman" w:hAnsi="Times New Roman" w:eastAsia="宋体" w:cs="Times New Roman"/>
                <w:color w:val="auto"/>
                <w:spacing w:val="-3"/>
                <w:sz w:val="24"/>
                <w:szCs w:val="24"/>
                <w:lang w:val="zh-CN"/>
              </w:rPr>
              <w:t>）中</w:t>
            </w:r>
            <w:r>
              <w:rPr>
                <w:rFonts w:hint="default" w:ascii="Times New Roman" w:hAnsi="Times New Roman" w:eastAsia="宋体" w:cs="Times New Roman"/>
                <w:color w:val="auto"/>
                <w:spacing w:val="-3"/>
                <w:sz w:val="24"/>
              </w:rPr>
              <w:t>Ⅲ</w:t>
            </w:r>
            <w:r>
              <w:rPr>
                <w:rFonts w:hint="default" w:ascii="Times New Roman" w:hAnsi="Times New Roman" w:eastAsia="宋体" w:cs="Times New Roman"/>
                <w:color w:val="auto"/>
                <w:spacing w:val="-3"/>
                <w:sz w:val="24"/>
                <w:szCs w:val="24"/>
                <w:lang w:val="zh-CN"/>
              </w:rPr>
              <w:t>类标准。</w:t>
            </w:r>
          </w:p>
          <w:p w14:paraId="1C5CD2F7">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2"/>
              <w:textAlignment w:val="auto"/>
              <w:outlineLvl w:val="9"/>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3、声环境保护目标</w:t>
            </w:r>
          </w:p>
          <w:p w14:paraId="5F290A7B">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Cs w:val="24"/>
              </w:rPr>
            </w:pPr>
            <w:r>
              <w:rPr>
                <w:rFonts w:hint="default" w:ascii="Times New Roman" w:hAnsi="Times New Roman" w:eastAsia="宋体" w:cs="Times New Roman"/>
                <w:color w:val="auto"/>
                <w:sz w:val="24"/>
                <w:szCs w:val="24"/>
                <w:lang w:val="zh-CN"/>
              </w:rPr>
              <w:t>区域噪声应符合功能区划《声环境质量标准》（GB3096-2008）</w:t>
            </w:r>
            <w:r>
              <w:rPr>
                <w:rFonts w:hint="default" w:ascii="Times New Roman" w:hAnsi="Times New Roman" w:eastAsia="宋体" w:cs="Times New Roman"/>
                <w:color w:val="auto"/>
                <w:sz w:val="24"/>
                <w:szCs w:val="24"/>
              </w:rPr>
              <w:t>2</w:t>
            </w:r>
            <w:r>
              <w:rPr>
                <w:rFonts w:hint="default" w:ascii="Times New Roman" w:hAnsi="Times New Roman" w:eastAsia="宋体" w:cs="Times New Roman"/>
                <w:color w:val="auto"/>
                <w:sz w:val="24"/>
                <w:szCs w:val="24"/>
                <w:lang w:val="zh-CN"/>
              </w:rPr>
              <w:t>类标准</w:t>
            </w:r>
            <w:r>
              <w:rPr>
                <w:rFonts w:hint="eastAsia"/>
                <w:color w:val="auto"/>
                <w:kern w:val="0"/>
                <w:sz w:val="24"/>
                <w:lang w:eastAsia="zh-CN"/>
              </w:rPr>
              <w:t>。</w:t>
            </w:r>
          </w:p>
          <w:p w14:paraId="69895391">
            <w:pPr>
              <w:keepNext w:val="0"/>
              <w:keepLines w:val="0"/>
              <w:pageBreakBefore w:val="0"/>
              <w:widowControl w:val="0"/>
              <w:kinsoku/>
              <w:wordWrap/>
              <w:overflowPunct/>
              <w:topLinePunct w:val="0"/>
              <w:bidi w:val="0"/>
              <w:adjustRightInd/>
              <w:snapToGrid/>
              <w:spacing w:line="360" w:lineRule="auto"/>
              <w:ind w:left="0" w:leftChars="0" w:right="0" w:rightChars="0" w:firstLine="482"/>
              <w:textAlignment w:val="auto"/>
              <w:outlineLvl w:val="9"/>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4、环境敏感点</w:t>
            </w:r>
          </w:p>
          <w:p w14:paraId="7B3FC155">
            <w:pPr>
              <w:keepNext w:val="0"/>
              <w:keepLines w:val="0"/>
              <w:pageBreakBefore w:val="0"/>
              <w:widowControl w:val="0"/>
              <w:tabs>
                <w:tab w:val="left" w:pos="7215"/>
              </w:tabs>
              <w:kinsoku/>
              <w:wordWrap/>
              <w:overflowPunct/>
              <w:topLinePunct w:val="0"/>
              <w:bidi w:val="0"/>
              <w:adjustRightInd/>
              <w:snapToGrid/>
              <w:spacing w:line="360" w:lineRule="auto"/>
              <w:ind w:left="0" w:leftChars="0" w:right="0" w:rightChars="0" w:firstLine="482"/>
              <w:textAlignment w:val="auto"/>
              <w:outlineLvl w:val="9"/>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本项目周边</w:t>
            </w:r>
            <w:r>
              <w:rPr>
                <w:rFonts w:hint="default" w:ascii="Times New Roman" w:hAnsi="Times New Roman" w:eastAsia="宋体" w:cs="Times New Roman"/>
                <w:color w:val="auto"/>
                <w:sz w:val="24"/>
                <w:szCs w:val="24"/>
              </w:rPr>
              <w:t>环境敏感点如表</w:t>
            </w:r>
            <w:r>
              <w:rPr>
                <w:rFonts w:hint="eastAsia" w:ascii="Times New Roman" w:hAnsi="Times New Roman" w:eastAsia="宋体" w:cs="Times New Roman"/>
                <w:color w:val="auto"/>
                <w:sz w:val="24"/>
                <w:szCs w:val="24"/>
                <w:lang w:val="en-US" w:eastAsia="zh-CN"/>
              </w:rPr>
              <w:t>3-</w:t>
            </w:r>
            <w:r>
              <w:rPr>
                <w:rFonts w:hint="eastAsia" w:ascii="Times New Roman" w:hAnsi="Times New Roman" w:cs="Times New Roman"/>
                <w:color w:val="auto"/>
                <w:sz w:val="24"/>
                <w:szCs w:val="24"/>
                <w:lang w:val="en-US" w:eastAsia="zh-CN"/>
              </w:rPr>
              <w:t>4</w:t>
            </w:r>
            <w:r>
              <w:rPr>
                <w:rFonts w:hint="default" w:ascii="Times New Roman" w:hAnsi="Times New Roman" w:eastAsia="宋体" w:cs="Times New Roman"/>
                <w:color w:val="auto"/>
                <w:sz w:val="24"/>
                <w:szCs w:val="24"/>
              </w:rPr>
              <w:t>所示</w:t>
            </w:r>
            <w:r>
              <w:rPr>
                <w:rFonts w:hint="default" w:ascii="Times New Roman" w:hAnsi="Times New Roman" w:eastAsia="宋体" w:cs="Times New Roman"/>
                <w:color w:val="auto"/>
                <w:sz w:val="24"/>
                <w:szCs w:val="24"/>
                <w:lang w:val="zh-CN"/>
              </w:rPr>
              <w:t>。</w:t>
            </w:r>
          </w:p>
          <w:p w14:paraId="3AEE3A8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center"/>
              <w:textAlignment w:val="auto"/>
              <w:outlineLvl w:val="9"/>
              <w:rPr>
                <w:rFonts w:hint="default" w:ascii="Times New Roman" w:hAnsi="Times New Roman" w:eastAsia="宋体" w:cs="Times New Roman"/>
                <w:b/>
                <w:bCs/>
                <w:color w:val="auto"/>
                <w:sz w:val="21"/>
                <w:szCs w:val="21"/>
                <w:highlight w:val="none"/>
                <w:lang w:val="zh-CN"/>
              </w:rPr>
            </w:pPr>
            <w:r>
              <w:rPr>
                <w:rFonts w:hint="default" w:ascii="Times New Roman" w:hAnsi="Times New Roman" w:eastAsia="宋体" w:cs="Times New Roman"/>
                <w:b/>
                <w:bCs/>
                <w:color w:val="auto"/>
                <w:sz w:val="21"/>
                <w:szCs w:val="21"/>
                <w:highlight w:val="none"/>
                <w:lang w:val="zh-CN"/>
              </w:rPr>
              <w:t>表3-</w:t>
            </w:r>
            <w:r>
              <w:rPr>
                <w:rFonts w:hint="eastAsia" w:ascii="Times New Roman" w:hAnsi="Times New Roman" w:cs="Times New Roman"/>
                <w:b/>
                <w:bCs/>
                <w:color w:val="auto"/>
                <w:sz w:val="21"/>
                <w:szCs w:val="21"/>
                <w:highlight w:val="none"/>
                <w:lang w:val="en-US" w:eastAsia="zh-CN"/>
              </w:rPr>
              <w:t>4</w:t>
            </w:r>
            <w:r>
              <w:rPr>
                <w:rFonts w:hint="default" w:ascii="Times New Roman" w:hAnsi="Times New Roman" w:eastAsia="宋体" w:cs="Times New Roman"/>
                <w:b/>
                <w:bCs/>
                <w:color w:val="auto"/>
                <w:sz w:val="21"/>
                <w:szCs w:val="21"/>
                <w:highlight w:val="none"/>
                <w:lang w:val="zh-CN"/>
              </w:rPr>
              <w:t xml:space="preserve"> </w:t>
            </w:r>
            <w:r>
              <w:rPr>
                <w:rFonts w:hint="eastAsia" w:ascii="Times New Roman" w:hAnsi="Times New Roman"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lang w:val="zh-CN"/>
              </w:rPr>
              <w:t>项目环境敏感保护目标</w:t>
            </w:r>
          </w:p>
          <w:tbl>
            <w:tblPr>
              <w:tblStyle w:val="15"/>
              <w:tblW w:w="8504" w:type="dxa"/>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546"/>
              <w:gridCol w:w="2208"/>
              <w:gridCol w:w="864"/>
              <w:gridCol w:w="1296"/>
              <w:gridCol w:w="1476"/>
              <w:gridCol w:w="2114"/>
            </w:tblGrid>
            <w:tr w14:paraId="654F56A0">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546" w:type="dxa"/>
                  <w:tcBorders>
                    <w:tl2br w:val="nil"/>
                    <w:tr2bl w:val="nil"/>
                  </w:tcBorders>
                  <w:vAlign w:val="center"/>
                </w:tcPr>
                <w:p w14:paraId="5F438AE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序号</w:t>
                  </w:r>
                </w:p>
              </w:tc>
              <w:tc>
                <w:tcPr>
                  <w:tcW w:w="2208" w:type="dxa"/>
                  <w:tcBorders>
                    <w:tl2br w:val="nil"/>
                    <w:tr2bl w:val="nil"/>
                  </w:tcBorders>
                  <w:vAlign w:val="center"/>
                </w:tcPr>
                <w:p w14:paraId="04E160E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lang w:eastAsia="zh-CN"/>
                    </w:rPr>
                    <w:t>保护对象</w:t>
                  </w:r>
                </w:p>
              </w:tc>
              <w:tc>
                <w:tcPr>
                  <w:tcW w:w="864" w:type="dxa"/>
                  <w:tcBorders>
                    <w:tl2br w:val="nil"/>
                    <w:tr2bl w:val="nil"/>
                  </w:tcBorders>
                  <w:vAlign w:val="center"/>
                </w:tcPr>
                <w:p w14:paraId="6282605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方位</w:t>
                  </w:r>
                </w:p>
              </w:tc>
              <w:tc>
                <w:tcPr>
                  <w:tcW w:w="1296" w:type="dxa"/>
                  <w:tcBorders>
                    <w:tl2br w:val="nil"/>
                    <w:tr2bl w:val="nil"/>
                  </w:tcBorders>
                  <w:vAlign w:val="center"/>
                </w:tcPr>
                <w:p w14:paraId="5F75E95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性质</w:t>
                  </w:r>
                </w:p>
              </w:tc>
              <w:tc>
                <w:tcPr>
                  <w:tcW w:w="1476" w:type="dxa"/>
                  <w:tcBorders>
                    <w:tl2br w:val="nil"/>
                    <w:tr2bl w:val="nil"/>
                  </w:tcBorders>
                  <w:vAlign w:val="center"/>
                </w:tcPr>
                <w:p w14:paraId="6F69FDA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Cs w:val="21"/>
                      <w:highlight w:val="none"/>
                      <w:lang w:eastAsia="zh-CN"/>
                    </w:rPr>
                  </w:pPr>
                  <w:r>
                    <w:rPr>
                      <w:rFonts w:hint="eastAsia" w:ascii="Times New Roman" w:hAnsi="Times New Roman" w:cs="Times New Roman"/>
                      <w:color w:val="auto"/>
                      <w:szCs w:val="21"/>
                      <w:highlight w:val="none"/>
                      <w:lang w:eastAsia="zh-CN"/>
                    </w:rPr>
                    <w:t>本项目净用</w:t>
                  </w:r>
                </w:p>
                <w:p w14:paraId="1ED017B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Cs w:val="21"/>
                      <w:highlight w:val="none"/>
                      <w:lang w:eastAsia="zh-CN"/>
                    </w:rPr>
                  </w:pPr>
                  <w:r>
                    <w:rPr>
                      <w:rFonts w:hint="eastAsia" w:ascii="Times New Roman" w:hAnsi="Times New Roman" w:cs="Times New Roman"/>
                      <w:color w:val="auto"/>
                      <w:szCs w:val="21"/>
                      <w:highlight w:val="none"/>
                      <w:lang w:eastAsia="zh-CN"/>
                    </w:rPr>
                    <w:t>地界线至</w:t>
                  </w:r>
                </w:p>
                <w:p w14:paraId="5C2B887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Cs w:val="21"/>
                      <w:highlight w:val="none"/>
                      <w:lang w:eastAsia="zh-CN"/>
                    </w:rPr>
                  </w:pPr>
                  <w:r>
                    <w:rPr>
                      <w:rFonts w:hint="eastAsia" w:ascii="Times New Roman" w:hAnsi="Times New Roman" w:cs="Times New Roman"/>
                      <w:color w:val="auto"/>
                      <w:szCs w:val="21"/>
                      <w:highlight w:val="none"/>
                      <w:lang w:eastAsia="zh-CN"/>
                    </w:rPr>
                    <w:t>敏感区边界</w:t>
                  </w:r>
                </w:p>
                <w:p w14:paraId="2B95193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lang w:eastAsia="zh-CN"/>
                    </w:rPr>
                    <w:t>最近直线距离</w:t>
                  </w:r>
                </w:p>
              </w:tc>
              <w:tc>
                <w:tcPr>
                  <w:tcW w:w="2114" w:type="dxa"/>
                  <w:tcBorders>
                    <w:tl2br w:val="nil"/>
                    <w:tr2bl w:val="nil"/>
                  </w:tcBorders>
                  <w:vAlign w:val="center"/>
                </w:tcPr>
                <w:p w14:paraId="6548C6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Cs w:val="21"/>
                      <w:highlight w:val="none"/>
                      <w:lang w:eastAsia="zh-CN"/>
                    </w:rPr>
                  </w:pPr>
                  <w:r>
                    <w:rPr>
                      <w:rFonts w:hint="eastAsia" w:cs="Times New Roman"/>
                      <w:color w:val="auto"/>
                      <w:szCs w:val="21"/>
                      <w:highlight w:val="none"/>
                      <w:lang w:eastAsia="zh-CN"/>
                    </w:rPr>
                    <w:t>保护等级</w:t>
                  </w:r>
                </w:p>
              </w:tc>
            </w:tr>
            <w:tr w14:paraId="2BA811E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546" w:type="dxa"/>
                  <w:tcBorders>
                    <w:tl2br w:val="nil"/>
                    <w:tr2bl w:val="nil"/>
                  </w:tcBorders>
                  <w:vAlign w:val="center"/>
                </w:tcPr>
                <w:p w14:paraId="00F2D96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1</w:t>
                  </w:r>
                </w:p>
              </w:tc>
              <w:tc>
                <w:tcPr>
                  <w:tcW w:w="2208" w:type="dxa"/>
                  <w:tcBorders>
                    <w:tl2br w:val="nil"/>
                    <w:tr2bl w:val="nil"/>
                  </w:tcBorders>
                  <w:vAlign w:val="center"/>
                </w:tcPr>
                <w:p w14:paraId="05AC58D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维纳阳光小区</w:t>
                  </w:r>
                  <w:r>
                    <w:rPr>
                      <w:rFonts w:hint="eastAsia" w:ascii="Times New Roman" w:hAnsi="Times New Roman" w:cs="Times New Roman"/>
                      <w:color w:val="auto"/>
                      <w:szCs w:val="21"/>
                      <w:highlight w:val="none"/>
                      <w:lang w:eastAsia="zh-CN"/>
                    </w:rPr>
                    <w:t>住宅楼</w:t>
                  </w:r>
                </w:p>
              </w:tc>
              <w:tc>
                <w:tcPr>
                  <w:tcW w:w="864" w:type="dxa"/>
                  <w:tcBorders>
                    <w:tl2br w:val="nil"/>
                    <w:tr2bl w:val="nil"/>
                  </w:tcBorders>
                  <w:vAlign w:val="center"/>
                </w:tcPr>
                <w:p w14:paraId="209BCD1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东</w:t>
                  </w:r>
                </w:p>
              </w:tc>
              <w:tc>
                <w:tcPr>
                  <w:tcW w:w="1296" w:type="dxa"/>
                  <w:tcBorders>
                    <w:tl2br w:val="nil"/>
                    <w:tr2bl w:val="nil"/>
                  </w:tcBorders>
                  <w:vAlign w:val="center"/>
                </w:tcPr>
                <w:p w14:paraId="1D5F55C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居民区</w:t>
                  </w:r>
                </w:p>
              </w:tc>
              <w:tc>
                <w:tcPr>
                  <w:tcW w:w="1476" w:type="dxa"/>
                  <w:tcBorders>
                    <w:tl2br w:val="nil"/>
                    <w:tr2bl w:val="nil"/>
                  </w:tcBorders>
                  <w:vAlign w:val="center"/>
                </w:tcPr>
                <w:p w14:paraId="0ACC0DB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hint="eastAsia" w:cs="Times New Roman"/>
                      <w:color w:val="auto"/>
                      <w:szCs w:val="21"/>
                      <w:highlight w:val="none"/>
                      <w:lang w:val="en-US" w:eastAsia="zh-CN"/>
                    </w:rPr>
                    <w:t>5</w:t>
                  </w:r>
                  <w:r>
                    <w:rPr>
                      <w:rFonts w:ascii="Times New Roman" w:hAnsi="Times New Roman" w:cs="Times New Roman"/>
                      <w:color w:val="auto"/>
                      <w:szCs w:val="21"/>
                      <w:highlight w:val="none"/>
                    </w:rPr>
                    <w:t>m</w:t>
                  </w:r>
                </w:p>
              </w:tc>
              <w:tc>
                <w:tcPr>
                  <w:tcW w:w="2114" w:type="dxa"/>
                  <w:vMerge w:val="restart"/>
                  <w:tcBorders>
                    <w:tl2br w:val="nil"/>
                    <w:tr2bl w:val="nil"/>
                  </w:tcBorders>
                  <w:vAlign w:val="center"/>
                </w:tcPr>
                <w:p w14:paraId="752EEEFF">
                  <w:pPr>
                    <w:keepNext w:val="0"/>
                    <w:keepLines w:val="0"/>
                    <w:pageBreakBefore w:val="0"/>
                    <w:widowControl/>
                    <w:kinsoku/>
                    <w:wordWrap/>
                    <w:overflowPunct/>
                    <w:topLinePunct w:val="0"/>
                    <w:autoSpaceDE/>
                    <w:autoSpaceDN/>
                    <w:bidi w:val="0"/>
                    <w:adjustRightInd/>
                    <w:snapToGrid/>
                    <w:spacing w:line="240" w:lineRule="auto"/>
                    <w:ind w:right="0" w:right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pacing w:val="-9"/>
                      <w:sz w:val="21"/>
                      <w:szCs w:val="21"/>
                      <w:highlight w:val="none"/>
                      <w:lang w:eastAsia="zh-CN"/>
                    </w:rPr>
                    <w:t>环境空气应满足</w:t>
                  </w:r>
                  <w:r>
                    <w:rPr>
                      <w:rFonts w:hint="default" w:ascii="Times New Roman" w:hAnsi="Times New Roman" w:eastAsia="宋体" w:cs="Times New Roman"/>
                      <w:color w:val="auto"/>
                      <w:spacing w:val="-9"/>
                      <w:sz w:val="21"/>
                      <w:szCs w:val="21"/>
                      <w:highlight w:val="none"/>
                      <w:lang w:val="zh-CN"/>
                    </w:rPr>
                    <w:t>《环境空气质量标准》（GB3095-2012）中二级标准</w:t>
                  </w:r>
                  <w:r>
                    <w:rPr>
                      <w:rFonts w:hint="eastAsia" w:cs="Times New Roman"/>
                      <w:color w:val="auto"/>
                      <w:spacing w:val="-9"/>
                      <w:sz w:val="21"/>
                      <w:szCs w:val="21"/>
                      <w:highlight w:val="none"/>
                      <w:lang w:val="zh-CN"/>
                    </w:rPr>
                    <w:t>；环境噪声应满足</w:t>
                  </w:r>
                  <w:r>
                    <w:rPr>
                      <w:rFonts w:hint="default" w:ascii="Times New Roman" w:hAnsi="Times New Roman" w:eastAsia="宋体" w:cs="Times New Roman"/>
                      <w:color w:val="auto"/>
                      <w:spacing w:val="-9"/>
                      <w:sz w:val="21"/>
                      <w:szCs w:val="21"/>
                      <w:highlight w:val="none"/>
                      <w:lang w:val="zh-CN"/>
                    </w:rPr>
                    <w:t>《声环境质量标准》（GB3096-2008）</w:t>
                  </w:r>
                  <w:r>
                    <w:rPr>
                      <w:rFonts w:hint="default" w:ascii="Times New Roman" w:hAnsi="Times New Roman" w:eastAsia="宋体" w:cs="Times New Roman"/>
                      <w:color w:val="auto"/>
                      <w:spacing w:val="-9"/>
                      <w:sz w:val="21"/>
                      <w:szCs w:val="21"/>
                      <w:highlight w:val="none"/>
                    </w:rPr>
                    <w:t>2</w:t>
                  </w:r>
                  <w:r>
                    <w:rPr>
                      <w:rFonts w:hint="default" w:ascii="Times New Roman" w:hAnsi="Times New Roman" w:eastAsia="宋体" w:cs="Times New Roman"/>
                      <w:color w:val="auto"/>
                      <w:spacing w:val="-9"/>
                      <w:sz w:val="21"/>
                      <w:szCs w:val="21"/>
                      <w:highlight w:val="none"/>
                      <w:lang w:val="zh-CN"/>
                    </w:rPr>
                    <w:t>类标准</w:t>
                  </w:r>
                </w:p>
              </w:tc>
            </w:tr>
            <w:tr w14:paraId="37BAE3C1">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546" w:type="dxa"/>
                  <w:tcBorders>
                    <w:tl2br w:val="nil"/>
                    <w:tr2bl w:val="nil"/>
                  </w:tcBorders>
                  <w:vAlign w:val="center"/>
                </w:tcPr>
                <w:p w14:paraId="5A8E82A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2</w:t>
                  </w:r>
                </w:p>
              </w:tc>
              <w:tc>
                <w:tcPr>
                  <w:tcW w:w="2208" w:type="dxa"/>
                  <w:tcBorders>
                    <w:tl2br w:val="nil"/>
                    <w:tr2bl w:val="nil"/>
                  </w:tcBorders>
                  <w:vAlign w:val="center"/>
                </w:tcPr>
                <w:p w14:paraId="1A375AE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光谷鑫城小区住宅楼</w:t>
                  </w:r>
                </w:p>
              </w:tc>
              <w:tc>
                <w:tcPr>
                  <w:tcW w:w="864" w:type="dxa"/>
                  <w:tcBorders>
                    <w:tl2br w:val="nil"/>
                    <w:tr2bl w:val="nil"/>
                  </w:tcBorders>
                  <w:vAlign w:val="center"/>
                </w:tcPr>
                <w:p w14:paraId="7949ADE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lang w:eastAsia="zh-CN"/>
                    </w:rPr>
                    <w:t>西</w:t>
                  </w:r>
                </w:p>
              </w:tc>
              <w:tc>
                <w:tcPr>
                  <w:tcW w:w="1296" w:type="dxa"/>
                  <w:tcBorders>
                    <w:tl2br w:val="nil"/>
                    <w:tr2bl w:val="nil"/>
                  </w:tcBorders>
                  <w:vAlign w:val="center"/>
                </w:tcPr>
                <w:p w14:paraId="1F394D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ascii="Times New Roman" w:hAnsi="Times New Roman" w:cs="Times New Roman"/>
                      <w:color w:val="auto"/>
                      <w:szCs w:val="21"/>
                      <w:highlight w:val="none"/>
                      <w:lang w:eastAsia="zh-CN"/>
                    </w:rPr>
                    <w:t>政府办公楼</w:t>
                  </w:r>
                </w:p>
              </w:tc>
              <w:tc>
                <w:tcPr>
                  <w:tcW w:w="1476" w:type="dxa"/>
                  <w:tcBorders>
                    <w:tl2br w:val="nil"/>
                    <w:tr2bl w:val="nil"/>
                  </w:tcBorders>
                  <w:vAlign w:val="center"/>
                </w:tcPr>
                <w:p w14:paraId="1276F19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10</w:t>
                  </w:r>
                  <w:r>
                    <w:rPr>
                      <w:rFonts w:ascii="Times New Roman" w:hAnsi="Times New Roman" w:cs="Times New Roman"/>
                      <w:color w:val="auto"/>
                      <w:szCs w:val="21"/>
                      <w:highlight w:val="none"/>
                    </w:rPr>
                    <w:t>m</w:t>
                  </w:r>
                </w:p>
              </w:tc>
              <w:tc>
                <w:tcPr>
                  <w:tcW w:w="2114" w:type="dxa"/>
                  <w:vMerge w:val="continue"/>
                  <w:tcBorders>
                    <w:tl2br w:val="nil"/>
                    <w:tr2bl w:val="nil"/>
                  </w:tcBorders>
                  <w:vAlign w:val="center"/>
                </w:tcPr>
                <w:p w14:paraId="272EBC2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p>
              </w:tc>
            </w:tr>
            <w:tr w14:paraId="6E1BFD82">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546" w:type="dxa"/>
                  <w:tcBorders>
                    <w:tl2br w:val="nil"/>
                    <w:tr2bl w:val="nil"/>
                  </w:tcBorders>
                  <w:vAlign w:val="center"/>
                </w:tcPr>
                <w:p w14:paraId="2001C1D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val="en-US" w:eastAsia="zh-CN"/>
                    </w:rPr>
                  </w:pPr>
                  <w:r>
                    <w:rPr>
                      <w:rFonts w:hint="eastAsia" w:cs="Times New Roman" w:eastAsiaTheme="minorEastAsia"/>
                      <w:color w:val="auto"/>
                      <w:szCs w:val="21"/>
                      <w:highlight w:val="none"/>
                      <w:lang w:val="en-US" w:eastAsia="zh-CN"/>
                    </w:rPr>
                    <w:t>3</w:t>
                  </w:r>
                </w:p>
              </w:tc>
              <w:tc>
                <w:tcPr>
                  <w:tcW w:w="2208" w:type="dxa"/>
                  <w:tcBorders>
                    <w:tl2br w:val="nil"/>
                    <w:tr2bl w:val="nil"/>
                  </w:tcBorders>
                  <w:vAlign w:val="center"/>
                </w:tcPr>
                <w:p w14:paraId="6687DDB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上魏村</w:t>
                  </w:r>
                </w:p>
              </w:tc>
              <w:tc>
                <w:tcPr>
                  <w:tcW w:w="864" w:type="dxa"/>
                  <w:tcBorders>
                    <w:tl2br w:val="nil"/>
                    <w:tr2bl w:val="nil"/>
                  </w:tcBorders>
                  <w:vAlign w:val="center"/>
                </w:tcPr>
                <w:p w14:paraId="3E36DE1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eastAsiaTheme="minorEastAsia"/>
                      <w:color w:val="auto"/>
                      <w:szCs w:val="21"/>
                      <w:highlight w:val="none"/>
                      <w:lang w:eastAsia="zh-CN"/>
                    </w:rPr>
                    <w:t>西北</w:t>
                  </w:r>
                </w:p>
              </w:tc>
              <w:tc>
                <w:tcPr>
                  <w:tcW w:w="1296" w:type="dxa"/>
                  <w:tcBorders>
                    <w:tl2br w:val="nil"/>
                    <w:tr2bl w:val="nil"/>
                  </w:tcBorders>
                  <w:vAlign w:val="center"/>
                </w:tcPr>
                <w:p w14:paraId="31B718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居民区</w:t>
                  </w:r>
                </w:p>
              </w:tc>
              <w:tc>
                <w:tcPr>
                  <w:tcW w:w="1476" w:type="dxa"/>
                  <w:tcBorders>
                    <w:tl2br w:val="nil"/>
                    <w:tr2bl w:val="nil"/>
                  </w:tcBorders>
                  <w:vAlign w:val="center"/>
                </w:tcPr>
                <w:p w14:paraId="2A29FD9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61m</w:t>
                  </w:r>
                </w:p>
              </w:tc>
              <w:tc>
                <w:tcPr>
                  <w:tcW w:w="2114" w:type="dxa"/>
                  <w:vMerge w:val="continue"/>
                  <w:tcBorders>
                    <w:tl2br w:val="nil"/>
                    <w:tr2bl w:val="nil"/>
                  </w:tcBorders>
                  <w:vAlign w:val="center"/>
                </w:tcPr>
                <w:p w14:paraId="34E3653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p>
              </w:tc>
            </w:tr>
            <w:tr w14:paraId="608AEA6A">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546" w:type="dxa"/>
                  <w:tcBorders>
                    <w:bottom w:val="single" w:color="000000" w:sz="12" w:space="0"/>
                    <w:tl2br w:val="nil"/>
                    <w:tr2bl w:val="nil"/>
                  </w:tcBorders>
                  <w:vAlign w:val="center"/>
                </w:tcPr>
                <w:p w14:paraId="0BD458C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eastAsiaTheme="minorEastAsia"/>
                      <w:color w:val="auto"/>
                      <w:szCs w:val="21"/>
                      <w:highlight w:val="none"/>
                      <w:lang w:val="en-US" w:eastAsia="zh-CN"/>
                    </w:rPr>
                  </w:pPr>
                  <w:r>
                    <w:rPr>
                      <w:rFonts w:hint="eastAsia" w:cs="Times New Roman" w:eastAsiaTheme="minorEastAsia"/>
                      <w:color w:val="auto"/>
                      <w:szCs w:val="21"/>
                      <w:highlight w:val="none"/>
                      <w:lang w:val="en-US" w:eastAsia="zh-CN"/>
                    </w:rPr>
                    <w:t>4</w:t>
                  </w:r>
                </w:p>
              </w:tc>
              <w:tc>
                <w:tcPr>
                  <w:tcW w:w="2208" w:type="dxa"/>
                  <w:tcBorders>
                    <w:bottom w:val="single" w:color="000000" w:sz="12" w:space="0"/>
                    <w:tl2br w:val="nil"/>
                    <w:tr2bl w:val="nil"/>
                  </w:tcBorders>
                  <w:vAlign w:val="center"/>
                </w:tcPr>
                <w:p w14:paraId="358E591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张思村</w:t>
                  </w:r>
                </w:p>
              </w:tc>
              <w:tc>
                <w:tcPr>
                  <w:tcW w:w="864" w:type="dxa"/>
                  <w:tcBorders>
                    <w:bottom w:val="single" w:color="000000" w:sz="12" w:space="0"/>
                    <w:tl2br w:val="nil"/>
                    <w:tr2bl w:val="nil"/>
                  </w:tcBorders>
                  <w:vAlign w:val="center"/>
                </w:tcPr>
                <w:p w14:paraId="78329C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Cs w:val="21"/>
                      <w:highlight w:val="none"/>
                      <w:lang w:eastAsia="zh-CN"/>
                    </w:rPr>
                  </w:pPr>
                  <w:r>
                    <w:rPr>
                      <w:rFonts w:hint="eastAsia" w:ascii="Times New Roman" w:hAnsi="Times New Roman" w:cs="Times New Roman"/>
                      <w:color w:val="auto"/>
                      <w:szCs w:val="21"/>
                      <w:highlight w:val="none"/>
                      <w:lang w:eastAsia="zh-CN"/>
                    </w:rPr>
                    <w:t>北</w:t>
                  </w:r>
                </w:p>
              </w:tc>
              <w:tc>
                <w:tcPr>
                  <w:tcW w:w="1296" w:type="dxa"/>
                  <w:tcBorders>
                    <w:bottom w:val="single" w:color="000000" w:sz="12" w:space="0"/>
                    <w:tl2br w:val="nil"/>
                    <w:tr2bl w:val="nil"/>
                  </w:tcBorders>
                  <w:vAlign w:val="center"/>
                </w:tcPr>
                <w:p w14:paraId="19BD044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Cs w:val="21"/>
                      <w:highlight w:val="none"/>
                      <w:lang w:eastAsia="zh-CN"/>
                    </w:rPr>
                  </w:pPr>
                  <w:r>
                    <w:rPr>
                      <w:rFonts w:hint="eastAsia" w:cs="Times New Roman"/>
                      <w:color w:val="auto"/>
                      <w:szCs w:val="21"/>
                      <w:highlight w:val="none"/>
                      <w:lang w:eastAsia="zh-CN"/>
                    </w:rPr>
                    <w:t>居民区</w:t>
                  </w:r>
                </w:p>
              </w:tc>
              <w:tc>
                <w:tcPr>
                  <w:tcW w:w="1476" w:type="dxa"/>
                  <w:tcBorders>
                    <w:bottom w:val="single" w:color="000000" w:sz="12" w:space="0"/>
                    <w:tl2br w:val="nil"/>
                    <w:tr2bl w:val="nil"/>
                  </w:tcBorders>
                  <w:vAlign w:val="center"/>
                </w:tcPr>
                <w:p w14:paraId="3FB276B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Cs w:val="21"/>
                      <w:highlight w:val="none"/>
                      <w:lang w:val="en-US" w:eastAsia="zh-CN"/>
                    </w:rPr>
                  </w:pPr>
                  <w:r>
                    <w:rPr>
                      <w:rFonts w:hint="eastAsia" w:cs="Times New Roman"/>
                      <w:color w:val="auto"/>
                      <w:szCs w:val="21"/>
                      <w:highlight w:val="none"/>
                      <w:lang w:val="en-US" w:eastAsia="zh-CN"/>
                    </w:rPr>
                    <w:t>404m</w:t>
                  </w:r>
                </w:p>
              </w:tc>
              <w:tc>
                <w:tcPr>
                  <w:tcW w:w="2114" w:type="dxa"/>
                  <w:vMerge w:val="continue"/>
                  <w:tcBorders>
                    <w:bottom w:val="single" w:color="000000" w:sz="12" w:space="0"/>
                    <w:tl2br w:val="nil"/>
                    <w:tr2bl w:val="nil"/>
                  </w:tcBorders>
                  <w:vAlign w:val="center"/>
                </w:tcPr>
                <w:p w14:paraId="65F5DD4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p>
              </w:tc>
            </w:tr>
          </w:tbl>
          <w:p w14:paraId="3800AD96">
            <w:pPr>
              <w:numPr>
                <w:ilvl w:val="0"/>
                <w:numId w:val="0"/>
              </w:numPr>
              <w:rPr>
                <w:rFonts w:hint="eastAsia"/>
                <w:color w:val="auto"/>
                <w:vertAlign w:val="baseline"/>
                <w:lang w:eastAsia="zh-CN"/>
              </w:rPr>
            </w:pPr>
          </w:p>
          <w:p w14:paraId="582A73F7">
            <w:pPr>
              <w:numPr>
                <w:ilvl w:val="0"/>
                <w:numId w:val="0"/>
              </w:numPr>
              <w:rPr>
                <w:rFonts w:hint="eastAsia"/>
                <w:color w:val="auto"/>
                <w:vertAlign w:val="baseline"/>
                <w:lang w:eastAsia="zh-CN"/>
              </w:rPr>
            </w:pPr>
          </w:p>
          <w:p w14:paraId="65B3216F">
            <w:pPr>
              <w:numPr>
                <w:ilvl w:val="0"/>
                <w:numId w:val="0"/>
              </w:numPr>
              <w:rPr>
                <w:rFonts w:hint="eastAsia"/>
                <w:color w:val="auto"/>
                <w:vertAlign w:val="baseline"/>
                <w:lang w:eastAsia="zh-CN"/>
              </w:rPr>
            </w:pPr>
          </w:p>
          <w:p w14:paraId="14A26709">
            <w:pPr>
              <w:numPr>
                <w:ilvl w:val="0"/>
                <w:numId w:val="0"/>
              </w:numPr>
              <w:rPr>
                <w:rFonts w:hint="eastAsia"/>
                <w:color w:val="auto"/>
                <w:vertAlign w:val="baseline"/>
                <w:lang w:eastAsia="zh-CN"/>
              </w:rPr>
            </w:pPr>
          </w:p>
          <w:p w14:paraId="4819731A">
            <w:pPr>
              <w:numPr>
                <w:ilvl w:val="0"/>
                <w:numId w:val="0"/>
              </w:numPr>
              <w:rPr>
                <w:rFonts w:hint="eastAsia"/>
                <w:color w:val="auto"/>
                <w:vertAlign w:val="baseline"/>
                <w:lang w:eastAsia="zh-CN"/>
              </w:rPr>
            </w:pPr>
          </w:p>
          <w:p w14:paraId="50B8E557">
            <w:pPr>
              <w:numPr>
                <w:ilvl w:val="0"/>
                <w:numId w:val="0"/>
              </w:numPr>
              <w:rPr>
                <w:rFonts w:hint="eastAsia"/>
                <w:color w:val="auto"/>
                <w:vertAlign w:val="baseline"/>
                <w:lang w:eastAsia="zh-CN"/>
              </w:rPr>
            </w:pPr>
          </w:p>
          <w:p w14:paraId="20599B06">
            <w:pPr>
              <w:numPr>
                <w:ilvl w:val="0"/>
                <w:numId w:val="0"/>
              </w:numPr>
              <w:rPr>
                <w:rFonts w:hint="eastAsia"/>
                <w:color w:val="auto"/>
                <w:vertAlign w:val="baseline"/>
                <w:lang w:eastAsia="zh-CN"/>
              </w:rPr>
            </w:pPr>
          </w:p>
          <w:p w14:paraId="2D23CE92">
            <w:pPr>
              <w:numPr>
                <w:ilvl w:val="0"/>
                <w:numId w:val="0"/>
              </w:numPr>
              <w:rPr>
                <w:rFonts w:hint="eastAsia"/>
                <w:color w:val="auto"/>
                <w:vertAlign w:val="baseline"/>
                <w:lang w:eastAsia="zh-CN"/>
              </w:rPr>
            </w:pPr>
          </w:p>
          <w:p w14:paraId="6DAF54AA">
            <w:pPr>
              <w:numPr>
                <w:ilvl w:val="0"/>
                <w:numId w:val="0"/>
              </w:numPr>
              <w:rPr>
                <w:rFonts w:hint="eastAsia"/>
                <w:color w:val="auto"/>
                <w:vertAlign w:val="baseline"/>
                <w:lang w:eastAsia="zh-CN"/>
              </w:rPr>
            </w:pPr>
          </w:p>
          <w:p w14:paraId="4D8653C7">
            <w:pPr>
              <w:numPr>
                <w:ilvl w:val="0"/>
                <w:numId w:val="0"/>
              </w:numPr>
              <w:rPr>
                <w:rFonts w:hint="eastAsia"/>
                <w:color w:val="auto"/>
                <w:vertAlign w:val="baseline"/>
                <w:lang w:eastAsia="zh-CN"/>
              </w:rPr>
            </w:pPr>
          </w:p>
          <w:p w14:paraId="05483FD5">
            <w:pPr>
              <w:numPr>
                <w:ilvl w:val="0"/>
                <w:numId w:val="0"/>
              </w:numPr>
              <w:rPr>
                <w:rFonts w:hint="eastAsia"/>
                <w:color w:val="auto"/>
                <w:vertAlign w:val="baseline"/>
                <w:lang w:eastAsia="zh-CN"/>
              </w:rPr>
            </w:pPr>
          </w:p>
          <w:p w14:paraId="47BAE266">
            <w:pPr>
              <w:numPr>
                <w:ilvl w:val="0"/>
                <w:numId w:val="0"/>
              </w:numPr>
              <w:rPr>
                <w:rFonts w:hint="eastAsia"/>
                <w:color w:val="auto"/>
                <w:vertAlign w:val="baseline"/>
                <w:lang w:eastAsia="zh-CN"/>
              </w:rPr>
            </w:pPr>
          </w:p>
          <w:p w14:paraId="36B57896">
            <w:pPr>
              <w:numPr>
                <w:ilvl w:val="0"/>
                <w:numId w:val="0"/>
              </w:numPr>
              <w:rPr>
                <w:rFonts w:hint="eastAsia"/>
                <w:color w:val="auto"/>
                <w:vertAlign w:val="baseline"/>
                <w:lang w:eastAsia="zh-CN"/>
              </w:rPr>
            </w:pPr>
          </w:p>
          <w:p w14:paraId="5582016B">
            <w:pPr>
              <w:numPr>
                <w:ilvl w:val="0"/>
                <w:numId w:val="0"/>
              </w:numPr>
              <w:rPr>
                <w:rFonts w:hint="eastAsia"/>
                <w:color w:val="auto"/>
                <w:vertAlign w:val="baseline"/>
                <w:lang w:eastAsia="zh-CN"/>
              </w:rPr>
            </w:pPr>
          </w:p>
        </w:tc>
      </w:tr>
    </w:tbl>
    <w:p w14:paraId="06FBBAD3">
      <w:pPr>
        <w:pStyle w:val="2"/>
        <w:rPr>
          <w:color w:val="auto"/>
        </w:rPr>
      </w:pPr>
      <w:bookmarkStart w:id="36" w:name="_Toc11191"/>
      <w:bookmarkStart w:id="37" w:name="_Toc16935"/>
      <w:bookmarkStart w:id="38" w:name="_Toc16396"/>
      <w:r>
        <w:rPr>
          <w:rFonts w:hint="eastAsia"/>
          <w:color w:val="auto"/>
          <w:lang w:eastAsia="zh-CN"/>
        </w:rPr>
        <w:t>四、</w:t>
      </w:r>
      <w:r>
        <w:rPr>
          <w:color w:val="auto"/>
        </w:rPr>
        <w:t>评价适用标准</w:t>
      </w:r>
      <w:bookmarkEnd w:id="36"/>
      <w:bookmarkEnd w:id="37"/>
      <w:bookmarkEnd w:id="38"/>
    </w:p>
    <w:tbl>
      <w:tblPr>
        <w:tblStyle w:val="16"/>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Layout w:type="fixed"/>
        <w:tblCellMar>
          <w:top w:w="0" w:type="dxa"/>
          <w:left w:w="108" w:type="dxa"/>
          <w:bottom w:w="0" w:type="dxa"/>
          <w:right w:w="108" w:type="dxa"/>
        </w:tblCellMar>
      </w:tblPr>
      <w:tblGrid>
        <w:gridCol w:w="517"/>
        <w:gridCol w:w="8554"/>
      </w:tblGrid>
      <w:tr w14:paraId="39E03DB8">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108" w:type="dxa"/>
            <w:bottom w:w="0" w:type="dxa"/>
            <w:right w:w="108" w:type="dxa"/>
          </w:tblCellMar>
        </w:tblPrEx>
        <w:trPr>
          <w:trHeight w:val="12833" w:hRule="atLeast"/>
          <w:jc w:val="center"/>
        </w:trPr>
        <w:tc>
          <w:tcPr>
            <w:tcW w:w="517" w:type="dxa"/>
            <w:tcBorders>
              <w:bottom w:val="single" w:color="000000" w:sz="8" w:space="0"/>
              <w:tl2br w:val="nil"/>
              <w:tr2bl w:val="nil"/>
            </w:tcBorders>
            <w:vAlign w:val="center"/>
          </w:tcPr>
          <w:p w14:paraId="06B3D5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4"/>
                <w:szCs w:val="24"/>
                <w:vertAlign w:val="baseline"/>
                <w:lang w:eastAsia="zh-CN"/>
              </w:rPr>
            </w:pPr>
            <w:r>
              <w:rPr>
                <w:rFonts w:hint="eastAsia"/>
                <w:sz w:val="24"/>
                <w:szCs w:val="24"/>
                <w:vertAlign w:val="baseline"/>
                <w:lang w:eastAsia="zh-CN"/>
              </w:rPr>
              <w:t>环</w:t>
            </w:r>
          </w:p>
          <w:p w14:paraId="32E8AA3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4"/>
                <w:szCs w:val="24"/>
                <w:vertAlign w:val="baseline"/>
                <w:lang w:eastAsia="zh-CN"/>
              </w:rPr>
            </w:pPr>
            <w:r>
              <w:rPr>
                <w:rFonts w:hint="eastAsia"/>
                <w:sz w:val="24"/>
                <w:szCs w:val="24"/>
                <w:vertAlign w:val="baseline"/>
                <w:lang w:eastAsia="zh-CN"/>
              </w:rPr>
              <w:t>境</w:t>
            </w:r>
          </w:p>
          <w:p w14:paraId="1EE56D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olor w:val="auto"/>
                <w:vertAlign w:val="baseline"/>
                <w:lang w:eastAsia="zh-CN"/>
              </w:rPr>
            </w:pPr>
            <w:r>
              <w:rPr>
                <w:rFonts w:hint="eastAsia"/>
                <w:sz w:val="24"/>
                <w:szCs w:val="24"/>
                <w:vertAlign w:val="baseline"/>
                <w:lang w:eastAsia="zh-CN"/>
              </w:rPr>
              <w:t>质量标准</w:t>
            </w:r>
          </w:p>
        </w:tc>
        <w:tc>
          <w:tcPr>
            <w:tcW w:w="8554" w:type="dxa"/>
            <w:tcBorders>
              <w:bottom w:val="single" w:color="000000" w:sz="8" w:space="0"/>
              <w:tl2br w:val="nil"/>
              <w:tr2bl w:val="nil"/>
            </w:tcBorders>
            <w:vAlign w:val="center"/>
          </w:tcPr>
          <w:p w14:paraId="013A5E00">
            <w:pPr>
              <w:pStyle w:val="33"/>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宋体" w:cs="Times New Roman"/>
                <w:b/>
                <w:bCs w:val="0"/>
                <w:color w:val="auto"/>
                <w:sz w:val="30"/>
                <w:szCs w:val="30"/>
              </w:rPr>
            </w:pPr>
            <w:r>
              <w:rPr>
                <w:rFonts w:hint="default" w:ascii="Times New Roman" w:hAnsi="Times New Roman" w:eastAsia="宋体" w:cs="Times New Roman"/>
                <w:b/>
                <w:bCs w:val="0"/>
                <w:color w:val="auto"/>
                <w:sz w:val="30"/>
                <w:szCs w:val="30"/>
              </w:rPr>
              <w:t>本次环评执行标准如下：</w:t>
            </w:r>
          </w:p>
          <w:p w14:paraId="23E7CCEB">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eastAsia="宋体" w:cs="Times New Roman"/>
                <w:b/>
                <w:bCs w:val="0"/>
                <w:color w:val="auto"/>
                <w:szCs w:val="24"/>
              </w:rPr>
            </w:pPr>
            <w:r>
              <w:rPr>
                <w:rFonts w:hint="eastAsia" w:ascii="Times New Roman" w:hAnsi="Times New Roman" w:eastAsia="宋体" w:cs="Times New Roman"/>
                <w:b/>
                <w:bCs w:val="0"/>
                <w:color w:val="auto"/>
                <w:szCs w:val="24"/>
                <w:lang w:val="en-US" w:eastAsia="zh-CN"/>
              </w:rPr>
              <w:t>1、</w:t>
            </w:r>
            <w:r>
              <w:rPr>
                <w:rFonts w:hint="default" w:ascii="Times New Roman" w:hAnsi="Times New Roman" w:eastAsia="宋体" w:cs="Times New Roman"/>
                <w:b/>
                <w:bCs w:val="0"/>
                <w:color w:val="auto"/>
                <w:szCs w:val="24"/>
              </w:rPr>
              <w:t>环境空气质量</w:t>
            </w:r>
          </w:p>
          <w:p w14:paraId="4E2AC64E">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bCs/>
                <w:color w:val="auto"/>
              </w:rPr>
            </w:pPr>
            <w:r>
              <w:rPr>
                <w:rFonts w:hint="default" w:ascii="Times New Roman" w:hAnsi="Times New Roman" w:eastAsia="宋体" w:cs="Times New Roman"/>
                <w:bCs/>
                <w:color w:val="auto"/>
              </w:rPr>
              <w:t>项目所在区域环境空气执行《环境空气质量标准》（GB3095-2012）二级标准，具体标准值见表4-1。</w:t>
            </w:r>
          </w:p>
          <w:p w14:paraId="71DCCE11">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表4-1  环境空气污染物基本项目浓度限值</w:t>
            </w:r>
          </w:p>
          <w:tbl>
            <w:tblPr>
              <w:tblStyle w:val="15"/>
              <w:tblW w:w="822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74"/>
              <w:gridCol w:w="2828"/>
              <w:gridCol w:w="1983"/>
              <w:gridCol w:w="1719"/>
              <w:gridCol w:w="816"/>
            </w:tblGrid>
            <w:tr w14:paraId="37A5A07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restart"/>
                  <w:tcBorders>
                    <w:tl2br w:val="nil"/>
                    <w:tr2bl w:val="nil"/>
                  </w:tcBorders>
                  <w:vAlign w:val="center"/>
                </w:tcPr>
                <w:p w14:paraId="48F73A0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序号</w:t>
                  </w:r>
                </w:p>
              </w:tc>
              <w:tc>
                <w:tcPr>
                  <w:tcW w:w="2828" w:type="dxa"/>
                  <w:vMerge w:val="restart"/>
                  <w:tcBorders>
                    <w:tl2br w:val="nil"/>
                    <w:tr2bl w:val="nil"/>
                  </w:tcBorders>
                  <w:vAlign w:val="center"/>
                </w:tcPr>
                <w:p w14:paraId="0E51290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污染物项目</w:t>
                  </w:r>
                </w:p>
              </w:tc>
              <w:tc>
                <w:tcPr>
                  <w:tcW w:w="1983" w:type="dxa"/>
                  <w:vMerge w:val="restart"/>
                  <w:tcBorders>
                    <w:tl2br w:val="nil"/>
                    <w:tr2bl w:val="nil"/>
                  </w:tcBorders>
                  <w:vAlign w:val="center"/>
                </w:tcPr>
                <w:p w14:paraId="2EBEDF6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平均时间</w:t>
                  </w:r>
                </w:p>
              </w:tc>
              <w:tc>
                <w:tcPr>
                  <w:tcW w:w="1719" w:type="dxa"/>
                  <w:tcBorders>
                    <w:tl2br w:val="nil"/>
                    <w:tr2bl w:val="nil"/>
                  </w:tcBorders>
                  <w:vAlign w:val="center"/>
                </w:tcPr>
                <w:p w14:paraId="3647B38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浓度限值</w:t>
                  </w:r>
                </w:p>
              </w:tc>
              <w:tc>
                <w:tcPr>
                  <w:tcW w:w="816" w:type="dxa"/>
                  <w:tcBorders>
                    <w:tl2br w:val="nil"/>
                    <w:tr2bl w:val="nil"/>
                  </w:tcBorders>
                  <w:vAlign w:val="center"/>
                </w:tcPr>
                <w:p w14:paraId="79CEEDB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单位</w:t>
                  </w:r>
                </w:p>
              </w:tc>
            </w:tr>
            <w:tr w14:paraId="18DBBDE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continue"/>
                  <w:tcBorders>
                    <w:tl2br w:val="nil"/>
                    <w:tr2bl w:val="nil"/>
                  </w:tcBorders>
                  <w:vAlign w:val="center"/>
                </w:tcPr>
                <w:p w14:paraId="14E6260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p>
              </w:tc>
              <w:tc>
                <w:tcPr>
                  <w:tcW w:w="2828" w:type="dxa"/>
                  <w:vMerge w:val="continue"/>
                  <w:tcBorders>
                    <w:tl2br w:val="nil"/>
                    <w:tr2bl w:val="nil"/>
                  </w:tcBorders>
                  <w:vAlign w:val="center"/>
                </w:tcPr>
                <w:p w14:paraId="5F2FC24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p>
              </w:tc>
              <w:tc>
                <w:tcPr>
                  <w:tcW w:w="1983" w:type="dxa"/>
                  <w:vMerge w:val="continue"/>
                  <w:tcBorders>
                    <w:tl2br w:val="nil"/>
                    <w:tr2bl w:val="nil"/>
                  </w:tcBorders>
                  <w:vAlign w:val="center"/>
                </w:tcPr>
                <w:p w14:paraId="5EA9572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p>
              </w:tc>
              <w:tc>
                <w:tcPr>
                  <w:tcW w:w="1719" w:type="dxa"/>
                  <w:tcBorders>
                    <w:tl2br w:val="nil"/>
                    <w:tr2bl w:val="nil"/>
                  </w:tcBorders>
                  <w:vAlign w:val="center"/>
                </w:tcPr>
                <w:p w14:paraId="5D3580B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二级</w:t>
                  </w:r>
                </w:p>
              </w:tc>
              <w:tc>
                <w:tcPr>
                  <w:tcW w:w="816" w:type="dxa"/>
                  <w:vMerge w:val="restart"/>
                  <w:tcBorders>
                    <w:tl2br w:val="nil"/>
                    <w:tr2bl w:val="nil"/>
                  </w:tcBorders>
                  <w:vAlign w:val="center"/>
                </w:tcPr>
                <w:p w14:paraId="51F42CE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vertAlign w:val="superscript"/>
                    </w:rPr>
                  </w:pPr>
                  <w:r>
                    <w:rPr>
                      <w:rFonts w:ascii="Times New Roman" w:hAnsi="Times New Roman" w:cs="Times New Roman"/>
                      <w:b w:val="0"/>
                      <w:bCs/>
                      <w:color w:val="auto"/>
                      <w:szCs w:val="21"/>
                    </w:rPr>
                    <w:t>mg/m</w:t>
                  </w:r>
                  <w:r>
                    <w:rPr>
                      <w:rFonts w:ascii="Times New Roman" w:hAnsi="Times New Roman" w:cs="Times New Roman"/>
                      <w:b w:val="0"/>
                      <w:bCs/>
                      <w:color w:val="auto"/>
                      <w:szCs w:val="21"/>
                      <w:vertAlign w:val="superscript"/>
                    </w:rPr>
                    <w:t>3</w:t>
                  </w:r>
                </w:p>
              </w:tc>
            </w:tr>
            <w:tr w14:paraId="6AC64D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restart"/>
                  <w:tcBorders>
                    <w:tl2br w:val="nil"/>
                    <w:tr2bl w:val="nil"/>
                  </w:tcBorders>
                  <w:vAlign w:val="center"/>
                </w:tcPr>
                <w:p w14:paraId="2EE5873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1</w:t>
                  </w:r>
                </w:p>
              </w:tc>
              <w:tc>
                <w:tcPr>
                  <w:tcW w:w="2828" w:type="dxa"/>
                  <w:vMerge w:val="restart"/>
                  <w:tcBorders>
                    <w:tl2br w:val="nil"/>
                    <w:tr2bl w:val="nil"/>
                  </w:tcBorders>
                  <w:vAlign w:val="center"/>
                </w:tcPr>
                <w:p w14:paraId="134872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二氧化硫（SO</w:t>
                  </w:r>
                  <w:r>
                    <w:rPr>
                      <w:rFonts w:ascii="Times New Roman" w:hAnsi="Times New Roman" w:cs="Times New Roman"/>
                      <w:color w:val="auto"/>
                      <w:szCs w:val="21"/>
                      <w:vertAlign w:val="subscript"/>
                    </w:rPr>
                    <w:t>2</w:t>
                  </w:r>
                  <w:r>
                    <w:rPr>
                      <w:rFonts w:ascii="Times New Roman" w:hAnsi="Times New Roman" w:cs="Times New Roman"/>
                      <w:color w:val="auto"/>
                      <w:szCs w:val="21"/>
                    </w:rPr>
                    <w:t>）</w:t>
                  </w:r>
                </w:p>
              </w:tc>
              <w:tc>
                <w:tcPr>
                  <w:tcW w:w="1983" w:type="dxa"/>
                  <w:tcBorders>
                    <w:tl2br w:val="nil"/>
                    <w:tr2bl w:val="nil"/>
                  </w:tcBorders>
                  <w:vAlign w:val="center"/>
                </w:tcPr>
                <w:p w14:paraId="51B99AB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年平均</w:t>
                  </w:r>
                </w:p>
              </w:tc>
              <w:tc>
                <w:tcPr>
                  <w:tcW w:w="1719" w:type="dxa"/>
                  <w:tcBorders>
                    <w:tl2br w:val="nil"/>
                    <w:tr2bl w:val="nil"/>
                  </w:tcBorders>
                  <w:vAlign w:val="center"/>
                </w:tcPr>
                <w:p w14:paraId="00E3D14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0.06</w:t>
                  </w:r>
                </w:p>
              </w:tc>
              <w:tc>
                <w:tcPr>
                  <w:tcW w:w="816" w:type="dxa"/>
                  <w:vMerge w:val="continue"/>
                  <w:tcBorders>
                    <w:tl2br w:val="nil"/>
                    <w:tr2bl w:val="nil"/>
                  </w:tcBorders>
                  <w:vAlign w:val="center"/>
                </w:tcPr>
                <w:p w14:paraId="115FBF7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r w14:paraId="3B0418B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continue"/>
                  <w:tcBorders>
                    <w:tl2br w:val="nil"/>
                    <w:tr2bl w:val="nil"/>
                  </w:tcBorders>
                  <w:vAlign w:val="center"/>
                </w:tcPr>
                <w:p w14:paraId="7BDA258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2828" w:type="dxa"/>
                  <w:vMerge w:val="continue"/>
                  <w:tcBorders>
                    <w:tl2br w:val="nil"/>
                    <w:tr2bl w:val="nil"/>
                  </w:tcBorders>
                  <w:vAlign w:val="center"/>
                </w:tcPr>
                <w:p w14:paraId="56F314D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1983" w:type="dxa"/>
                  <w:tcBorders>
                    <w:tl2br w:val="nil"/>
                    <w:tr2bl w:val="nil"/>
                  </w:tcBorders>
                  <w:vAlign w:val="center"/>
                </w:tcPr>
                <w:p w14:paraId="368714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hint="eastAsia" w:cs="Times New Roman"/>
                      <w:color w:val="auto"/>
                      <w:szCs w:val="21"/>
                      <w:lang w:val="en-US" w:eastAsia="zh-CN"/>
                    </w:rPr>
                    <w:t>24小时</w:t>
                  </w:r>
                  <w:r>
                    <w:rPr>
                      <w:rFonts w:ascii="Times New Roman" w:hAnsi="Times New Roman" w:cs="Times New Roman"/>
                      <w:color w:val="auto"/>
                      <w:szCs w:val="21"/>
                    </w:rPr>
                    <w:t>平均</w:t>
                  </w:r>
                </w:p>
              </w:tc>
              <w:tc>
                <w:tcPr>
                  <w:tcW w:w="1719" w:type="dxa"/>
                  <w:tcBorders>
                    <w:tl2br w:val="nil"/>
                    <w:tr2bl w:val="nil"/>
                  </w:tcBorders>
                  <w:vAlign w:val="center"/>
                </w:tcPr>
                <w:p w14:paraId="4B44A4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0.15</w:t>
                  </w:r>
                </w:p>
              </w:tc>
              <w:tc>
                <w:tcPr>
                  <w:tcW w:w="816" w:type="dxa"/>
                  <w:vMerge w:val="continue"/>
                  <w:tcBorders>
                    <w:tl2br w:val="nil"/>
                    <w:tr2bl w:val="nil"/>
                  </w:tcBorders>
                  <w:vAlign w:val="center"/>
                </w:tcPr>
                <w:p w14:paraId="1EF9B3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r w14:paraId="1B75900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continue"/>
                  <w:tcBorders>
                    <w:tl2br w:val="nil"/>
                    <w:tr2bl w:val="nil"/>
                  </w:tcBorders>
                  <w:vAlign w:val="center"/>
                </w:tcPr>
                <w:p w14:paraId="13A1517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2828" w:type="dxa"/>
                  <w:vMerge w:val="continue"/>
                  <w:tcBorders>
                    <w:tl2br w:val="nil"/>
                    <w:tr2bl w:val="nil"/>
                  </w:tcBorders>
                  <w:vAlign w:val="center"/>
                </w:tcPr>
                <w:p w14:paraId="0505B28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1983" w:type="dxa"/>
                  <w:tcBorders>
                    <w:tl2br w:val="nil"/>
                    <w:tr2bl w:val="nil"/>
                  </w:tcBorders>
                  <w:vAlign w:val="center"/>
                </w:tcPr>
                <w:p w14:paraId="099D723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1小时平均</w:t>
                  </w:r>
                </w:p>
              </w:tc>
              <w:tc>
                <w:tcPr>
                  <w:tcW w:w="1719" w:type="dxa"/>
                  <w:tcBorders>
                    <w:tl2br w:val="nil"/>
                    <w:tr2bl w:val="nil"/>
                  </w:tcBorders>
                  <w:vAlign w:val="center"/>
                </w:tcPr>
                <w:p w14:paraId="2BA0F90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0.50</w:t>
                  </w:r>
                </w:p>
              </w:tc>
              <w:tc>
                <w:tcPr>
                  <w:tcW w:w="816" w:type="dxa"/>
                  <w:vMerge w:val="continue"/>
                  <w:tcBorders>
                    <w:tl2br w:val="nil"/>
                    <w:tr2bl w:val="nil"/>
                  </w:tcBorders>
                  <w:vAlign w:val="center"/>
                </w:tcPr>
                <w:p w14:paraId="32D8F23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r w14:paraId="2CE928A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restart"/>
                  <w:tcBorders>
                    <w:tl2br w:val="nil"/>
                    <w:tr2bl w:val="nil"/>
                  </w:tcBorders>
                  <w:vAlign w:val="center"/>
                </w:tcPr>
                <w:p w14:paraId="1A1628B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2</w:t>
                  </w:r>
                </w:p>
              </w:tc>
              <w:tc>
                <w:tcPr>
                  <w:tcW w:w="2828" w:type="dxa"/>
                  <w:vMerge w:val="restart"/>
                  <w:tcBorders>
                    <w:tl2br w:val="nil"/>
                    <w:tr2bl w:val="nil"/>
                  </w:tcBorders>
                  <w:vAlign w:val="center"/>
                </w:tcPr>
                <w:p w14:paraId="5F2093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二氧化氮（NO</w:t>
                  </w:r>
                  <w:r>
                    <w:rPr>
                      <w:rFonts w:ascii="Times New Roman" w:hAnsi="Times New Roman" w:cs="Times New Roman"/>
                      <w:color w:val="auto"/>
                      <w:szCs w:val="21"/>
                      <w:vertAlign w:val="subscript"/>
                    </w:rPr>
                    <w:t>2</w:t>
                  </w:r>
                  <w:r>
                    <w:rPr>
                      <w:rFonts w:ascii="Times New Roman" w:hAnsi="Times New Roman" w:cs="Times New Roman"/>
                      <w:color w:val="auto"/>
                      <w:szCs w:val="21"/>
                    </w:rPr>
                    <w:t>）</w:t>
                  </w:r>
                </w:p>
              </w:tc>
              <w:tc>
                <w:tcPr>
                  <w:tcW w:w="1983" w:type="dxa"/>
                  <w:tcBorders>
                    <w:tl2br w:val="nil"/>
                    <w:tr2bl w:val="nil"/>
                  </w:tcBorders>
                  <w:vAlign w:val="center"/>
                </w:tcPr>
                <w:p w14:paraId="6A34451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年平均</w:t>
                  </w:r>
                </w:p>
              </w:tc>
              <w:tc>
                <w:tcPr>
                  <w:tcW w:w="1719" w:type="dxa"/>
                  <w:tcBorders>
                    <w:tl2br w:val="nil"/>
                    <w:tr2bl w:val="nil"/>
                  </w:tcBorders>
                  <w:vAlign w:val="center"/>
                </w:tcPr>
                <w:p w14:paraId="2705361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0.04</w:t>
                  </w:r>
                </w:p>
              </w:tc>
              <w:tc>
                <w:tcPr>
                  <w:tcW w:w="816" w:type="dxa"/>
                  <w:vMerge w:val="continue"/>
                  <w:tcBorders>
                    <w:tl2br w:val="nil"/>
                    <w:tr2bl w:val="nil"/>
                  </w:tcBorders>
                  <w:vAlign w:val="center"/>
                </w:tcPr>
                <w:p w14:paraId="6E6BD0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r w14:paraId="493BD08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continue"/>
                  <w:tcBorders>
                    <w:tl2br w:val="nil"/>
                    <w:tr2bl w:val="nil"/>
                  </w:tcBorders>
                  <w:vAlign w:val="center"/>
                </w:tcPr>
                <w:p w14:paraId="49D6240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2828" w:type="dxa"/>
                  <w:vMerge w:val="continue"/>
                  <w:tcBorders>
                    <w:tl2br w:val="nil"/>
                    <w:tr2bl w:val="nil"/>
                  </w:tcBorders>
                  <w:vAlign w:val="center"/>
                </w:tcPr>
                <w:p w14:paraId="4E60C01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1983" w:type="dxa"/>
                  <w:tcBorders>
                    <w:tl2br w:val="nil"/>
                    <w:tr2bl w:val="nil"/>
                  </w:tcBorders>
                  <w:vAlign w:val="center"/>
                </w:tcPr>
                <w:p w14:paraId="3838249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hint="eastAsia" w:cs="Times New Roman"/>
                      <w:color w:val="auto"/>
                      <w:szCs w:val="21"/>
                      <w:lang w:val="en-US" w:eastAsia="zh-CN"/>
                    </w:rPr>
                    <w:t>24小时</w:t>
                  </w:r>
                  <w:r>
                    <w:rPr>
                      <w:rFonts w:ascii="Times New Roman" w:hAnsi="Times New Roman" w:cs="Times New Roman"/>
                      <w:color w:val="auto"/>
                      <w:szCs w:val="21"/>
                    </w:rPr>
                    <w:t>平均</w:t>
                  </w:r>
                </w:p>
              </w:tc>
              <w:tc>
                <w:tcPr>
                  <w:tcW w:w="1719" w:type="dxa"/>
                  <w:tcBorders>
                    <w:tl2br w:val="nil"/>
                    <w:tr2bl w:val="nil"/>
                  </w:tcBorders>
                  <w:vAlign w:val="center"/>
                </w:tcPr>
                <w:p w14:paraId="45C42A7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008</w:t>
                  </w:r>
                </w:p>
              </w:tc>
              <w:tc>
                <w:tcPr>
                  <w:tcW w:w="816" w:type="dxa"/>
                  <w:vMerge w:val="continue"/>
                  <w:tcBorders>
                    <w:tl2br w:val="nil"/>
                    <w:tr2bl w:val="nil"/>
                  </w:tcBorders>
                  <w:vAlign w:val="center"/>
                </w:tcPr>
                <w:p w14:paraId="3EB747B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r w14:paraId="5AB6DE5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continue"/>
                  <w:tcBorders>
                    <w:tl2br w:val="nil"/>
                    <w:tr2bl w:val="nil"/>
                  </w:tcBorders>
                  <w:vAlign w:val="center"/>
                </w:tcPr>
                <w:p w14:paraId="3D16017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2828" w:type="dxa"/>
                  <w:vMerge w:val="continue"/>
                  <w:tcBorders>
                    <w:tl2br w:val="nil"/>
                    <w:tr2bl w:val="nil"/>
                  </w:tcBorders>
                  <w:vAlign w:val="center"/>
                </w:tcPr>
                <w:p w14:paraId="0114D92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1983" w:type="dxa"/>
                  <w:tcBorders>
                    <w:tl2br w:val="nil"/>
                    <w:tr2bl w:val="nil"/>
                  </w:tcBorders>
                  <w:vAlign w:val="center"/>
                </w:tcPr>
                <w:p w14:paraId="2FFEB58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1小时平均</w:t>
                  </w:r>
                </w:p>
              </w:tc>
              <w:tc>
                <w:tcPr>
                  <w:tcW w:w="1719" w:type="dxa"/>
                  <w:tcBorders>
                    <w:tl2br w:val="nil"/>
                    <w:tr2bl w:val="nil"/>
                  </w:tcBorders>
                  <w:vAlign w:val="center"/>
                </w:tcPr>
                <w:p w14:paraId="4C98E16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0.20</w:t>
                  </w:r>
                </w:p>
              </w:tc>
              <w:tc>
                <w:tcPr>
                  <w:tcW w:w="816" w:type="dxa"/>
                  <w:vMerge w:val="continue"/>
                  <w:tcBorders>
                    <w:tl2br w:val="nil"/>
                    <w:tr2bl w:val="nil"/>
                  </w:tcBorders>
                  <w:vAlign w:val="center"/>
                </w:tcPr>
                <w:p w14:paraId="64B68BA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r w14:paraId="42308F2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restart"/>
                  <w:tcBorders>
                    <w:tl2br w:val="nil"/>
                    <w:tr2bl w:val="nil"/>
                  </w:tcBorders>
                  <w:vAlign w:val="center"/>
                </w:tcPr>
                <w:p w14:paraId="1E1049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3</w:t>
                  </w:r>
                </w:p>
              </w:tc>
              <w:tc>
                <w:tcPr>
                  <w:tcW w:w="2828" w:type="dxa"/>
                  <w:vMerge w:val="restart"/>
                  <w:tcBorders>
                    <w:tl2br w:val="nil"/>
                    <w:tr2bl w:val="nil"/>
                  </w:tcBorders>
                  <w:vAlign w:val="center"/>
                </w:tcPr>
                <w:p w14:paraId="7F1161C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可吸入颗粒物（PM</w:t>
                  </w:r>
                  <w:r>
                    <w:rPr>
                      <w:rFonts w:ascii="Times New Roman" w:hAnsi="Times New Roman" w:cs="Times New Roman"/>
                      <w:color w:val="auto"/>
                      <w:szCs w:val="21"/>
                      <w:vertAlign w:val="subscript"/>
                    </w:rPr>
                    <w:t>10</w:t>
                  </w:r>
                  <w:r>
                    <w:rPr>
                      <w:rFonts w:ascii="Times New Roman" w:hAnsi="Times New Roman" w:cs="Times New Roman"/>
                      <w:color w:val="auto"/>
                      <w:szCs w:val="21"/>
                    </w:rPr>
                    <w:t>）</w:t>
                  </w:r>
                </w:p>
              </w:tc>
              <w:tc>
                <w:tcPr>
                  <w:tcW w:w="1983" w:type="dxa"/>
                  <w:tcBorders>
                    <w:tl2br w:val="nil"/>
                    <w:tr2bl w:val="nil"/>
                  </w:tcBorders>
                  <w:vAlign w:val="center"/>
                </w:tcPr>
                <w:p w14:paraId="4C3F025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年平均</w:t>
                  </w:r>
                </w:p>
              </w:tc>
              <w:tc>
                <w:tcPr>
                  <w:tcW w:w="1719" w:type="dxa"/>
                  <w:tcBorders>
                    <w:tl2br w:val="nil"/>
                    <w:tr2bl w:val="nil"/>
                  </w:tcBorders>
                  <w:vAlign w:val="center"/>
                </w:tcPr>
                <w:p w14:paraId="6A62220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0.07</w:t>
                  </w:r>
                </w:p>
              </w:tc>
              <w:tc>
                <w:tcPr>
                  <w:tcW w:w="816" w:type="dxa"/>
                  <w:vMerge w:val="continue"/>
                  <w:tcBorders>
                    <w:tl2br w:val="nil"/>
                    <w:tr2bl w:val="nil"/>
                  </w:tcBorders>
                  <w:vAlign w:val="center"/>
                </w:tcPr>
                <w:p w14:paraId="1B34B18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r w14:paraId="48C9EB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continue"/>
                  <w:tcBorders>
                    <w:tl2br w:val="nil"/>
                    <w:tr2bl w:val="nil"/>
                  </w:tcBorders>
                  <w:vAlign w:val="center"/>
                </w:tcPr>
                <w:p w14:paraId="5A08B33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2828" w:type="dxa"/>
                  <w:vMerge w:val="continue"/>
                  <w:tcBorders>
                    <w:tl2br w:val="nil"/>
                    <w:tr2bl w:val="nil"/>
                  </w:tcBorders>
                  <w:vAlign w:val="center"/>
                </w:tcPr>
                <w:p w14:paraId="51282EC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1983" w:type="dxa"/>
                  <w:tcBorders>
                    <w:tl2br w:val="nil"/>
                    <w:tr2bl w:val="nil"/>
                  </w:tcBorders>
                  <w:vAlign w:val="center"/>
                </w:tcPr>
                <w:p w14:paraId="6FECD20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hint="eastAsia" w:cs="Times New Roman"/>
                      <w:color w:val="auto"/>
                      <w:szCs w:val="21"/>
                      <w:lang w:val="en-US" w:eastAsia="zh-CN"/>
                    </w:rPr>
                    <w:t>24小时</w:t>
                  </w:r>
                  <w:r>
                    <w:rPr>
                      <w:rFonts w:ascii="Times New Roman" w:hAnsi="Times New Roman" w:cs="Times New Roman"/>
                      <w:color w:val="auto"/>
                      <w:szCs w:val="21"/>
                    </w:rPr>
                    <w:t>平均</w:t>
                  </w:r>
                </w:p>
              </w:tc>
              <w:tc>
                <w:tcPr>
                  <w:tcW w:w="1719" w:type="dxa"/>
                  <w:tcBorders>
                    <w:tl2br w:val="nil"/>
                    <w:tr2bl w:val="nil"/>
                  </w:tcBorders>
                  <w:vAlign w:val="center"/>
                </w:tcPr>
                <w:p w14:paraId="3FE8FF9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0.15</w:t>
                  </w:r>
                </w:p>
              </w:tc>
              <w:tc>
                <w:tcPr>
                  <w:tcW w:w="816" w:type="dxa"/>
                  <w:vMerge w:val="continue"/>
                  <w:tcBorders>
                    <w:tl2br w:val="nil"/>
                    <w:tr2bl w:val="nil"/>
                  </w:tcBorders>
                  <w:vAlign w:val="center"/>
                </w:tcPr>
                <w:p w14:paraId="5E318E3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r w14:paraId="0099A5C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restart"/>
                  <w:tcBorders>
                    <w:tl2br w:val="nil"/>
                    <w:tr2bl w:val="nil"/>
                  </w:tcBorders>
                  <w:vAlign w:val="center"/>
                </w:tcPr>
                <w:p w14:paraId="3E75C3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4</w:t>
                  </w:r>
                </w:p>
              </w:tc>
              <w:tc>
                <w:tcPr>
                  <w:tcW w:w="2828" w:type="dxa"/>
                  <w:vMerge w:val="restart"/>
                  <w:tcBorders>
                    <w:tl2br w:val="nil"/>
                    <w:tr2bl w:val="nil"/>
                  </w:tcBorders>
                  <w:vAlign w:val="center"/>
                </w:tcPr>
                <w:p w14:paraId="2C735F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总悬浮颗粒物（TSP）</w:t>
                  </w:r>
                </w:p>
              </w:tc>
              <w:tc>
                <w:tcPr>
                  <w:tcW w:w="1983" w:type="dxa"/>
                  <w:tcBorders>
                    <w:tl2br w:val="nil"/>
                    <w:tr2bl w:val="nil"/>
                  </w:tcBorders>
                  <w:vAlign w:val="center"/>
                </w:tcPr>
                <w:p w14:paraId="1AA3BB5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年平均</w:t>
                  </w:r>
                </w:p>
              </w:tc>
              <w:tc>
                <w:tcPr>
                  <w:tcW w:w="1719" w:type="dxa"/>
                  <w:tcBorders>
                    <w:tl2br w:val="nil"/>
                    <w:tr2bl w:val="nil"/>
                  </w:tcBorders>
                  <w:vAlign w:val="center"/>
                </w:tcPr>
                <w:p w14:paraId="0DF2E1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0.20</w:t>
                  </w:r>
                </w:p>
              </w:tc>
              <w:tc>
                <w:tcPr>
                  <w:tcW w:w="816" w:type="dxa"/>
                  <w:vMerge w:val="continue"/>
                  <w:tcBorders>
                    <w:tl2br w:val="nil"/>
                    <w:tr2bl w:val="nil"/>
                  </w:tcBorders>
                  <w:vAlign w:val="center"/>
                </w:tcPr>
                <w:p w14:paraId="03234AF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r w14:paraId="460B42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4" w:type="dxa"/>
                  <w:vMerge w:val="continue"/>
                  <w:tcBorders>
                    <w:tl2br w:val="nil"/>
                    <w:tr2bl w:val="nil"/>
                  </w:tcBorders>
                  <w:vAlign w:val="center"/>
                </w:tcPr>
                <w:p w14:paraId="54DA11A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2828" w:type="dxa"/>
                  <w:vMerge w:val="continue"/>
                  <w:tcBorders>
                    <w:tl2br w:val="nil"/>
                    <w:tr2bl w:val="nil"/>
                  </w:tcBorders>
                  <w:vAlign w:val="center"/>
                </w:tcPr>
                <w:p w14:paraId="7DC8EAE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c>
                <w:tcPr>
                  <w:tcW w:w="1983" w:type="dxa"/>
                  <w:tcBorders>
                    <w:tl2br w:val="nil"/>
                    <w:tr2bl w:val="nil"/>
                  </w:tcBorders>
                  <w:vAlign w:val="center"/>
                </w:tcPr>
                <w:p w14:paraId="7FC2292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hint="eastAsia" w:cs="Times New Roman"/>
                      <w:color w:val="auto"/>
                      <w:szCs w:val="21"/>
                      <w:lang w:val="en-US" w:eastAsia="zh-CN"/>
                    </w:rPr>
                    <w:t>24小时</w:t>
                  </w:r>
                  <w:r>
                    <w:rPr>
                      <w:rFonts w:ascii="Times New Roman" w:hAnsi="Times New Roman" w:cs="Times New Roman"/>
                      <w:color w:val="auto"/>
                      <w:szCs w:val="21"/>
                    </w:rPr>
                    <w:t>平均</w:t>
                  </w:r>
                </w:p>
              </w:tc>
              <w:tc>
                <w:tcPr>
                  <w:tcW w:w="1719" w:type="dxa"/>
                  <w:tcBorders>
                    <w:tl2br w:val="nil"/>
                    <w:tr2bl w:val="nil"/>
                  </w:tcBorders>
                  <w:vAlign w:val="center"/>
                </w:tcPr>
                <w:p w14:paraId="1AC2C3B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r>
                    <w:rPr>
                      <w:rFonts w:ascii="Times New Roman" w:hAnsi="Times New Roman" w:cs="Times New Roman"/>
                      <w:color w:val="auto"/>
                      <w:szCs w:val="21"/>
                    </w:rPr>
                    <w:t>0.30</w:t>
                  </w:r>
                </w:p>
              </w:tc>
              <w:tc>
                <w:tcPr>
                  <w:tcW w:w="816" w:type="dxa"/>
                  <w:vMerge w:val="continue"/>
                  <w:tcBorders>
                    <w:tl2br w:val="nil"/>
                    <w:tr2bl w:val="nil"/>
                  </w:tcBorders>
                  <w:vAlign w:val="center"/>
                </w:tcPr>
                <w:p w14:paraId="6424933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rPr>
                  </w:pPr>
                </w:p>
              </w:tc>
            </w:tr>
          </w:tbl>
          <w:p w14:paraId="21F8F826">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b/>
                <w:bCs w:val="0"/>
                <w:color w:val="auto"/>
                <w:szCs w:val="24"/>
              </w:rPr>
            </w:pPr>
            <w:r>
              <w:rPr>
                <w:rFonts w:hint="eastAsia" w:hAnsi="宋体"/>
                <w:b/>
                <w:bCs w:val="0"/>
                <w:color w:val="auto"/>
                <w:szCs w:val="24"/>
                <w:lang w:val="en-US" w:eastAsia="zh-CN"/>
              </w:rPr>
              <w:t>2、</w:t>
            </w:r>
            <w:r>
              <w:rPr>
                <w:rFonts w:hAnsi="宋体"/>
                <w:b/>
                <w:bCs w:val="0"/>
                <w:color w:val="auto"/>
                <w:szCs w:val="24"/>
              </w:rPr>
              <w:t>地表水环境质量</w:t>
            </w:r>
          </w:p>
          <w:p w14:paraId="2E4CDAA2">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bCs/>
                <w:color w:val="auto"/>
                <w:szCs w:val="24"/>
              </w:rPr>
            </w:pPr>
            <w:r>
              <w:rPr>
                <w:rFonts w:hint="default" w:ascii="Times New Roman" w:hAnsi="Times New Roman" w:cs="Times New Roman"/>
                <w:bCs/>
                <w:color w:val="auto"/>
                <w:szCs w:val="24"/>
              </w:rPr>
              <w:t>项目污水最终排入长江，地表水环境质量标准执行《地表水环境质量标准》（GB3838-2002）Ⅲ类水域水质标准，具体如表4-2。</w:t>
            </w:r>
          </w:p>
          <w:p w14:paraId="4F16D02D">
            <w:pPr>
              <w:pStyle w:val="3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b/>
                <w:bCs/>
                <w:color w:val="auto"/>
                <w:sz w:val="21"/>
                <w:szCs w:val="21"/>
              </w:rPr>
            </w:pPr>
            <w:r>
              <w:rPr>
                <w:rFonts w:hAnsi="宋体"/>
                <w:b/>
                <w:bCs/>
                <w:color w:val="auto"/>
                <w:sz w:val="21"/>
                <w:szCs w:val="21"/>
              </w:rPr>
              <w:t>表</w:t>
            </w:r>
            <w:r>
              <w:rPr>
                <w:b/>
                <w:bCs/>
                <w:color w:val="auto"/>
                <w:sz w:val="21"/>
                <w:szCs w:val="21"/>
              </w:rPr>
              <w:t xml:space="preserve">4-2 </w:t>
            </w:r>
            <w:r>
              <w:rPr>
                <w:rFonts w:hint="eastAsia"/>
                <w:b/>
                <w:bCs/>
                <w:color w:val="auto"/>
                <w:sz w:val="21"/>
                <w:szCs w:val="21"/>
                <w:lang w:val="en-US" w:eastAsia="zh-CN"/>
              </w:rPr>
              <w:t xml:space="preserve"> </w:t>
            </w:r>
            <w:r>
              <w:rPr>
                <w:rFonts w:hAnsi="宋体"/>
                <w:b/>
                <w:bCs/>
                <w:color w:val="auto"/>
                <w:sz w:val="21"/>
                <w:szCs w:val="21"/>
              </w:rPr>
              <w:t>地表水环境质量标准一览表</w:t>
            </w:r>
            <w:r>
              <w:rPr>
                <w:b/>
                <w:bCs/>
                <w:color w:val="auto"/>
                <w:sz w:val="21"/>
                <w:szCs w:val="21"/>
              </w:rPr>
              <w:t xml:space="preserve">  </w:t>
            </w:r>
            <w:r>
              <w:rPr>
                <w:rFonts w:hint="eastAsia"/>
                <w:b/>
                <w:bCs/>
                <w:color w:val="auto"/>
                <w:sz w:val="21"/>
                <w:szCs w:val="21"/>
                <w:lang w:val="en-US" w:eastAsia="zh-CN"/>
              </w:rPr>
              <w:t xml:space="preserve">  </w:t>
            </w:r>
            <w:r>
              <w:rPr>
                <w:rFonts w:hAnsi="宋体"/>
                <w:b/>
                <w:bCs/>
                <w:color w:val="auto"/>
                <w:sz w:val="21"/>
                <w:szCs w:val="21"/>
              </w:rPr>
              <w:t>单位：</w:t>
            </w:r>
            <w:r>
              <w:rPr>
                <w:b/>
                <w:bCs/>
                <w:color w:val="auto"/>
                <w:sz w:val="21"/>
                <w:szCs w:val="21"/>
              </w:rPr>
              <w:t>mg/L</w:t>
            </w:r>
          </w:p>
          <w:tbl>
            <w:tblPr>
              <w:tblStyle w:val="15"/>
              <w:tblW w:w="822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32"/>
              <w:gridCol w:w="1061"/>
              <w:gridCol w:w="1390"/>
              <w:gridCol w:w="1362"/>
              <w:gridCol w:w="1382"/>
              <w:gridCol w:w="1393"/>
            </w:tblGrid>
            <w:tr w14:paraId="57B85B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32" w:type="dxa"/>
                  <w:tcBorders>
                    <w:tl2br w:val="nil"/>
                    <w:tr2bl w:val="nil"/>
                  </w:tcBorders>
                  <w:vAlign w:val="center"/>
                </w:tcPr>
                <w:p w14:paraId="74019A92">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rPr>
                  </w:pPr>
                  <w:r>
                    <w:rPr>
                      <w:rFonts w:ascii="Times New Roman" w:hAnsi="宋体"/>
                      <w:color w:val="auto"/>
                      <w:szCs w:val="21"/>
                    </w:rPr>
                    <w:t>参数</w:t>
                  </w:r>
                </w:p>
              </w:tc>
              <w:tc>
                <w:tcPr>
                  <w:tcW w:w="1061" w:type="dxa"/>
                  <w:tcBorders>
                    <w:tl2br w:val="nil"/>
                    <w:tr2bl w:val="nil"/>
                  </w:tcBorders>
                  <w:vAlign w:val="center"/>
                </w:tcPr>
                <w:p w14:paraId="49FE5EF4">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rPr>
                  </w:pPr>
                  <w:r>
                    <w:rPr>
                      <w:rFonts w:ascii="Times New Roman" w:hAnsi="Times New Roman"/>
                      <w:color w:val="auto"/>
                      <w:szCs w:val="21"/>
                    </w:rPr>
                    <w:t>COD</w:t>
                  </w:r>
                </w:p>
              </w:tc>
              <w:tc>
                <w:tcPr>
                  <w:tcW w:w="1390" w:type="dxa"/>
                  <w:tcBorders>
                    <w:tl2br w:val="nil"/>
                    <w:tr2bl w:val="nil"/>
                  </w:tcBorders>
                  <w:vAlign w:val="center"/>
                </w:tcPr>
                <w:p w14:paraId="4A0127A3">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vertAlign w:val="subscript"/>
                    </w:rPr>
                  </w:pPr>
                  <w:r>
                    <w:rPr>
                      <w:rFonts w:ascii="Times New Roman" w:hAnsi="Times New Roman"/>
                      <w:color w:val="auto"/>
                      <w:szCs w:val="21"/>
                    </w:rPr>
                    <w:t>BOD</w:t>
                  </w:r>
                  <w:r>
                    <w:rPr>
                      <w:rFonts w:ascii="Times New Roman" w:hAnsi="Times New Roman"/>
                      <w:color w:val="auto"/>
                      <w:szCs w:val="21"/>
                      <w:vertAlign w:val="subscript"/>
                    </w:rPr>
                    <w:t>5</w:t>
                  </w:r>
                </w:p>
              </w:tc>
              <w:tc>
                <w:tcPr>
                  <w:tcW w:w="1362" w:type="dxa"/>
                  <w:tcBorders>
                    <w:tl2br w:val="nil"/>
                    <w:tr2bl w:val="nil"/>
                  </w:tcBorders>
                  <w:vAlign w:val="center"/>
                </w:tcPr>
                <w:p w14:paraId="79FDF41D">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rPr>
                  </w:pPr>
                  <w:r>
                    <w:rPr>
                      <w:rFonts w:ascii="Times New Roman" w:hAnsi="Times New Roman"/>
                      <w:color w:val="auto"/>
                      <w:szCs w:val="21"/>
                    </w:rPr>
                    <w:t>NH</w:t>
                  </w:r>
                  <w:r>
                    <w:rPr>
                      <w:rFonts w:ascii="Times New Roman" w:hAnsi="Times New Roman"/>
                      <w:color w:val="auto"/>
                      <w:szCs w:val="21"/>
                      <w:vertAlign w:val="subscript"/>
                    </w:rPr>
                    <w:t>3</w:t>
                  </w:r>
                  <w:r>
                    <w:rPr>
                      <w:rFonts w:ascii="Times New Roman" w:hAnsi="Times New Roman"/>
                      <w:color w:val="auto"/>
                      <w:szCs w:val="21"/>
                    </w:rPr>
                    <w:t>-N</w:t>
                  </w:r>
                </w:p>
              </w:tc>
              <w:tc>
                <w:tcPr>
                  <w:tcW w:w="1382" w:type="dxa"/>
                  <w:tcBorders>
                    <w:tl2br w:val="nil"/>
                    <w:tr2bl w:val="nil"/>
                  </w:tcBorders>
                  <w:vAlign w:val="center"/>
                </w:tcPr>
                <w:p w14:paraId="5B94EE21">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vertAlign w:val="subscript"/>
                    </w:rPr>
                  </w:pPr>
                  <w:r>
                    <w:rPr>
                      <w:rFonts w:ascii="Times New Roman" w:hAnsi="宋体"/>
                      <w:color w:val="auto"/>
                      <w:szCs w:val="21"/>
                    </w:rPr>
                    <w:t>总磷</w:t>
                  </w:r>
                </w:p>
              </w:tc>
              <w:tc>
                <w:tcPr>
                  <w:tcW w:w="1393" w:type="dxa"/>
                  <w:tcBorders>
                    <w:tl2br w:val="nil"/>
                    <w:tr2bl w:val="nil"/>
                  </w:tcBorders>
                  <w:vAlign w:val="center"/>
                </w:tcPr>
                <w:p w14:paraId="3545D264">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rPr>
                  </w:pPr>
                  <w:r>
                    <w:rPr>
                      <w:rFonts w:ascii="Times New Roman" w:hAnsi="Times New Roman"/>
                      <w:color w:val="auto"/>
                      <w:szCs w:val="21"/>
                    </w:rPr>
                    <w:t>pH</w:t>
                  </w:r>
                </w:p>
              </w:tc>
            </w:tr>
            <w:tr w14:paraId="0DAA364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32" w:type="dxa"/>
                  <w:tcBorders>
                    <w:tl2br w:val="nil"/>
                    <w:tr2bl w:val="nil"/>
                  </w:tcBorders>
                  <w:vAlign w:val="center"/>
                </w:tcPr>
                <w:p w14:paraId="483AC716">
                  <w:pPr>
                    <w:pStyle w:val="9"/>
                    <w:adjustRightInd w:val="0"/>
                    <w:snapToGrid w:val="0"/>
                    <w:ind w:left="-50" w:leftChars="0" w:right="-105" w:rightChars="-50"/>
                    <w:jc w:val="center"/>
                    <w:rPr>
                      <w:rFonts w:ascii="Times New Roman" w:hAnsi="宋体"/>
                      <w:color w:val="auto"/>
                      <w:szCs w:val="21"/>
                    </w:rPr>
                  </w:pPr>
                  <w:r>
                    <w:rPr>
                      <w:rFonts w:hint="eastAsia" w:hAnsi="宋体"/>
                      <w:bCs/>
                      <w:color w:val="auto"/>
                      <w:szCs w:val="24"/>
                    </w:rPr>
                    <w:t>Ⅲ</w:t>
                  </w:r>
                  <w:r>
                    <w:rPr>
                      <w:rFonts w:ascii="Times New Roman" w:hAnsi="宋体"/>
                      <w:color w:val="auto"/>
                      <w:szCs w:val="21"/>
                    </w:rPr>
                    <w:t>类</w:t>
                  </w:r>
                </w:p>
                <w:p w14:paraId="0C684A44">
                  <w:pPr>
                    <w:pStyle w:val="9"/>
                    <w:adjustRightInd w:val="0"/>
                    <w:snapToGrid w:val="0"/>
                    <w:ind w:left="-50" w:leftChars="0" w:right="-105" w:rightChars="-50"/>
                    <w:jc w:val="center"/>
                    <w:rPr>
                      <w:rFonts w:hint="eastAsia" w:ascii="Times New Roman" w:hAnsi="宋体" w:eastAsia="宋体"/>
                      <w:color w:val="auto"/>
                      <w:szCs w:val="21"/>
                      <w:lang w:eastAsia="zh-CN"/>
                    </w:rPr>
                  </w:pPr>
                  <w:r>
                    <w:rPr>
                      <w:rFonts w:hint="eastAsia" w:ascii="Times New Roman" w:hAnsi="宋体"/>
                      <w:color w:val="auto"/>
                      <w:szCs w:val="21"/>
                      <w:lang w:eastAsia="zh-CN"/>
                    </w:rPr>
                    <w:t>（</w:t>
                  </w:r>
                  <w:r>
                    <w:rPr>
                      <w:rFonts w:ascii="Times New Roman" w:hAnsi="Times New Roman"/>
                      <w:color w:val="auto"/>
                      <w:szCs w:val="21"/>
                    </w:rPr>
                    <w:t>GB3838-2002</w:t>
                  </w:r>
                  <w:r>
                    <w:rPr>
                      <w:rFonts w:hint="eastAsia" w:ascii="Times New Roman" w:hAnsi="宋体"/>
                      <w:color w:val="auto"/>
                      <w:szCs w:val="21"/>
                      <w:lang w:eastAsia="zh-CN"/>
                    </w:rPr>
                    <w:t>）</w:t>
                  </w:r>
                </w:p>
              </w:tc>
              <w:tc>
                <w:tcPr>
                  <w:tcW w:w="1061" w:type="dxa"/>
                  <w:tcBorders>
                    <w:tl2br w:val="nil"/>
                    <w:tr2bl w:val="nil"/>
                  </w:tcBorders>
                  <w:vAlign w:val="center"/>
                </w:tcPr>
                <w:p w14:paraId="15229C36">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rPr>
                  </w:pPr>
                  <w:r>
                    <w:rPr>
                      <w:rFonts w:hint="eastAsia" w:ascii="Times New Roman" w:hAnsi="Times New Roman"/>
                      <w:color w:val="auto"/>
                      <w:szCs w:val="21"/>
                    </w:rPr>
                    <w:t>20</w:t>
                  </w:r>
                </w:p>
              </w:tc>
              <w:tc>
                <w:tcPr>
                  <w:tcW w:w="1390" w:type="dxa"/>
                  <w:tcBorders>
                    <w:tl2br w:val="nil"/>
                    <w:tr2bl w:val="nil"/>
                  </w:tcBorders>
                  <w:vAlign w:val="center"/>
                </w:tcPr>
                <w:p w14:paraId="27A2B5F0">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rPr>
                  </w:pPr>
                  <w:r>
                    <w:rPr>
                      <w:rFonts w:hint="eastAsia" w:ascii="Times New Roman" w:hAnsi="Times New Roman"/>
                      <w:color w:val="auto"/>
                      <w:szCs w:val="21"/>
                    </w:rPr>
                    <w:t>4</w:t>
                  </w:r>
                </w:p>
              </w:tc>
              <w:tc>
                <w:tcPr>
                  <w:tcW w:w="1362" w:type="dxa"/>
                  <w:tcBorders>
                    <w:tl2br w:val="nil"/>
                    <w:tr2bl w:val="nil"/>
                  </w:tcBorders>
                  <w:vAlign w:val="center"/>
                </w:tcPr>
                <w:p w14:paraId="537D89FD">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rPr>
                  </w:pPr>
                  <w:r>
                    <w:rPr>
                      <w:rFonts w:ascii="Times New Roman" w:hAnsi="Times New Roman"/>
                      <w:color w:val="auto"/>
                      <w:szCs w:val="21"/>
                    </w:rPr>
                    <w:t>1.</w:t>
                  </w:r>
                  <w:r>
                    <w:rPr>
                      <w:rFonts w:hint="eastAsia" w:ascii="Times New Roman" w:hAnsi="Times New Roman"/>
                      <w:color w:val="auto"/>
                      <w:szCs w:val="21"/>
                    </w:rPr>
                    <w:t>0</w:t>
                  </w:r>
                </w:p>
              </w:tc>
              <w:tc>
                <w:tcPr>
                  <w:tcW w:w="1382" w:type="dxa"/>
                  <w:tcBorders>
                    <w:tl2br w:val="nil"/>
                    <w:tr2bl w:val="nil"/>
                  </w:tcBorders>
                  <w:vAlign w:val="center"/>
                </w:tcPr>
                <w:p w14:paraId="0C24AD56">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rPr>
                  </w:pPr>
                  <w:r>
                    <w:rPr>
                      <w:rFonts w:ascii="Times New Roman" w:hAnsi="Times New Roman"/>
                      <w:color w:val="auto"/>
                      <w:szCs w:val="21"/>
                    </w:rPr>
                    <w:t>0.</w:t>
                  </w:r>
                  <w:r>
                    <w:rPr>
                      <w:rFonts w:hint="eastAsia" w:ascii="Times New Roman" w:hAnsi="Times New Roman"/>
                      <w:color w:val="auto"/>
                      <w:szCs w:val="21"/>
                    </w:rPr>
                    <w:t>2</w:t>
                  </w:r>
                </w:p>
              </w:tc>
              <w:tc>
                <w:tcPr>
                  <w:tcW w:w="1393" w:type="dxa"/>
                  <w:tcBorders>
                    <w:tl2br w:val="nil"/>
                    <w:tr2bl w:val="nil"/>
                  </w:tcBorders>
                  <w:vAlign w:val="center"/>
                </w:tcPr>
                <w:p w14:paraId="183442C7">
                  <w:pPr>
                    <w:pStyle w:val="9"/>
                    <w:adjustRightInd w:val="0"/>
                    <w:snapToGrid w:val="0"/>
                    <w:ind w:left="-105" w:leftChars="-50" w:right="-105" w:rightChars="-50"/>
                    <w:jc w:val="center"/>
                    <w:rPr>
                      <w:rFonts w:hint="default" w:ascii="Times New Roman" w:hAnsi="Times New Roman" w:eastAsia="宋体" w:cs="Times New Roman"/>
                      <w:b w:val="0"/>
                      <w:bCs/>
                      <w:color w:val="auto"/>
                      <w:sz w:val="21"/>
                      <w:szCs w:val="21"/>
                    </w:rPr>
                  </w:pPr>
                  <w:r>
                    <w:rPr>
                      <w:rFonts w:ascii="Times New Roman" w:hAnsi="Times New Roman"/>
                      <w:color w:val="auto"/>
                      <w:szCs w:val="21"/>
                    </w:rPr>
                    <w:t>6~9</w:t>
                  </w:r>
                </w:p>
              </w:tc>
            </w:tr>
          </w:tbl>
          <w:p w14:paraId="16176048">
            <w:pPr>
              <w:pStyle w:val="33"/>
              <w:spacing w:line="360" w:lineRule="auto"/>
              <w:rPr>
                <w:b/>
                <w:bCs w:val="0"/>
                <w:color w:val="auto"/>
                <w:szCs w:val="24"/>
              </w:rPr>
            </w:pPr>
            <w:r>
              <w:rPr>
                <w:rFonts w:hint="eastAsia" w:hAnsi="宋体"/>
                <w:b/>
                <w:bCs w:val="0"/>
                <w:color w:val="auto"/>
                <w:szCs w:val="24"/>
                <w:lang w:val="en-US" w:eastAsia="zh-CN"/>
              </w:rPr>
              <w:t>3、</w:t>
            </w:r>
            <w:r>
              <w:rPr>
                <w:rFonts w:hAnsi="宋体"/>
                <w:b/>
                <w:bCs w:val="0"/>
                <w:color w:val="auto"/>
                <w:szCs w:val="24"/>
              </w:rPr>
              <w:t>声环境质量</w:t>
            </w:r>
          </w:p>
          <w:p w14:paraId="04A9751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cs="Times New Roman"/>
                <w:b/>
                <w:color w:val="auto"/>
                <w:sz w:val="21"/>
                <w:szCs w:val="21"/>
              </w:rPr>
            </w:pPr>
            <w:r>
              <w:rPr>
                <w:rFonts w:ascii="Times New Roman" w:hAnsi="Times New Roman" w:cs="Times New Roman"/>
                <w:color w:val="auto"/>
                <w:sz w:val="24"/>
                <w:szCs w:val="24"/>
              </w:rPr>
              <w:t>项目区属居住、商业混杂功能区域</w:t>
            </w:r>
            <w:r>
              <w:rPr>
                <w:rFonts w:hint="eastAsia" w:cs="Times New Roman"/>
                <w:color w:val="auto"/>
                <w:sz w:val="24"/>
                <w:szCs w:val="24"/>
                <w:lang w:eastAsia="zh-CN"/>
              </w:rPr>
              <w:t>，</w:t>
            </w:r>
            <w:r>
              <w:rPr>
                <w:rFonts w:hint="default" w:ascii="Times New Roman" w:hAnsi="Times New Roman" w:cs="Times New Roman"/>
                <w:color w:val="auto"/>
                <w:sz w:val="24"/>
                <w:szCs w:val="24"/>
              </w:rPr>
              <w:t>项目所在区域</w:t>
            </w:r>
            <w:r>
              <w:rPr>
                <w:rFonts w:ascii="Times New Roman" w:hAnsi="Times New Roman" w:cs="Times New Roman"/>
                <w:color w:val="auto"/>
                <w:sz w:val="24"/>
                <w:szCs w:val="24"/>
              </w:rPr>
              <w:t>环境噪声执行《声环境质量标准》</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GB3096-2008</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2类标准：</w:t>
            </w:r>
          </w:p>
          <w:p w14:paraId="78D000E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olor w:val="auto"/>
                <w:vertAlign w:val="baseline"/>
                <w:lang w:eastAsia="zh-CN"/>
              </w:rPr>
            </w:pPr>
            <w:r>
              <w:rPr>
                <w:rFonts w:ascii="Times New Roman" w:hAnsi="Times New Roman" w:cs="Times New Roman"/>
                <w:b/>
                <w:color w:val="auto"/>
                <w:sz w:val="21"/>
                <w:szCs w:val="21"/>
              </w:rPr>
              <w:t>表4-3  环境噪声限值     单位：dB（A）</w:t>
            </w:r>
          </w:p>
          <w:tbl>
            <w:tblPr>
              <w:tblStyle w:val="15"/>
              <w:tblW w:w="822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4376"/>
              <w:gridCol w:w="1153"/>
              <w:gridCol w:w="1085"/>
            </w:tblGrid>
            <w:tr w14:paraId="122ABA9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6" w:type="dxa"/>
                  <w:vMerge w:val="restart"/>
                  <w:tcBorders>
                    <w:tl2br w:val="nil"/>
                    <w:tr2bl w:val="nil"/>
                  </w:tcBorders>
                  <w:vAlign w:val="center"/>
                </w:tcPr>
                <w:p w14:paraId="352063A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类别</w:t>
                  </w:r>
                </w:p>
              </w:tc>
              <w:tc>
                <w:tcPr>
                  <w:tcW w:w="4376" w:type="dxa"/>
                  <w:vMerge w:val="restart"/>
                  <w:tcBorders>
                    <w:tl2br w:val="nil"/>
                    <w:tr2bl w:val="nil"/>
                  </w:tcBorders>
                  <w:vAlign w:val="center"/>
                </w:tcPr>
                <w:p w14:paraId="5E8F4EE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适用区域</w:t>
                  </w:r>
                </w:p>
              </w:tc>
              <w:tc>
                <w:tcPr>
                  <w:tcW w:w="2238" w:type="dxa"/>
                  <w:gridSpan w:val="2"/>
                  <w:tcBorders>
                    <w:tl2br w:val="nil"/>
                    <w:tr2bl w:val="nil"/>
                  </w:tcBorders>
                  <w:vAlign w:val="center"/>
                </w:tcPr>
                <w:p w14:paraId="58E19AA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等效声级</w:t>
                  </w:r>
                  <w:r>
                    <w:rPr>
                      <w:rFonts w:hint="eastAsia" w:ascii="Times New Roman" w:hAnsi="Times New Roman" w:cs="Times New Roman"/>
                      <w:b w:val="0"/>
                      <w:bCs/>
                      <w:color w:val="auto"/>
                      <w:szCs w:val="21"/>
                      <w:lang w:val="en-US" w:eastAsia="zh-CN"/>
                    </w:rPr>
                    <w:t>[</w:t>
                  </w:r>
                  <w:r>
                    <w:rPr>
                      <w:rFonts w:hint="default" w:ascii="Times New Roman" w:hAnsi="Times New Roman" w:cs="Times New Roman"/>
                      <w:b w:val="0"/>
                      <w:bCs/>
                      <w:color w:val="auto"/>
                      <w:szCs w:val="21"/>
                    </w:rPr>
                    <w:t>dB</w:t>
                  </w:r>
                  <w:r>
                    <w:rPr>
                      <w:rFonts w:hint="default" w:ascii="Times New Roman" w:hAnsi="Times New Roman" w:cs="Times New Roman"/>
                      <w:b w:val="0"/>
                      <w:bCs/>
                      <w:color w:val="auto"/>
                      <w:szCs w:val="21"/>
                      <w:lang w:eastAsia="zh-CN"/>
                    </w:rPr>
                    <w:t>（</w:t>
                  </w:r>
                  <w:r>
                    <w:rPr>
                      <w:rFonts w:hint="default" w:ascii="Times New Roman" w:hAnsi="Times New Roman" w:cs="Times New Roman"/>
                      <w:b w:val="0"/>
                      <w:bCs/>
                      <w:color w:val="auto"/>
                      <w:szCs w:val="21"/>
                    </w:rPr>
                    <w:t>A</w:t>
                  </w:r>
                  <w:r>
                    <w:rPr>
                      <w:rFonts w:hint="default" w:ascii="Times New Roman" w:hAnsi="Times New Roman" w:cs="Times New Roman"/>
                      <w:b w:val="0"/>
                      <w:bCs/>
                      <w:color w:val="auto"/>
                      <w:szCs w:val="21"/>
                      <w:lang w:eastAsia="zh-CN"/>
                    </w:rPr>
                    <w:t>）</w:t>
                  </w:r>
                  <w:r>
                    <w:rPr>
                      <w:rFonts w:hint="eastAsia" w:ascii="Times New Roman" w:hAnsi="Times New Roman" w:cs="Times New Roman"/>
                      <w:b w:val="0"/>
                      <w:bCs/>
                      <w:color w:val="auto"/>
                      <w:szCs w:val="21"/>
                      <w:lang w:val="en-US" w:eastAsia="zh-CN"/>
                    </w:rPr>
                    <w:t>]</w:t>
                  </w:r>
                </w:p>
              </w:tc>
            </w:tr>
            <w:tr w14:paraId="508F3B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6" w:type="dxa"/>
                  <w:vMerge w:val="continue"/>
                  <w:tcBorders>
                    <w:tl2br w:val="nil"/>
                    <w:tr2bl w:val="nil"/>
                  </w:tcBorders>
                  <w:vAlign w:val="center"/>
                </w:tcPr>
                <w:p w14:paraId="5DC5503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p>
              </w:tc>
              <w:tc>
                <w:tcPr>
                  <w:tcW w:w="4376" w:type="dxa"/>
                  <w:vMerge w:val="continue"/>
                  <w:tcBorders>
                    <w:tl2br w:val="nil"/>
                    <w:tr2bl w:val="nil"/>
                  </w:tcBorders>
                  <w:vAlign w:val="center"/>
                </w:tcPr>
                <w:p w14:paraId="21267D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p>
              </w:tc>
              <w:tc>
                <w:tcPr>
                  <w:tcW w:w="1153" w:type="dxa"/>
                  <w:tcBorders>
                    <w:tl2br w:val="nil"/>
                    <w:tr2bl w:val="nil"/>
                  </w:tcBorders>
                  <w:vAlign w:val="center"/>
                </w:tcPr>
                <w:p w14:paraId="185F4BA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昼间</w:t>
                  </w:r>
                </w:p>
              </w:tc>
              <w:tc>
                <w:tcPr>
                  <w:tcW w:w="1085" w:type="dxa"/>
                  <w:tcBorders>
                    <w:tl2br w:val="nil"/>
                    <w:tr2bl w:val="nil"/>
                  </w:tcBorders>
                  <w:vAlign w:val="center"/>
                </w:tcPr>
                <w:p w14:paraId="43F27C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夜间</w:t>
                  </w:r>
                </w:p>
              </w:tc>
            </w:tr>
            <w:tr w14:paraId="036C6BF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6" w:type="dxa"/>
                  <w:tcBorders>
                    <w:tl2br w:val="nil"/>
                    <w:tr2bl w:val="nil"/>
                  </w:tcBorders>
                  <w:vAlign w:val="center"/>
                </w:tcPr>
                <w:p w14:paraId="1FF4CA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2类</w:t>
                  </w:r>
                </w:p>
              </w:tc>
              <w:tc>
                <w:tcPr>
                  <w:tcW w:w="4376" w:type="dxa"/>
                  <w:tcBorders>
                    <w:tl2br w:val="nil"/>
                    <w:tr2bl w:val="nil"/>
                  </w:tcBorders>
                  <w:vAlign w:val="center"/>
                </w:tcPr>
                <w:p w14:paraId="23DCB4E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居住</w:t>
                  </w:r>
                  <w:r>
                    <w:rPr>
                      <w:rFonts w:ascii="Times New Roman" w:hAnsi="Times New Roman" w:cs="Times New Roman"/>
                      <w:b w:val="0"/>
                      <w:bCs/>
                      <w:color w:val="auto"/>
                      <w:kern w:val="0"/>
                      <w:szCs w:val="21"/>
                    </w:rPr>
                    <w:t>、商业混杂功能区域</w:t>
                  </w:r>
                </w:p>
              </w:tc>
              <w:tc>
                <w:tcPr>
                  <w:tcW w:w="1153" w:type="dxa"/>
                  <w:tcBorders>
                    <w:tl2br w:val="nil"/>
                    <w:tr2bl w:val="nil"/>
                  </w:tcBorders>
                  <w:vAlign w:val="center"/>
                </w:tcPr>
                <w:p w14:paraId="564E02D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60</w:t>
                  </w:r>
                </w:p>
              </w:tc>
              <w:tc>
                <w:tcPr>
                  <w:tcW w:w="1085" w:type="dxa"/>
                  <w:tcBorders>
                    <w:tl2br w:val="nil"/>
                    <w:tr2bl w:val="nil"/>
                  </w:tcBorders>
                  <w:vAlign w:val="center"/>
                </w:tcPr>
                <w:p w14:paraId="0A4CBBF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b w:val="0"/>
                      <w:bCs/>
                      <w:color w:val="auto"/>
                      <w:szCs w:val="21"/>
                    </w:rPr>
                  </w:pPr>
                  <w:r>
                    <w:rPr>
                      <w:rFonts w:ascii="Times New Roman" w:hAnsi="Times New Roman" w:cs="Times New Roman"/>
                      <w:b w:val="0"/>
                      <w:bCs/>
                      <w:color w:val="auto"/>
                      <w:szCs w:val="21"/>
                    </w:rPr>
                    <w:t>50</w:t>
                  </w:r>
                </w:p>
              </w:tc>
            </w:tr>
          </w:tbl>
          <w:p w14:paraId="777E7F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olor w:val="auto"/>
                <w:vertAlign w:val="baseline"/>
                <w:lang w:eastAsia="zh-CN"/>
              </w:rPr>
            </w:pPr>
          </w:p>
        </w:tc>
      </w:tr>
      <w:tr w14:paraId="2A9F8358">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108" w:type="dxa"/>
            <w:bottom w:w="0" w:type="dxa"/>
            <w:right w:w="108" w:type="dxa"/>
          </w:tblCellMar>
        </w:tblPrEx>
        <w:trPr>
          <w:trHeight w:val="293" w:hRule="atLeast"/>
          <w:jc w:val="center"/>
        </w:trPr>
        <w:tc>
          <w:tcPr>
            <w:tcW w:w="517" w:type="dxa"/>
            <w:tcBorders>
              <w:top w:val="single" w:color="000000" w:sz="8" w:space="0"/>
              <w:bottom w:val="single" w:color="000000" w:sz="8" w:space="0"/>
            </w:tcBorders>
            <w:vAlign w:val="center"/>
          </w:tcPr>
          <w:p w14:paraId="3ADE7E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color w:val="auto"/>
                <w:sz w:val="24"/>
                <w:szCs w:val="24"/>
              </w:rPr>
            </w:pPr>
            <w:r>
              <w:rPr>
                <w:rFonts w:ascii="Times New Roman"/>
                <w:color w:val="auto"/>
                <w:sz w:val="24"/>
                <w:szCs w:val="24"/>
              </w:rPr>
              <w:t>污染物排放标准</w:t>
            </w:r>
          </w:p>
        </w:tc>
        <w:tc>
          <w:tcPr>
            <w:tcW w:w="8554" w:type="dxa"/>
            <w:tcBorders>
              <w:top w:val="single" w:color="000000" w:sz="8" w:space="0"/>
              <w:bottom w:val="single" w:color="000000" w:sz="8" w:space="0"/>
            </w:tcBorders>
            <w:vAlign w:val="center"/>
          </w:tcPr>
          <w:p w14:paraId="5D212DD9">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b/>
                <w:bCs/>
                <w:color w:val="auto"/>
                <w:sz w:val="24"/>
                <w:szCs w:val="24"/>
                <w:vertAlign w:val="baseline"/>
                <w:lang w:val="en-US" w:eastAsia="zh-CN"/>
              </w:rPr>
            </w:pPr>
            <w:r>
              <w:rPr>
                <w:rFonts w:hint="eastAsia"/>
                <w:b/>
                <w:bCs/>
                <w:color w:val="auto"/>
                <w:sz w:val="24"/>
                <w:szCs w:val="24"/>
                <w:vertAlign w:val="baseline"/>
                <w:lang w:val="en-US" w:eastAsia="zh-CN"/>
              </w:rPr>
              <w:t>废气</w:t>
            </w:r>
          </w:p>
          <w:p w14:paraId="13CF6A9F">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textAlignment w:val="auto"/>
              <w:outlineLvl w:val="9"/>
              <w:rPr>
                <w:rFonts w:hint="default" w:ascii="Times New Roman" w:hAnsi="Times New Roman" w:eastAsia="宋体" w:cs="Times New Roman"/>
                <w:bCs/>
                <w:color w:val="auto"/>
                <w:spacing w:val="-2"/>
              </w:rPr>
            </w:pPr>
            <w:r>
              <w:rPr>
                <w:rFonts w:hint="default" w:ascii="Times New Roman" w:hAnsi="Times New Roman" w:eastAsia="宋体" w:cs="Times New Roman"/>
                <w:bCs/>
                <w:color w:val="auto"/>
                <w:spacing w:val="-2"/>
              </w:rPr>
              <w:t>项目</w:t>
            </w:r>
            <w:r>
              <w:rPr>
                <w:rFonts w:hint="eastAsia" w:ascii="Times New Roman" w:hAnsi="Times New Roman" w:eastAsia="宋体" w:cs="Times New Roman"/>
                <w:bCs/>
                <w:color w:val="auto"/>
                <w:spacing w:val="-2"/>
                <w:lang w:eastAsia="zh-CN"/>
              </w:rPr>
              <w:t>施工期</w:t>
            </w:r>
            <w:r>
              <w:rPr>
                <w:rFonts w:hint="eastAsia" w:cs="Times New Roman"/>
                <w:bCs/>
                <w:color w:val="auto"/>
                <w:spacing w:val="-2"/>
                <w:lang w:eastAsia="zh-CN"/>
              </w:rPr>
              <w:t>扬尘</w:t>
            </w:r>
            <w:r>
              <w:rPr>
                <w:rFonts w:hint="default" w:ascii="Times New Roman" w:hAnsi="Times New Roman" w:eastAsia="宋体" w:cs="Times New Roman"/>
                <w:bCs/>
                <w:color w:val="auto"/>
                <w:spacing w:val="-2"/>
              </w:rPr>
              <w:t>执行《大气污染物综合排放标准》</w:t>
            </w:r>
            <w:r>
              <w:rPr>
                <w:rFonts w:hint="eastAsia" w:ascii="Times New Roman" w:hAnsi="Times New Roman" w:eastAsia="宋体" w:cs="Times New Roman"/>
                <w:bCs/>
                <w:color w:val="auto"/>
                <w:spacing w:val="-2"/>
                <w:lang w:eastAsia="zh-CN"/>
              </w:rPr>
              <w:t>（</w:t>
            </w:r>
            <w:r>
              <w:rPr>
                <w:rFonts w:hint="default" w:ascii="Times New Roman" w:hAnsi="Times New Roman" w:eastAsia="宋体" w:cs="Times New Roman"/>
                <w:bCs/>
                <w:color w:val="auto"/>
                <w:spacing w:val="-2"/>
              </w:rPr>
              <w:t>GB16297-1996</w:t>
            </w:r>
            <w:r>
              <w:rPr>
                <w:rFonts w:hint="eastAsia" w:ascii="Times New Roman" w:hAnsi="Times New Roman" w:eastAsia="宋体" w:cs="Times New Roman"/>
                <w:bCs/>
                <w:color w:val="auto"/>
                <w:spacing w:val="-2"/>
                <w:lang w:eastAsia="zh-CN"/>
              </w:rPr>
              <w:t>）</w:t>
            </w:r>
            <w:r>
              <w:rPr>
                <w:rFonts w:hint="default" w:ascii="Times New Roman" w:hAnsi="Times New Roman" w:eastAsia="宋体" w:cs="Times New Roman"/>
                <w:bCs/>
                <w:color w:val="auto"/>
                <w:spacing w:val="-2"/>
              </w:rPr>
              <w:t>表2</w:t>
            </w:r>
            <w:r>
              <w:rPr>
                <w:rFonts w:hint="eastAsia" w:ascii="Times New Roman" w:hAnsi="Times New Roman" w:eastAsia="宋体" w:cs="Times New Roman"/>
                <w:bCs/>
                <w:color w:val="auto"/>
                <w:spacing w:val="-2"/>
                <w:lang w:eastAsia="zh-CN"/>
              </w:rPr>
              <w:t>新污染源大气污染物无组织排放监控浓度限值，</w:t>
            </w:r>
            <w:r>
              <w:rPr>
                <w:rFonts w:hint="default" w:ascii="Times New Roman" w:hAnsi="Times New Roman" w:eastAsia="宋体" w:cs="Times New Roman"/>
                <w:bCs/>
                <w:color w:val="auto"/>
                <w:spacing w:val="-2"/>
              </w:rPr>
              <w:t>具体见表4-4。</w:t>
            </w:r>
          </w:p>
          <w:p w14:paraId="6E7B642C">
            <w:pPr>
              <w:pStyle w:val="33"/>
              <w:spacing w:line="360" w:lineRule="auto"/>
              <w:ind w:firstLine="0" w:firstLineChars="0"/>
              <w:jc w:val="center"/>
              <w:rPr>
                <w:rFonts w:hint="eastAsia" w:hAnsi="宋体"/>
                <w:b/>
                <w:bCs/>
                <w:color w:val="auto"/>
                <w:sz w:val="21"/>
                <w:szCs w:val="21"/>
              </w:rPr>
            </w:pPr>
            <w:r>
              <w:rPr>
                <w:rFonts w:hint="eastAsia" w:hAnsi="宋体"/>
                <w:b/>
                <w:bCs/>
                <w:color w:val="auto"/>
                <w:sz w:val="21"/>
                <w:szCs w:val="21"/>
              </w:rPr>
              <w:t>表</w:t>
            </w:r>
            <w:r>
              <w:rPr>
                <w:rFonts w:hint="default" w:ascii="Times New Roman" w:hAnsi="Times New Roman" w:cs="Times New Roman"/>
                <w:b/>
                <w:bCs/>
                <w:color w:val="auto"/>
                <w:sz w:val="21"/>
                <w:szCs w:val="21"/>
              </w:rPr>
              <w:t>4-4</w:t>
            </w:r>
            <w:r>
              <w:rPr>
                <w:rFonts w:hint="default" w:ascii="Times New Roman" w:hAnsi="Times New Roman" w:cs="Times New Roman"/>
                <w:b/>
                <w:bCs/>
                <w:color w:val="auto"/>
                <w:sz w:val="21"/>
                <w:szCs w:val="21"/>
                <w:lang w:val="en-US" w:eastAsia="zh-CN"/>
              </w:rPr>
              <w:t xml:space="preserve"> </w:t>
            </w:r>
            <w:r>
              <w:rPr>
                <w:rFonts w:hint="eastAsia" w:hAnsi="宋体"/>
                <w:b/>
                <w:bCs/>
                <w:color w:val="auto"/>
                <w:sz w:val="21"/>
                <w:szCs w:val="21"/>
                <w:lang w:val="en-US" w:eastAsia="zh-CN"/>
              </w:rPr>
              <w:t xml:space="preserve"> 施工期大气污染物排放执行标准</w:t>
            </w:r>
          </w:p>
          <w:tbl>
            <w:tblPr>
              <w:tblStyle w:val="15"/>
              <w:tblW w:w="8220"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357"/>
              <w:gridCol w:w="1560"/>
              <w:gridCol w:w="1572"/>
              <w:gridCol w:w="3731"/>
            </w:tblGrid>
            <w:tr w14:paraId="377AD41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357" w:type="dxa"/>
                  <w:vMerge w:val="restart"/>
                  <w:tcBorders>
                    <w:tl2br w:val="nil"/>
                    <w:tr2bl w:val="nil"/>
                  </w:tcBorders>
                  <w:vAlign w:val="center"/>
                </w:tcPr>
                <w:p w14:paraId="778E02D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污染物</w:t>
                  </w:r>
                </w:p>
              </w:tc>
              <w:tc>
                <w:tcPr>
                  <w:tcW w:w="3132" w:type="dxa"/>
                  <w:gridSpan w:val="2"/>
                  <w:tcBorders>
                    <w:bottom w:val="single" w:color="000000" w:sz="6" w:space="0"/>
                    <w:tl2br w:val="nil"/>
                    <w:tr2bl w:val="nil"/>
                  </w:tcBorders>
                  <w:vAlign w:val="center"/>
                </w:tcPr>
                <w:p w14:paraId="5B9E2BF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无组织排放监控浓度限值</w:t>
                  </w:r>
                </w:p>
              </w:tc>
              <w:tc>
                <w:tcPr>
                  <w:tcW w:w="3731" w:type="dxa"/>
                  <w:vMerge w:val="restart"/>
                  <w:tcBorders>
                    <w:tl2br w:val="nil"/>
                    <w:tr2bl w:val="nil"/>
                  </w:tcBorders>
                  <w:vAlign w:val="center"/>
                </w:tcPr>
                <w:p w14:paraId="2B84256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执行标准</w:t>
                  </w:r>
                </w:p>
              </w:tc>
            </w:tr>
            <w:tr w14:paraId="1B4CE22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357" w:type="dxa"/>
                  <w:vMerge w:val="continue"/>
                  <w:tcBorders>
                    <w:tl2br w:val="nil"/>
                    <w:tr2bl w:val="nil"/>
                  </w:tcBorders>
                  <w:vAlign w:val="center"/>
                </w:tcPr>
                <w:p w14:paraId="3B92B53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1"/>
                      <w:szCs w:val="21"/>
                      <w:lang w:eastAsia="zh-CN"/>
                    </w:rPr>
                  </w:pPr>
                </w:p>
              </w:tc>
              <w:tc>
                <w:tcPr>
                  <w:tcW w:w="1560" w:type="dxa"/>
                  <w:tcBorders>
                    <w:top w:val="single" w:color="000000" w:sz="6" w:space="0"/>
                    <w:bottom w:val="single" w:color="000000" w:sz="6" w:space="0"/>
                    <w:right w:val="single" w:color="000000" w:sz="6" w:space="0"/>
                    <w:tl2br w:val="nil"/>
                    <w:tr2bl w:val="nil"/>
                  </w:tcBorders>
                  <w:vAlign w:val="center"/>
                </w:tcPr>
                <w:p w14:paraId="2B090B5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eastAsia="zh-CN"/>
                    </w:rPr>
                    <w:t>监控点</w:t>
                  </w:r>
                </w:p>
              </w:tc>
              <w:tc>
                <w:tcPr>
                  <w:tcW w:w="1572" w:type="dxa"/>
                  <w:tcBorders>
                    <w:top w:val="single" w:color="000000" w:sz="6" w:space="0"/>
                    <w:left w:val="single" w:color="000000" w:sz="6" w:space="0"/>
                    <w:bottom w:val="single" w:color="000000" w:sz="6" w:space="0"/>
                    <w:tl2br w:val="nil"/>
                    <w:tr2bl w:val="nil"/>
                  </w:tcBorders>
                  <w:vAlign w:val="center"/>
                </w:tcPr>
                <w:p w14:paraId="3AC94F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浓度（</w:t>
                  </w:r>
                  <w:r>
                    <w:rPr>
                      <w:rFonts w:hint="eastAsia" w:ascii="Times New Roman" w:hAnsi="Times New Roman" w:cs="Times New Roman"/>
                      <w:color w:val="auto"/>
                      <w:sz w:val="21"/>
                      <w:szCs w:val="21"/>
                      <w:lang w:val="en-US" w:eastAsia="zh-CN"/>
                    </w:rPr>
                    <w:t>mg/m</w:t>
                  </w:r>
                  <w:r>
                    <w:rPr>
                      <w:rFonts w:hint="eastAsia" w:ascii="Times New Roman" w:hAnsi="Times New Roman" w:cs="Times New Roman"/>
                      <w:color w:val="auto"/>
                      <w:sz w:val="21"/>
                      <w:szCs w:val="21"/>
                      <w:vertAlign w:val="superscript"/>
                      <w:lang w:val="en-US" w:eastAsia="zh-CN"/>
                    </w:rPr>
                    <w:t>3</w:t>
                  </w:r>
                  <w:r>
                    <w:rPr>
                      <w:rFonts w:hint="eastAsia" w:ascii="Times New Roman" w:hAnsi="Times New Roman" w:cs="Times New Roman"/>
                      <w:color w:val="auto"/>
                      <w:sz w:val="21"/>
                      <w:szCs w:val="21"/>
                      <w:lang w:eastAsia="zh-CN"/>
                    </w:rPr>
                    <w:t>）</w:t>
                  </w:r>
                </w:p>
              </w:tc>
              <w:tc>
                <w:tcPr>
                  <w:tcW w:w="3731" w:type="dxa"/>
                  <w:vMerge w:val="continue"/>
                  <w:tcBorders>
                    <w:tl2br w:val="nil"/>
                    <w:tr2bl w:val="nil"/>
                  </w:tcBorders>
                  <w:vAlign w:val="center"/>
                </w:tcPr>
                <w:p w14:paraId="538FE84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 w:val="21"/>
                      <w:szCs w:val="21"/>
                      <w:lang w:val="en-US" w:eastAsia="zh-CN"/>
                    </w:rPr>
                  </w:pPr>
                </w:p>
              </w:tc>
            </w:tr>
            <w:tr w14:paraId="0E7C5E8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357" w:type="dxa"/>
                  <w:tcBorders>
                    <w:tl2br w:val="nil"/>
                    <w:tr2bl w:val="nil"/>
                  </w:tcBorders>
                  <w:vAlign w:val="center"/>
                </w:tcPr>
                <w:p w14:paraId="2BD1680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TSP</w:t>
                  </w:r>
                </w:p>
              </w:tc>
              <w:tc>
                <w:tcPr>
                  <w:tcW w:w="1560" w:type="dxa"/>
                  <w:tcBorders>
                    <w:top w:val="single" w:color="000000" w:sz="6" w:space="0"/>
                    <w:right w:val="single" w:color="000000" w:sz="6" w:space="0"/>
                    <w:tl2br w:val="nil"/>
                    <w:tr2bl w:val="nil"/>
                  </w:tcBorders>
                  <w:vAlign w:val="center"/>
                </w:tcPr>
                <w:p w14:paraId="64B6C97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 w:val="21"/>
                      <w:szCs w:val="21"/>
                      <w:lang w:eastAsia="zh-CN"/>
                    </w:rPr>
                  </w:pPr>
                  <w:r>
                    <w:rPr>
                      <w:rFonts w:hint="eastAsia" w:ascii="Times New Roman" w:hAnsi="Times New Roman" w:cs="Times New Roman"/>
                      <w:color w:val="auto"/>
                      <w:sz w:val="21"/>
                      <w:szCs w:val="21"/>
                      <w:lang w:eastAsia="zh-CN"/>
                    </w:rPr>
                    <w:t>周界外浓度最高点</w:t>
                  </w:r>
                </w:p>
              </w:tc>
              <w:tc>
                <w:tcPr>
                  <w:tcW w:w="1572" w:type="dxa"/>
                  <w:tcBorders>
                    <w:top w:val="single" w:color="000000" w:sz="6" w:space="0"/>
                    <w:left w:val="single" w:color="000000" w:sz="6" w:space="0"/>
                    <w:tl2br w:val="nil"/>
                    <w:tr2bl w:val="nil"/>
                  </w:tcBorders>
                  <w:vAlign w:val="center"/>
                </w:tcPr>
                <w:p w14:paraId="2679FE2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1.0</w:t>
                  </w:r>
                </w:p>
              </w:tc>
              <w:tc>
                <w:tcPr>
                  <w:tcW w:w="3731" w:type="dxa"/>
                  <w:tcBorders>
                    <w:tl2br w:val="nil"/>
                    <w:tr2bl w:val="nil"/>
                  </w:tcBorders>
                  <w:vAlign w:val="center"/>
                </w:tcPr>
                <w:p w14:paraId="5A00A6A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lang w:val="en-US" w:eastAsia="zh-CN"/>
                    </w:rPr>
                  </w:pPr>
                  <w:r>
                    <w:rPr>
                      <w:rFonts w:hint="default" w:ascii="Times New Roman" w:hAnsi="Times New Roman" w:eastAsia="宋体" w:cs="Times New Roman"/>
                      <w:bCs/>
                      <w:color w:val="auto"/>
                    </w:rPr>
                    <w:t>《大气污染物综合排放标准》</w:t>
                  </w:r>
                  <w:r>
                    <w:rPr>
                      <w:rFonts w:hint="eastAsia" w:ascii="Times New Roman" w:hAnsi="Times New Roman" w:eastAsia="宋体" w:cs="Times New Roman"/>
                      <w:bCs/>
                      <w:color w:val="auto"/>
                      <w:lang w:eastAsia="zh-CN"/>
                    </w:rPr>
                    <w:t>（</w:t>
                  </w:r>
                  <w:r>
                    <w:rPr>
                      <w:rFonts w:hint="default" w:ascii="Times New Roman" w:hAnsi="Times New Roman" w:eastAsia="宋体" w:cs="Times New Roman"/>
                      <w:bCs/>
                      <w:color w:val="auto"/>
                    </w:rPr>
                    <w:t>GB16297-1996</w:t>
                  </w:r>
                  <w:r>
                    <w:rPr>
                      <w:rFonts w:hint="eastAsia" w:ascii="Times New Roman" w:hAnsi="Times New Roman" w:eastAsia="宋体" w:cs="Times New Roman"/>
                      <w:bCs/>
                      <w:color w:val="auto"/>
                      <w:lang w:eastAsia="zh-CN"/>
                    </w:rPr>
                    <w:t>）表</w:t>
                  </w:r>
                  <w:r>
                    <w:rPr>
                      <w:rFonts w:hint="eastAsia" w:ascii="Times New Roman" w:hAnsi="Times New Roman" w:eastAsia="宋体" w:cs="Times New Roman"/>
                      <w:bCs/>
                      <w:color w:val="auto"/>
                      <w:lang w:val="en-US" w:eastAsia="zh-CN"/>
                    </w:rPr>
                    <w:t>2</w:t>
                  </w:r>
                </w:p>
                <w:p w14:paraId="6998802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1"/>
                      <w:szCs w:val="21"/>
                    </w:rPr>
                  </w:pPr>
                  <w:r>
                    <w:rPr>
                      <w:rFonts w:hint="eastAsia" w:ascii="Times New Roman" w:hAnsi="Times New Roman" w:eastAsia="宋体" w:cs="Times New Roman"/>
                      <w:bCs/>
                      <w:color w:val="auto"/>
                      <w:lang w:val="en-US" w:eastAsia="zh-CN"/>
                    </w:rPr>
                    <w:t>无组织排放监控浓度限值</w:t>
                  </w:r>
                </w:p>
              </w:tc>
            </w:tr>
          </w:tbl>
          <w:p w14:paraId="4EC69D33">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bCs/>
                <w:color w:val="auto"/>
                <w:spacing w:val="0"/>
                <w:lang w:val="en-US" w:eastAsia="zh-CN"/>
              </w:rPr>
            </w:pPr>
            <w:r>
              <w:rPr>
                <w:rFonts w:hint="default" w:ascii="Times New Roman" w:hAnsi="Times New Roman" w:cs="Times New Roman"/>
                <w:bCs/>
                <w:color w:val="auto"/>
                <w:spacing w:val="0"/>
                <w:sz w:val="24"/>
                <w:szCs w:val="24"/>
                <w:lang w:eastAsia="zh-CN"/>
              </w:rPr>
              <w:t>项目运营期</w:t>
            </w:r>
            <w:r>
              <w:rPr>
                <w:rFonts w:hint="eastAsia" w:cs="Times New Roman"/>
                <w:bCs/>
                <w:color w:val="auto"/>
                <w:spacing w:val="0"/>
                <w:sz w:val="24"/>
                <w:szCs w:val="24"/>
                <w:lang w:eastAsia="zh-CN"/>
              </w:rPr>
              <w:t>的</w:t>
            </w:r>
            <w:r>
              <w:rPr>
                <w:rFonts w:hint="default" w:ascii="Times New Roman" w:hAnsi="Times New Roman" w:cs="Times New Roman"/>
                <w:bCs/>
                <w:color w:val="auto"/>
                <w:spacing w:val="0"/>
                <w:sz w:val="24"/>
                <w:szCs w:val="24"/>
                <w:lang w:eastAsia="zh-CN"/>
              </w:rPr>
              <w:t>地下车库</w:t>
            </w:r>
            <w:r>
              <w:rPr>
                <w:rFonts w:hint="eastAsia" w:cs="Times New Roman"/>
                <w:bCs/>
                <w:color w:val="auto"/>
                <w:spacing w:val="0"/>
                <w:sz w:val="24"/>
                <w:szCs w:val="24"/>
                <w:lang w:eastAsia="zh-CN"/>
              </w:rPr>
              <w:t>的排气口废气</w:t>
            </w:r>
            <w:r>
              <w:rPr>
                <w:rFonts w:hint="default" w:ascii="Times New Roman" w:hAnsi="Times New Roman" w:cs="Times New Roman"/>
                <w:bCs/>
                <w:color w:val="auto"/>
                <w:spacing w:val="0"/>
                <w:sz w:val="24"/>
                <w:szCs w:val="24"/>
                <w:lang w:eastAsia="zh-CN"/>
              </w:rPr>
              <w:t>中</w:t>
            </w:r>
            <w:r>
              <w:rPr>
                <w:rFonts w:hint="eastAsia" w:cs="Times New Roman"/>
                <w:bCs/>
                <w:color w:val="auto"/>
                <w:spacing w:val="0"/>
                <w:sz w:val="24"/>
                <w:szCs w:val="24"/>
                <w:lang w:eastAsia="zh-CN"/>
              </w:rPr>
              <w:t>的</w:t>
            </w:r>
            <w:r>
              <w:rPr>
                <w:rFonts w:hint="default" w:ascii="Times New Roman" w:hAnsi="Times New Roman" w:cs="Times New Roman"/>
                <w:bCs/>
                <w:color w:val="auto"/>
                <w:spacing w:val="0"/>
                <w:sz w:val="24"/>
                <w:szCs w:val="24"/>
                <w:lang w:eastAsia="zh-CN"/>
              </w:rPr>
              <w:t>NO</w:t>
            </w:r>
            <w:r>
              <w:rPr>
                <w:rFonts w:hint="eastAsia" w:ascii="Times New Roman" w:hAnsi="Times New Roman" w:cs="Times New Roman"/>
                <w:bCs/>
                <w:color w:val="auto"/>
                <w:spacing w:val="0"/>
                <w:sz w:val="24"/>
                <w:szCs w:val="24"/>
                <w:vertAlign w:val="subscript"/>
                <w:lang w:val="en-US" w:eastAsia="zh-CN"/>
              </w:rPr>
              <w:t>X</w:t>
            </w:r>
            <w:r>
              <w:rPr>
                <w:rFonts w:hint="default" w:ascii="Times New Roman" w:hAnsi="Times New Roman" w:cs="Times New Roman"/>
                <w:bCs/>
                <w:color w:val="auto"/>
                <w:spacing w:val="0"/>
                <w:sz w:val="24"/>
                <w:szCs w:val="24"/>
                <w:lang w:eastAsia="zh-CN"/>
              </w:rPr>
              <w:t>、非甲烷总烃</w:t>
            </w:r>
            <w:r>
              <w:rPr>
                <w:rFonts w:hint="eastAsia" w:ascii="Times New Roman" w:hAnsi="Times New Roman" w:cs="Times New Roman"/>
                <w:bCs/>
                <w:color w:val="auto"/>
                <w:spacing w:val="0"/>
                <w:sz w:val="24"/>
                <w:szCs w:val="24"/>
                <w:lang w:eastAsia="zh-CN"/>
              </w:rPr>
              <w:t>执行</w:t>
            </w:r>
            <w:r>
              <w:rPr>
                <w:rFonts w:hint="default" w:ascii="Times New Roman" w:hAnsi="Times New Roman" w:eastAsia="宋体" w:cs="Times New Roman"/>
                <w:bCs/>
                <w:color w:val="auto"/>
                <w:spacing w:val="0"/>
              </w:rPr>
              <w:t>《大气污染物综合排放标准》</w:t>
            </w:r>
            <w:r>
              <w:rPr>
                <w:rFonts w:hint="eastAsia" w:ascii="Times New Roman" w:hAnsi="Times New Roman" w:eastAsia="宋体" w:cs="Times New Roman"/>
                <w:bCs/>
                <w:color w:val="auto"/>
                <w:spacing w:val="0"/>
                <w:lang w:eastAsia="zh-CN"/>
              </w:rPr>
              <w:t>（</w:t>
            </w:r>
            <w:r>
              <w:rPr>
                <w:rFonts w:hint="default" w:ascii="Times New Roman" w:hAnsi="Times New Roman" w:eastAsia="宋体" w:cs="Times New Roman"/>
                <w:bCs/>
                <w:color w:val="auto"/>
                <w:spacing w:val="0"/>
              </w:rPr>
              <w:t>GB16297-1996</w:t>
            </w:r>
            <w:r>
              <w:rPr>
                <w:rFonts w:hint="eastAsia" w:ascii="Times New Roman" w:hAnsi="Times New Roman" w:eastAsia="宋体" w:cs="Times New Roman"/>
                <w:bCs/>
                <w:color w:val="auto"/>
                <w:spacing w:val="0"/>
                <w:lang w:eastAsia="zh-CN"/>
              </w:rPr>
              <w:t>）</w:t>
            </w:r>
            <w:r>
              <w:rPr>
                <w:rFonts w:hint="default" w:ascii="Times New Roman" w:hAnsi="Times New Roman" w:eastAsia="宋体" w:cs="Times New Roman"/>
                <w:bCs/>
                <w:color w:val="auto"/>
                <w:spacing w:val="0"/>
              </w:rPr>
              <w:t>表2</w:t>
            </w:r>
            <w:r>
              <w:rPr>
                <w:rFonts w:hint="eastAsia" w:ascii="Times New Roman" w:hAnsi="Times New Roman" w:eastAsia="宋体" w:cs="Times New Roman"/>
                <w:bCs/>
                <w:color w:val="auto"/>
                <w:spacing w:val="0"/>
                <w:lang w:eastAsia="zh-CN"/>
              </w:rPr>
              <w:t>新污染源大气污染物无组织排放监控浓度限值，具体见下表</w:t>
            </w:r>
            <w:r>
              <w:rPr>
                <w:rFonts w:hint="eastAsia" w:ascii="Times New Roman" w:hAnsi="Times New Roman" w:eastAsia="宋体" w:cs="Times New Roman"/>
                <w:bCs/>
                <w:color w:val="auto"/>
                <w:spacing w:val="0"/>
                <w:lang w:val="en-US" w:eastAsia="zh-CN"/>
              </w:rPr>
              <w:t>4-5。</w:t>
            </w:r>
          </w:p>
          <w:p w14:paraId="2648BF90">
            <w:pPr>
              <w:pStyle w:val="33"/>
              <w:spacing w:line="360" w:lineRule="auto"/>
              <w:ind w:firstLine="0" w:firstLineChars="0"/>
              <w:jc w:val="center"/>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 xml:space="preserve">4-5 </w:t>
            </w:r>
            <w:r>
              <w:rPr>
                <w:rFonts w:hint="eastAsia" w:cs="Times New Roman"/>
                <w:b/>
                <w:bCs/>
                <w:color w:val="auto"/>
                <w:sz w:val="21"/>
                <w:szCs w:val="21"/>
                <w:lang w:val="en-US" w:eastAsia="zh-CN"/>
              </w:rPr>
              <w:t xml:space="preserve"> </w:t>
            </w:r>
            <w:r>
              <w:rPr>
                <w:rFonts w:hint="default" w:ascii="Times New Roman" w:hAnsi="Times New Roman" w:cs="Times New Roman"/>
                <w:b/>
                <w:bCs/>
                <w:color w:val="auto"/>
                <w:sz w:val="21"/>
                <w:szCs w:val="21"/>
                <w:lang w:val="en-US" w:eastAsia="zh-CN"/>
              </w:rPr>
              <w:t>运营期汽车尾气执行标准</w:t>
            </w:r>
          </w:p>
          <w:tbl>
            <w:tblPr>
              <w:tblStyle w:val="15"/>
              <w:tblW w:w="8220"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1621"/>
              <w:gridCol w:w="1774"/>
              <w:gridCol w:w="3524"/>
            </w:tblGrid>
            <w:tr w14:paraId="0A37F10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301" w:type="dxa"/>
                  <w:vMerge w:val="restart"/>
                  <w:tcBorders>
                    <w:tl2br w:val="nil"/>
                    <w:tr2bl w:val="nil"/>
                  </w:tcBorders>
                  <w:vAlign w:val="center"/>
                </w:tcPr>
                <w:p w14:paraId="08AE60C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污染物</w:t>
                  </w:r>
                </w:p>
              </w:tc>
              <w:tc>
                <w:tcPr>
                  <w:tcW w:w="3395" w:type="dxa"/>
                  <w:gridSpan w:val="2"/>
                  <w:tcBorders>
                    <w:tl2br w:val="nil"/>
                    <w:tr2bl w:val="nil"/>
                  </w:tcBorders>
                  <w:vAlign w:val="center"/>
                </w:tcPr>
                <w:p w14:paraId="1788292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lang w:val="en-US" w:eastAsia="zh-CN"/>
                    </w:rPr>
                    <w:t>无组织排放监控浓度限值</w:t>
                  </w:r>
                </w:p>
              </w:tc>
              <w:tc>
                <w:tcPr>
                  <w:tcW w:w="3524" w:type="dxa"/>
                  <w:vMerge w:val="restart"/>
                  <w:tcBorders>
                    <w:tl2br w:val="nil"/>
                    <w:tr2bl w:val="nil"/>
                  </w:tcBorders>
                  <w:vAlign w:val="center"/>
                </w:tcPr>
                <w:p w14:paraId="26688F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lang w:val="en-US" w:eastAsia="zh-CN"/>
                    </w:rPr>
                    <w:t>执行标准</w:t>
                  </w:r>
                </w:p>
              </w:tc>
            </w:tr>
            <w:tr w14:paraId="0993DAC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301" w:type="dxa"/>
                  <w:vMerge w:val="continue"/>
                  <w:tcBorders>
                    <w:tl2br w:val="nil"/>
                    <w:tr2bl w:val="nil"/>
                  </w:tcBorders>
                  <w:vAlign w:val="center"/>
                </w:tcPr>
                <w:p w14:paraId="48FBDCA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1"/>
                      <w:szCs w:val="21"/>
                    </w:rPr>
                  </w:pPr>
                </w:p>
              </w:tc>
              <w:tc>
                <w:tcPr>
                  <w:tcW w:w="1621" w:type="dxa"/>
                  <w:tcBorders>
                    <w:right w:val="single" w:color="000000" w:sz="6" w:space="0"/>
                    <w:tl2br w:val="nil"/>
                    <w:tr2bl w:val="nil"/>
                  </w:tcBorders>
                  <w:vAlign w:val="center"/>
                </w:tcPr>
                <w:p w14:paraId="320C746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lang w:eastAsia="zh-CN"/>
                    </w:rPr>
                    <w:t>监控点</w:t>
                  </w:r>
                </w:p>
              </w:tc>
              <w:tc>
                <w:tcPr>
                  <w:tcW w:w="1774" w:type="dxa"/>
                  <w:tcBorders>
                    <w:left w:val="single" w:color="000000" w:sz="6" w:space="0"/>
                    <w:tl2br w:val="nil"/>
                    <w:tr2bl w:val="nil"/>
                  </w:tcBorders>
                  <w:vAlign w:val="center"/>
                </w:tcPr>
                <w:p w14:paraId="0B8EAD6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lang w:eastAsia="zh-CN"/>
                    </w:rPr>
                    <w:t>浓度（</w:t>
                  </w:r>
                  <w:r>
                    <w:rPr>
                      <w:rFonts w:hint="default" w:ascii="Times New Roman" w:hAnsi="Times New Roman" w:cs="Times New Roman"/>
                      <w:color w:val="auto"/>
                      <w:sz w:val="21"/>
                      <w:szCs w:val="21"/>
                      <w:lang w:val="en-US" w:eastAsia="zh-CN"/>
                    </w:rPr>
                    <w:t>mg/m</w:t>
                  </w:r>
                  <w:r>
                    <w:rPr>
                      <w:rFonts w:hint="default" w:ascii="Times New Roman" w:hAnsi="Times New Roman" w:cs="Times New Roman"/>
                      <w:color w:val="auto"/>
                      <w:sz w:val="21"/>
                      <w:szCs w:val="21"/>
                      <w:vertAlign w:val="superscript"/>
                      <w:lang w:val="en-US" w:eastAsia="zh-CN"/>
                    </w:rPr>
                    <w:t>3</w:t>
                  </w:r>
                  <w:r>
                    <w:rPr>
                      <w:rFonts w:hint="default" w:ascii="Times New Roman" w:hAnsi="Times New Roman" w:cs="Times New Roman"/>
                      <w:color w:val="auto"/>
                      <w:sz w:val="21"/>
                      <w:szCs w:val="21"/>
                      <w:lang w:eastAsia="zh-CN"/>
                    </w:rPr>
                    <w:t>）</w:t>
                  </w:r>
                </w:p>
              </w:tc>
              <w:tc>
                <w:tcPr>
                  <w:tcW w:w="3524" w:type="dxa"/>
                  <w:vMerge w:val="continue"/>
                  <w:tcBorders>
                    <w:tl2br w:val="nil"/>
                    <w:tr2bl w:val="nil"/>
                  </w:tcBorders>
                  <w:vAlign w:val="center"/>
                </w:tcPr>
                <w:p w14:paraId="781E285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p>
              </w:tc>
            </w:tr>
            <w:tr w14:paraId="49CB66C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301" w:type="dxa"/>
                  <w:tcBorders>
                    <w:tl2br w:val="nil"/>
                    <w:tr2bl w:val="nil"/>
                  </w:tcBorders>
                  <w:vAlign w:val="center"/>
                </w:tcPr>
                <w:p w14:paraId="30FBD0B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NO</w:t>
                  </w:r>
                  <w:r>
                    <w:rPr>
                      <w:rFonts w:hint="default" w:ascii="Times New Roman" w:hAnsi="Times New Roman" w:eastAsia="宋体" w:cs="Times New Roman"/>
                      <w:color w:val="auto"/>
                      <w:sz w:val="21"/>
                      <w:szCs w:val="21"/>
                      <w:vertAlign w:val="subscript"/>
                      <w:lang w:val="en-US" w:eastAsia="zh-CN"/>
                    </w:rPr>
                    <w:t>X</w:t>
                  </w:r>
                </w:p>
              </w:tc>
              <w:tc>
                <w:tcPr>
                  <w:tcW w:w="1621" w:type="dxa"/>
                  <w:vMerge w:val="restart"/>
                  <w:tcBorders>
                    <w:right w:val="single" w:color="000000" w:sz="6" w:space="0"/>
                    <w:tl2br w:val="nil"/>
                    <w:tr2bl w:val="nil"/>
                  </w:tcBorders>
                  <w:vAlign w:val="center"/>
                </w:tcPr>
                <w:p w14:paraId="3C32CD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lang w:eastAsia="zh-CN"/>
                    </w:rPr>
                    <w:t>周界外浓度最高点</w:t>
                  </w:r>
                </w:p>
              </w:tc>
              <w:tc>
                <w:tcPr>
                  <w:tcW w:w="1774" w:type="dxa"/>
                  <w:tcBorders>
                    <w:left w:val="single" w:color="000000" w:sz="6" w:space="0"/>
                    <w:tl2br w:val="nil"/>
                    <w:tr2bl w:val="nil"/>
                  </w:tcBorders>
                  <w:vAlign w:val="center"/>
                </w:tcPr>
                <w:p w14:paraId="3D5A0A1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0.12</w:t>
                  </w:r>
                </w:p>
              </w:tc>
              <w:tc>
                <w:tcPr>
                  <w:tcW w:w="3524" w:type="dxa"/>
                  <w:vMerge w:val="restart"/>
                  <w:tcBorders>
                    <w:tl2br w:val="nil"/>
                    <w:tr2bl w:val="nil"/>
                  </w:tcBorders>
                  <w:vAlign w:val="center"/>
                </w:tcPr>
                <w:p w14:paraId="0DC641F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rPr>
                    <w:t>《大气污染物综合排放标准》</w:t>
                  </w:r>
                  <w:r>
                    <w:rPr>
                      <w:rFonts w:hint="default" w:ascii="Times New Roman" w:hAnsi="Times New Roman" w:eastAsia="宋体" w:cs="Times New Roman"/>
                      <w:bCs/>
                      <w:color w:val="auto"/>
                      <w:sz w:val="21"/>
                      <w:szCs w:val="21"/>
                      <w:lang w:eastAsia="zh-CN"/>
                    </w:rPr>
                    <w:t>（</w:t>
                  </w:r>
                  <w:r>
                    <w:rPr>
                      <w:rFonts w:hint="default" w:ascii="Times New Roman" w:hAnsi="Times New Roman" w:eastAsia="宋体" w:cs="Times New Roman"/>
                      <w:bCs/>
                      <w:color w:val="auto"/>
                      <w:sz w:val="21"/>
                      <w:szCs w:val="21"/>
                    </w:rPr>
                    <w:t>GB16297-1996</w:t>
                  </w:r>
                  <w:r>
                    <w:rPr>
                      <w:rFonts w:hint="default" w:ascii="Times New Roman" w:hAnsi="Times New Roman" w:eastAsia="宋体" w:cs="Times New Roman"/>
                      <w:bCs/>
                      <w:color w:val="auto"/>
                      <w:sz w:val="21"/>
                      <w:szCs w:val="21"/>
                      <w:lang w:eastAsia="zh-CN"/>
                    </w:rPr>
                    <w:t>）表</w:t>
                  </w:r>
                  <w:r>
                    <w:rPr>
                      <w:rFonts w:hint="default" w:ascii="Times New Roman" w:hAnsi="Times New Roman" w:eastAsia="宋体" w:cs="Times New Roman"/>
                      <w:bCs/>
                      <w:color w:val="auto"/>
                      <w:sz w:val="21"/>
                      <w:szCs w:val="21"/>
                      <w:lang w:val="en-US" w:eastAsia="zh-CN"/>
                    </w:rPr>
                    <w:t>2</w:t>
                  </w:r>
                </w:p>
                <w:p w14:paraId="4A08148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lang w:val="en-US" w:eastAsia="zh-CN"/>
                    </w:rPr>
                    <w:t>无组织排放监控浓度限值</w:t>
                  </w:r>
                </w:p>
              </w:tc>
            </w:tr>
            <w:tr w14:paraId="16CB8ED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301" w:type="dxa"/>
                  <w:tcBorders>
                    <w:tl2br w:val="nil"/>
                    <w:tr2bl w:val="nil"/>
                  </w:tcBorders>
                  <w:vAlign w:val="center"/>
                </w:tcPr>
                <w:p w14:paraId="5E0EA0F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非甲烷总烃</w:t>
                  </w:r>
                </w:p>
              </w:tc>
              <w:tc>
                <w:tcPr>
                  <w:tcW w:w="1621" w:type="dxa"/>
                  <w:vMerge w:val="continue"/>
                  <w:tcBorders>
                    <w:right w:val="single" w:color="000000" w:sz="6" w:space="0"/>
                    <w:tl2br w:val="nil"/>
                    <w:tr2bl w:val="nil"/>
                  </w:tcBorders>
                  <w:vAlign w:val="center"/>
                </w:tcPr>
                <w:p w14:paraId="268E446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p>
              </w:tc>
              <w:tc>
                <w:tcPr>
                  <w:tcW w:w="1774" w:type="dxa"/>
                  <w:tcBorders>
                    <w:left w:val="single" w:color="000000" w:sz="6" w:space="0"/>
                    <w:tl2br w:val="nil"/>
                    <w:tr2bl w:val="nil"/>
                  </w:tcBorders>
                  <w:vAlign w:val="center"/>
                </w:tcPr>
                <w:p w14:paraId="433EA8C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4.0</w:t>
                  </w:r>
                </w:p>
              </w:tc>
              <w:tc>
                <w:tcPr>
                  <w:tcW w:w="3524" w:type="dxa"/>
                  <w:vMerge w:val="continue"/>
                  <w:tcBorders>
                    <w:tl2br w:val="nil"/>
                    <w:tr2bl w:val="nil"/>
                  </w:tcBorders>
                  <w:vAlign w:val="center"/>
                </w:tcPr>
                <w:p w14:paraId="174578B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p>
              </w:tc>
            </w:tr>
          </w:tbl>
          <w:p w14:paraId="274FD3E6">
            <w:pPr>
              <w:keepNext w:val="0"/>
              <w:keepLines w:val="0"/>
              <w:pageBreakBefore w:val="0"/>
              <w:widowControl w:val="0"/>
              <w:suppressLineNumbers w:val="0"/>
              <w:kinsoku/>
              <w:wordWrap/>
              <w:overflowPunct/>
              <w:topLinePunct w:val="0"/>
              <w:autoSpaceDE w:val="0"/>
              <w:autoSpaceDN w:val="0"/>
              <w:bidi w:val="0"/>
              <w:adjustRightInd/>
              <w:snapToGrid/>
              <w:spacing w:beforeAutospacing="0" w:afterAutospacing="0" w:line="360" w:lineRule="auto"/>
              <w:ind w:left="0" w:leftChars="0" w:right="0" w:rightChars="0" w:firstLine="468" w:firstLineChars="200"/>
              <w:jc w:val="both"/>
              <w:textAlignment w:val="auto"/>
              <w:outlineLvl w:val="9"/>
              <w:rPr>
                <w:rFonts w:hint="eastAsia" w:hAnsi="宋体"/>
                <w:b/>
                <w:bCs w:val="0"/>
                <w:color w:val="auto"/>
                <w:lang w:val="en-US" w:eastAsia="zh-CN"/>
              </w:rPr>
            </w:pPr>
            <w:r>
              <w:rPr>
                <w:rFonts w:hint="default" w:ascii="Times New Roman" w:hAnsi="Times New Roman" w:eastAsia="宋体" w:cs="Times New Roman"/>
                <w:color w:val="auto"/>
                <w:spacing w:val="-3"/>
                <w:sz w:val="24"/>
                <w:lang w:eastAsia="zh-CN"/>
              </w:rPr>
              <w:t>项目运营期的垃圾收集点产生的</w:t>
            </w:r>
            <w:r>
              <w:rPr>
                <w:rFonts w:hint="default" w:ascii="Times New Roman" w:hAnsi="Times New Roman" w:eastAsia="宋体" w:cs="Times New Roman"/>
                <w:color w:val="auto"/>
                <w:spacing w:val="-3"/>
                <w:sz w:val="24"/>
              </w:rPr>
              <w:t>臭气执行《恶臭污染物排放标准》(GB14554-93)</w:t>
            </w:r>
            <w:r>
              <w:rPr>
                <w:rFonts w:hint="eastAsia" w:cs="Times New Roman"/>
                <w:color w:val="auto"/>
                <w:spacing w:val="-3"/>
                <w:sz w:val="24"/>
                <w:lang w:eastAsia="zh-CN"/>
              </w:rPr>
              <w:t>中</w:t>
            </w:r>
            <w:r>
              <w:rPr>
                <w:rFonts w:hint="default" w:ascii="Times New Roman" w:hAnsi="Times New Roman" w:eastAsia="宋体" w:cs="Times New Roman"/>
                <w:color w:val="auto"/>
                <w:spacing w:val="-3"/>
                <w:sz w:val="24"/>
              </w:rPr>
              <w:t>二级标准，臭气浓度≤20</w:t>
            </w:r>
            <w:r>
              <w:rPr>
                <w:rFonts w:hint="default" w:ascii="Times New Roman" w:hAnsi="Times New Roman" w:eastAsia="宋体" w:cs="Times New Roman"/>
                <w:color w:val="auto"/>
                <w:spacing w:val="-3"/>
                <w:sz w:val="24"/>
                <w:lang w:val="zh-CN"/>
              </w:rPr>
              <w:t>。</w:t>
            </w:r>
          </w:p>
          <w:p w14:paraId="1052A979">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b/>
                <w:bCs w:val="0"/>
                <w:color w:val="auto"/>
              </w:rPr>
            </w:pPr>
            <w:r>
              <w:rPr>
                <w:rFonts w:hint="eastAsia" w:hAnsi="宋体"/>
                <w:b/>
                <w:bCs w:val="0"/>
                <w:color w:val="auto"/>
                <w:lang w:val="en-US" w:eastAsia="zh-CN"/>
              </w:rPr>
              <w:t>2、</w:t>
            </w:r>
            <w:r>
              <w:rPr>
                <w:rFonts w:hAnsi="宋体"/>
                <w:b/>
                <w:bCs w:val="0"/>
                <w:color w:val="auto"/>
              </w:rPr>
              <w:t>废水</w:t>
            </w:r>
          </w:p>
          <w:p w14:paraId="44E1AC93">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bCs/>
                <w:color w:val="auto"/>
              </w:rPr>
            </w:pPr>
            <w:r>
              <w:rPr>
                <w:rFonts w:hint="default" w:ascii="Times New Roman" w:hAnsi="Times New Roman" w:eastAsia="宋体" w:cs="Times New Roman"/>
                <w:bCs/>
                <w:color w:val="auto"/>
              </w:rPr>
              <w:t>项目</w:t>
            </w:r>
            <w:r>
              <w:rPr>
                <w:rFonts w:hint="eastAsia" w:cs="Times New Roman"/>
                <w:bCs/>
                <w:color w:val="auto"/>
                <w:lang w:eastAsia="zh-CN"/>
              </w:rPr>
              <w:t>运营期废水</w:t>
            </w:r>
            <w:r>
              <w:rPr>
                <w:rFonts w:hint="default" w:ascii="Times New Roman" w:hAnsi="Times New Roman" w:eastAsia="宋体" w:cs="Times New Roman"/>
                <w:bCs/>
                <w:color w:val="auto"/>
              </w:rPr>
              <w:t>水</w:t>
            </w:r>
            <w:r>
              <w:rPr>
                <w:rFonts w:hint="eastAsia" w:cs="Times New Roman"/>
                <w:bCs/>
                <w:color w:val="auto"/>
                <w:lang w:eastAsia="zh-CN"/>
              </w:rPr>
              <w:t>主要</w:t>
            </w:r>
            <w:r>
              <w:rPr>
                <w:rFonts w:hint="default" w:ascii="Times New Roman" w:hAnsi="Times New Roman" w:eastAsia="宋体" w:cs="Times New Roman"/>
                <w:bCs/>
                <w:color w:val="auto"/>
              </w:rPr>
              <w:t>为</w:t>
            </w:r>
            <w:r>
              <w:rPr>
                <w:rFonts w:hint="eastAsia" w:ascii="Times New Roman" w:hAnsi="Times New Roman" w:eastAsia="宋体" w:cs="Times New Roman"/>
                <w:bCs/>
                <w:color w:val="auto"/>
                <w:lang w:eastAsia="zh-CN"/>
              </w:rPr>
              <w:t>住宅区、商业区、</w:t>
            </w:r>
            <w:r>
              <w:rPr>
                <w:rFonts w:hint="eastAsia" w:cs="Times New Roman"/>
                <w:bCs/>
                <w:color w:val="auto"/>
                <w:lang w:eastAsia="zh-CN"/>
              </w:rPr>
              <w:t>配套公建设施用房</w:t>
            </w:r>
            <w:r>
              <w:rPr>
                <w:rFonts w:hint="eastAsia" w:ascii="Times New Roman" w:hAnsi="Times New Roman" w:eastAsia="宋体" w:cs="Times New Roman"/>
                <w:bCs/>
                <w:color w:val="auto"/>
                <w:lang w:eastAsia="zh-CN"/>
              </w:rPr>
              <w:t>的生活污水</w:t>
            </w:r>
            <w:r>
              <w:rPr>
                <w:rFonts w:hint="eastAsia" w:cs="Times New Roman"/>
                <w:bCs/>
                <w:color w:val="auto"/>
                <w:lang w:eastAsia="zh-CN"/>
              </w:rPr>
              <w:t>以</w:t>
            </w:r>
            <w:r>
              <w:rPr>
                <w:rFonts w:hint="eastAsia" w:ascii="Times New Roman" w:hAnsi="Times New Roman" w:eastAsia="宋体" w:cs="Times New Roman"/>
                <w:bCs/>
                <w:color w:val="auto"/>
                <w:lang w:eastAsia="zh-CN"/>
              </w:rPr>
              <w:t>及地下车库清洗</w:t>
            </w:r>
            <w:r>
              <w:rPr>
                <w:rFonts w:hint="eastAsia" w:cs="Times New Roman"/>
                <w:bCs/>
                <w:color w:val="auto"/>
                <w:lang w:eastAsia="zh-CN"/>
              </w:rPr>
              <w:t>废</w:t>
            </w:r>
            <w:r>
              <w:rPr>
                <w:rFonts w:hint="eastAsia" w:ascii="Times New Roman" w:hAnsi="Times New Roman" w:eastAsia="宋体" w:cs="Times New Roman"/>
                <w:bCs/>
                <w:color w:val="auto"/>
                <w:lang w:eastAsia="zh-CN"/>
              </w:rPr>
              <w:t>水</w:t>
            </w:r>
            <w:r>
              <w:rPr>
                <w:rFonts w:hint="eastAsia" w:cs="Times New Roman"/>
                <w:bCs/>
                <w:color w:val="auto"/>
                <w:lang w:eastAsia="zh-CN"/>
              </w:rPr>
              <w:t>。地下车库清洗废水经过隔油沉沙池处理后再与生活污水汇合后</w:t>
            </w:r>
            <w:r>
              <w:rPr>
                <w:rFonts w:hint="default" w:ascii="Times New Roman" w:hAnsi="Times New Roman" w:eastAsia="宋体" w:cs="Times New Roman"/>
                <w:bCs/>
                <w:color w:val="auto"/>
              </w:rPr>
              <w:t>经化粪</w:t>
            </w:r>
            <w:r>
              <w:rPr>
                <w:rFonts w:hint="eastAsia" w:ascii="Times New Roman" w:hAnsi="Times New Roman" w:eastAsia="宋体" w:cs="Times New Roman"/>
                <w:bCs/>
                <w:color w:val="auto"/>
                <w:lang w:eastAsia="zh-CN"/>
              </w:rPr>
              <w:t>池处理达到</w:t>
            </w:r>
            <w:r>
              <w:rPr>
                <w:rFonts w:hint="default" w:ascii="Times New Roman" w:hAnsi="Times New Roman" w:eastAsia="宋体" w:cs="Times New Roman"/>
                <w:bCs/>
                <w:color w:val="auto"/>
              </w:rPr>
              <w:t>《污水综合排放标准》（GB8978-1996）</w:t>
            </w:r>
            <w:r>
              <w:rPr>
                <w:rFonts w:hint="eastAsia" w:ascii="Times New Roman" w:hAnsi="Times New Roman" w:eastAsia="宋体" w:cs="Times New Roman"/>
                <w:bCs/>
                <w:color w:val="auto"/>
                <w:lang w:eastAsia="zh-CN"/>
              </w:rPr>
              <w:t>表</w:t>
            </w:r>
            <w:r>
              <w:rPr>
                <w:rFonts w:hint="eastAsia" w:ascii="Times New Roman" w:hAnsi="Times New Roman" w:eastAsia="宋体" w:cs="Times New Roman"/>
                <w:bCs/>
                <w:color w:val="auto"/>
                <w:lang w:val="en-US" w:eastAsia="zh-CN"/>
              </w:rPr>
              <w:t>4</w:t>
            </w:r>
            <w:r>
              <w:rPr>
                <w:rFonts w:hint="default" w:ascii="Times New Roman" w:hAnsi="Times New Roman" w:eastAsia="宋体" w:cs="Times New Roman"/>
                <w:bCs/>
                <w:color w:val="auto"/>
              </w:rPr>
              <w:t>三级标准，</w:t>
            </w:r>
            <w:r>
              <w:rPr>
                <w:rFonts w:hint="eastAsia" w:ascii="Times New Roman" w:hAnsi="Times New Roman" w:eastAsia="宋体" w:cs="Times New Roman"/>
                <w:bCs/>
                <w:color w:val="auto"/>
                <w:lang w:eastAsia="zh-CN"/>
              </w:rPr>
              <w:t>同时氨氮</w:t>
            </w:r>
            <w:r>
              <w:rPr>
                <w:rFonts w:hint="eastAsia" w:cs="Times New Roman"/>
                <w:bCs/>
                <w:color w:val="auto"/>
                <w:lang w:eastAsia="zh-CN"/>
              </w:rPr>
              <w:t>达到</w:t>
            </w:r>
            <w:r>
              <w:rPr>
                <w:rFonts w:hint="default" w:ascii="Times New Roman" w:hAnsi="Times New Roman" w:eastAsia="宋体" w:cs="Times New Roman"/>
                <w:bCs/>
                <w:color w:val="auto"/>
              </w:rPr>
              <w:t>《污水</w:t>
            </w:r>
            <w:r>
              <w:rPr>
                <w:rFonts w:hint="eastAsia" w:ascii="Times New Roman" w:hAnsi="Times New Roman" w:eastAsia="宋体" w:cs="Times New Roman"/>
                <w:bCs/>
                <w:color w:val="auto"/>
                <w:lang w:eastAsia="zh-CN"/>
              </w:rPr>
              <w:t>排入城镇下水道水质</w:t>
            </w:r>
            <w:r>
              <w:rPr>
                <w:rFonts w:hint="default" w:ascii="Times New Roman" w:hAnsi="Times New Roman" w:eastAsia="宋体" w:cs="Times New Roman"/>
                <w:bCs/>
                <w:color w:val="auto"/>
              </w:rPr>
              <w:t>标准》（GB</w:t>
            </w:r>
            <w:r>
              <w:rPr>
                <w:rFonts w:hint="eastAsia" w:ascii="Times New Roman" w:hAnsi="Times New Roman" w:eastAsia="宋体" w:cs="Times New Roman"/>
                <w:bCs/>
                <w:color w:val="auto"/>
                <w:lang w:val="en-US" w:eastAsia="zh-CN"/>
              </w:rPr>
              <w:t>/T31962</w:t>
            </w:r>
            <w:r>
              <w:rPr>
                <w:rFonts w:hint="default" w:ascii="Times New Roman" w:hAnsi="Times New Roman" w:eastAsia="宋体" w:cs="Times New Roman"/>
                <w:bCs/>
                <w:color w:val="auto"/>
              </w:rPr>
              <w:t>-</w:t>
            </w:r>
            <w:r>
              <w:rPr>
                <w:rFonts w:hint="eastAsia" w:ascii="Times New Roman" w:hAnsi="Times New Roman" w:eastAsia="宋体" w:cs="Times New Roman"/>
                <w:bCs/>
                <w:color w:val="auto"/>
                <w:lang w:val="en-US" w:eastAsia="zh-CN"/>
              </w:rPr>
              <w:t>2015</w:t>
            </w:r>
            <w:r>
              <w:rPr>
                <w:rFonts w:hint="default" w:ascii="Times New Roman" w:hAnsi="Times New Roman" w:eastAsia="宋体" w:cs="Times New Roman"/>
                <w:bCs/>
                <w:color w:val="auto"/>
              </w:rPr>
              <w:t>）</w:t>
            </w:r>
            <w:r>
              <w:rPr>
                <w:rFonts w:hint="eastAsia" w:ascii="Times New Roman" w:hAnsi="Times New Roman" w:eastAsia="宋体" w:cs="Times New Roman"/>
                <w:bCs/>
                <w:color w:val="auto"/>
                <w:lang w:eastAsia="zh-CN"/>
              </w:rPr>
              <w:t>中</w:t>
            </w:r>
            <w:r>
              <w:rPr>
                <w:rFonts w:hint="eastAsia" w:ascii="Times New Roman" w:hAnsi="Times New Roman" w:eastAsia="宋体" w:cs="Times New Roman"/>
                <w:bCs/>
                <w:color w:val="auto"/>
                <w:lang w:val="en-US" w:eastAsia="zh-CN"/>
              </w:rPr>
              <w:t>B级排放标准后</w:t>
            </w:r>
            <w:r>
              <w:rPr>
                <w:rFonts w:hint="eastAsia" w:cs="Times New Roman"/>
                <w:bCs/>
                <w:color w:val="auto"/>
                <w:lang w:val="en-US" w:eastAsia="zh-CN"/>
              </w:rPr>
              <w:t>通过项目污水总排口</w:t>
            </w:r>
            <w:r>
              <w:rPr>
                <w:rFonts w:hint="eastAsia" w:ascii="Times New Roman" w:hAnsi="Times New Roman" w:eastAsia="宋体" w:cs="Times New Roman"/>
                <w:bCs/>
                <w:color w:val="auto"/>
                <w:lang w:val="en-US" w:eastAsia="zh-CN"/>
              </w:rPr>
              <w:t>排</w:t>
            </w:r>
            <w:r>
              <w:rPr>
                <w:rFonts w:hint="default" w:ascii="Times New Roman" w:hAnsi="Times New Roman" w:eastAsia="宋体" w:cs="Times New Roman"/>
                <w:bCs/>
                <w:color w:val="auto"/>
              </w:rPr>
              <w:t>入市政污水管网，经葛店污水处理厂处理后排入长江</w:t>
            </w:r>
            <w:r>
              <w:rPr>
                <w:rFonts w:hint="eastAsia" w:cs="Times New Roman"/>
                <w:bCs/>
                <w:color w:val="auto"/>
                <w:lang w:eastAsia="zh-CN"/>
              </w:rPr>
              <w:t>（鄂州段）</w:t>
            </w:r>
            <w:r>
              <w:rPr>
                <w:rFonts w:hint="default" w:ascii="Times New Roman" w:hAnsi="Times New Roman" w:eastAsia="宋体" w:cs="Times New Roman"/>
                <w:bCs/>
                <w:color w:val="auto"/>
              </w:rPr>
              <w:t>。</w:t>
            </w:r>
            <w:r>
              <w:rPr>
                <w:rFonts w:hint="eastAsia" w:ascii="Times New Roman" w:hAnsi="Times New Roman" w:eastAsia="宋体" w:cs="Times New Roman"/>
                <w:bCs/>
                <w:color w:val="auto"/>
                <w:lang w:eastAsia="zh-CN"/>
              </w:rPr>
              <w:t>项目</w:t>
            </w:r>
            <w:r>
              <w:rPr>
                <w:rFonts w:hint="default" w:ascii="Times New Roman" w:hAnsi="Times New Roman" w:eastAsia="宋体" w:cs="Times New Roman"/>
                <w:bCs/>
                <w:color w:val="auto"/>
              </w:rPr>
              <w:t>总排口的废水</w:t>
            </w:r>
            <w:r>
              <w:rPr>
                <w:rFonts w:hint="eastAsia" w:cs="Times New Roman"/>
                <w:bCs/>
                <w:color w:val="auto"/>
                <w:lang w:eastAsia="zh-CN"/>
              </w:rPr>
              <w:t>须</w:t>
            </w:r>
            <w:r>
              <w:rPr>
                <w:rFonts w:hint="default" w:ascii="Times New Roman" w:hAnsi="Times New Roman" w:eastAsia="宋体" w:cs="Times New Roman"/>
                <w:bCs/>
                <w:color w:val="auto"/>
              </w:rPr>
              <w:t>满足</w:t>
            </w:r>
            <w:r>
              <w:rPr>
                <w:rFonts w:hint="eastAsia" w:cs="Times New Roman"/>
                <w:bCs/>
                <w:color w:val="auto"/>
                <w:lang w:eastAsia="zh-CN"/>
              </w:rPr>
              <w:t>的标准限值，详见</w:t>
            </w:r>
            <w:r>
              <w:rPr>
                <w:rFonts w:hint="default" w:ascii="Times New Roman" w:hAnsi="Times New Roman" w:eastAsia="宋体" w:cs="Times New Roman"/>
                <w:bCs/>
                <w:color w:val="auto"/>
              </w:rPr>
              <w:t>表4-</w:t>
            </w:r>
            <w:r>
              <w:rPr>
                <w:rFonts w:hint="eastAsia" w:ascii="Times New Roman" w:hAnsi="Times New Roman" w:eastAsia="宋体" w:cs="Times New Roman"/>
                <w:bCs/>
                <w:color w:val="auto"/>
                <w:lang w:val="en-US" w:eastAsia="zh-CN"/>
              </w:rPr>
              <w:t>7</w:t>
            </w:r>
            <w:r>
              <w:rPr>
                <w:rFonts w:hint="default" w:ascii="Times New Roman" w:hAnsi="Times New Roman" w:eastAsia="宋体" w:cs="Times New Roman"/>
                <w:bCs/>
                <w:color w:val="auto"/>
              </w:rPr>
              <w:t>。</w:t>
            </w:r>
          </w:p>
          <w:p w14:paraId="4F4B0754">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表4-</w:t>
            </w:r>
            <w:r>
              <w:rPr>
                <w:rFonts w:hint="default" w:ascii="Times New Roman" w:hAnsi="Times New Roman" w:eastAsia="宋体" w:cs="Times New Roman"/>
                <w:b/>
                <w:bCs/>
                <w:color w:val="auto"/>
                <w:sz w:val="21"/>
                <w:szCs w:val="21"/>
                <w:lang w:val="en-US" w:eastAsia="zh-CN"/>
              </w:rPr>
              <w:t xml:space="preserve">7 </w:t>
            </w:r>
            <w:r>
              <w:rPr>
                <w:rFonts w:hint="eastAsia"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废水排放标准一览表</w:t>
            </w:r>
            <w:r>
              <w:rPr>
                <w:rFonts w:hint="default" w:ascii="Times New Roman" w:hAnsi="Times New Roman" w:eastAsia="宋体" w:cs="Times New Roman"/>
                <w:b/>
                <w:bCs/>
                <w:color w:val="auto"/>
                <w:sz w:val="21"/>
                <w:szCs w:val="21"/>
                <w:lang w:val="en-US" w:eastAsia="zh-CN"/>
              </w:rPr>
              <w:t xml:space="preserve">   单位：</w:t>
            </w:r>
            <w:r>
              <w:rPr>
                <w:rFonts w:hint="default" w:ascii="Times New Roman" w:hAnsi="Times New Roman" w:eastAsia="宋体" w:cs="Times New Roman"/>
                <w:b/>
                <w:bCs/>
                <w:color w:val="auto"/>
                <w:sz w:val="21"/>
                <w:szCs w:val="21"/>
              </w:rPr>
              <w:t>mg/L</w:t>
            </w:r>
          </w:p>
          <w:tbl>
            <w:tblPr>
              <w:tblStyle w:val="15"/>
              <w:tblW w:w="822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65"/>
              <w:gridCol w:w="786"/>
              <w:gridCol w:w="894"/>
              <w:gridCol w:w="894"/>
              <w:gridCol w:w="894"/>
              <w:gridCol w:w="894"/>
              <w:gridCol w:w="894"/>
              <w:gridCol w:w="899"/>
            </w:tblGrid>
            <w:tr w14:paraId="0FC4697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65" w:type="dxa"/>
                  <w:tcBorders>
                    <w:tl2br w:val="nil"/>
                    <w:tr2bl w:val="nil"/>
                  </w:tcBorders>
                  <w:vAlign w:val="center"/>
                </w:tcPr>
                <w:p w14:paraId="52FAF88E">
                  <w:pPr>
                    <w:jc w:val="center"/>
                    <w:rPr>
                      <w:rFonts w:hint="eastAsia" w:ascii="Times New Roman" w:hAnsi="Times New Roman" w:cs="Times New Roman" w:eastAsiaTheme="minorEastAsia"/>
                      <w:color w:val="auto"/>
                      <w:sz w:val="21"/>
                      <w:szCs w:val="21"/>
                      <w:lang w:eastAsia="zh-CN"/>
                    </w:rPr>
                  </w:pPr>
                  <w:r>
                    <w:rPr>
                      <w:rFonts w:hint="eastAsia" w:ascii="Times New Roman" w:hAnsi="Times New Roman" w:cs="Times New Roman"/>
                      <w:color w:val="auto"/>
                      <w:sz w:val="21"/>
                      <w:szCs w:val="21"/>
                      <w:lang w:eastAsia="zh-CN"/>
                    </w:rPr>
                    <w:t>执行标准</w:t>
                  </w:r>
                </w:p>
              </w:tc>
              <w:tc>
                <w:tcPr>
                  <w:tcW w:w="786" w:type="dxa"/>
                  <w:tcBorders>
                    <w:tl2br w:val="nil"/>
                    <w:tr2bl w:val="nil"/>
                  </w:tcBorders>
                  <w:vAlign w:val="center"/>
                </w:tcPr>
                <w:p w14:paraId="36C38071">
                  <w:pPr>
                    <w:jc w:val="center"/>
                    <w:rPr>
                      <w:rFonts w:hint="eastAsia" w:ascii="Times New Roman" w:hAnsi="Times New Roman" w:cs="Times New Roman" w:eastAsiaTheme="minorEastAsia"/>
                      <w:color w:val="auto"/>
                      <w:sz w:val="21"/>
                      <w:szCs w:val="21"/>
                      <w:lang w:eastAsia="zh-CN"/>
                    </w:rPr>
                  </w:pPr>
                  <w:r>
                    <w:rPr>
                      <w:rFonts w:hint="eastAsia" w:ascii="Times New Roman" w:hAnsi="Times New Roman" w:cs="Times New Roman"/>
                      <w:color w:val="auto"/>
                      <w:sz w:val="21"/>
                      <w:szCs w:val="21"/>
                      <w:lang w:eastAsia="zh-CN"/>
                    </w:rPr>
                    <w:t>适用类别</w:t>
                  </w:r>
                </w:p>
              </w:tc>
              <w:tc>
                <w:tcPr>
                  <w:tcW w:w="894" w:type="dxa"/>
                  <w:tcBorders>
                    <w:tl2br w:val="nil"/>
                    <w:tr2bl w:val="nil"/>
                  </w:tcBorders>
                  <w:vAlign w:val="center"/>
                </w:tcPr>
                <w:p w14:paraId="0A025A78">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pH</w:t>
                  </w:r>
                </w:p>
              </w:tc>
              <w:tc>
                <w:tcPr>
                  <w:tcW w:w="894" w:type="dxa"/>
                  <w:tcBorders>
                    <w:tl2br w:val="nil"/>
                    <w:tr2bl w:val="nil"/>
                  </w:tcBorders>
                  <w:vAlign w:val="center"/>
                </w:tcPr>
                <w:p w14:paraId="7239B5CC">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COD</w:t>
                  </w:r>
                </w:p>
              </w:tc>
              <w:tc>
                <w:tcPr>
                  <w:tcW w:w="894" w:type="dxa"/>
                  <w:tcBorders>
                    <w:tl2br w:val="nil"/>
                    <w:tr2bl w:val="nil"/>
                  </w:tcBorders>
                  <w:vAlign w:val="center"/>
                </w:tcPr>
                <w:p w14:paraId="688BD0AD">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BOD</w:t>
                  </w:r>
                  <w:r>
                    <w:rPr>
                      <w:rFonts w:hint="eastAsia" w:ascii="Times New Roman" w:hAnsi="Times New Roman" w:cs="Times New Roman"/>
                      <w:color w:val="auto"/>
                      <w:sz w:val="21"/>
                      <w:szCs w:val="21"/>
                      <w:vertAlign w:val="subscript"/>
                      <w:lang w:val="en-US" w:eastAsia="zh-CN"/>
                    </w:rPr>
                    <w:t>5</w:t>
                  </w:r>
                </w:p>
              </w:tc>
              <w:tc>
                <w:tcPr>
                  <w:tcW w:w="894" w:type="dxa"/>
                  <w:tcBorders>
                    <w:tl2br w:val="nil"/>
                    <w:tr2bl w:val="nil"/>
                  </w:tcBorders>
                  <w:vAlign w:val="center"/>
                </w:tcPr>
                <w:p w14:paraId="40CD42E8">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SS</w:t>
                  </w:r>
                </w:p>
              </w:tc>
              <w:tc>
                <w:tcPr>
                  <w:tcW w:w="894" w:type="dxa"/>
                  <w:tcBorders>
                    <w:tl2br w:val="nil"/>
                    <w:tr2bl w:val="nil"/>
                  </w:tcBorders>
                  <w:vAlign w:val="center"/>
                </w:tcPr>
                <w:p w14:paraId="441C16B3">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NH</w:t>
                  </w:r>
                  <w:r>
                    <w:rPr>
                      <w:rFonts w:hint="eastAsia" w:ascii="Times New Roman" w:hAnsi="Times New Roman" w:cs="Times New Roman"/>
                      <w:color w:val="auto"/>
                      <w:sz w:val="21"/>
                      <w:szCs w:val="21"/>
                      <w:vertAlign w:val="subscript"/>
                      <w:lang w:val="en-US" w:eastAsia="zh-CN"/>
                    </w:rPr>
                    <w:t>3</w:t>
                  </w:r>
                  <w:r>
                    <w:rPr>
                      <w:rFonts w:hint="eastAsia" w:ascii="Times New Roman" w:hAnsi="Times New Roman" w:cs="Times New Roman"/>
                      <w:color w:val="auto"/>
                      <w:sz w:val="21"/>
                      <w:szCs w:val="21"/>
                      <w:lang w:val="en-US" w:eastAsia="zh-CN"/>
                    </w:rPr>
                    <w:t>-N</w:t>
                  </w:r>
                </w:p>
              </w:tc>
              <w:tc>
                <w:tcPr>
                  <w:tcW w:w="899" w:type="dxa"/>
                  <w:tcBorders>
                    <w:tl2br w:val="nil"/>
                    <w:tr2bl w:val="nil"/>
                  </w:tcBorders>
                  <w:vAlign w:val="center"/>
                </w:tcPr>
                <w:p w14:paraId="28324F2E">
                  <w:pPr>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动植</w:t>
                  </w:r>
                </w:p>
                <w:p w14:paraId="21ACB78E">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物油</w:t>
                  </w:r>
                </w:p>
              </w:tc>
            </w:tr>
            <w:tr w14:paraId="5F9BE85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65" w:type="dxa"/>
                  <w:tcBorders>
                    <w:tl2br w:val="nil"/>
                    <w:tr2bl w:val="nil"/>
                  </w:tcBorders>
                  <w:vAlign w:val="center"/>
                </w:tcPr>
                <w:p w14:paraId="2CF50719">
                  <w:pPr>
                    <w:jc w:val="center"/>
                    <w:rPr>
                      <w:rFonts w:hint="default" w:ascii="Times New Roman" w:hAnsi="Times New Roman" w:cs="Times New Roman"/>
                      <w:color w:val="auto"/>
                      <w:sz w:val="21"/>
                      <w:szCs w:val="21"/>
                    </w:rPr>
                  </w:pPr>
                  <w:r>
                    <w:rPr>
                      <w:rFonts w:hint="default" w:ascii="Times New Roman" w:hAnsi="Times New Roman" w:eastAsia="宋体" w:cs="Times New Roman"/>
                      <w:bCs/>
                      <w:color w:val="auto"/>
                      <w:sz w:val="21"/>
                      <w:szCs w:val="21"/>
                    </w:rPr>
                    <w:t>《污水综合排放标准》（GB8978-1996）</w:t>
                  </w:r>
                </w:p>
              </w:tc>
              <w:tc>
                <w:tcPr>
                  <w:tcW w:w="786" w:type="dxa"/>
                  <w:tcBorders>
                    <w:tl2br w:val="nil"/>
                    <w:tr2bl w:val="nil"/>
                  </w:tcBorders>
                  <w:vAlign w:val="center"/>
                </w:tcPr>
                <w:p w14:paraId="75F8A2EA">
                  <w:pPr>
                    <w:jc w:val="center"/>
                    <w:rPr>
                      <w:rFonts w:hint="eastAsia" w:ascii="Times New Roman" w:hAnsi="Times New Roman" w:cs="Times New Roman" w:eastAsiaTheme="minorEastAsia"/>
                      <w:color w:val="auto"/>
                      <w:sz w:val="21"/>
                      <w:szCs w:val="21"/>
                      <w:lang w:eastAsia="zh-CN"/>
                    </w:rPr>
                  </w:pPr>
                  <w:r>
                    <w:rPr>
                      <w:rFonts w:hint="eastAsia" w:ascii="Times New Roman" w:hAnsi="Times New Roman" w:cs="Times New Roman"/>
                      <w:color w:val="auto"/>
                      <w:sz w:val="21"/>
                      <w:szCs w:val="21"/>
                      <w:lang w:eastAsia="zh-CN"/>
                    </w:rPr>
                    <w:t>三级标准</w:t>
                  </w:r>
                </w:p>
              </w:tc>
              <w:tc>
                <w:tcPr>
                  <w:tcW w:w="894" w:type="dxa"/>
                  <w:tcBorders>
                    <w:tl2br w:val="nil"/>
                    <w:tr2bl w:val="nil"/>
                  </w:tcBorders>
                  <w:vAlign w:val="center"/>
                </w:tcPr>
                <w:p w14:paraId="69B8CBDE">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6~9</w:t>
                  </w:r>
                </w:p>
              </w:tc>
              <w:tc>
                <w:tcPr>
                  <w:tcW w:w="894" w:type="dxa"/>
                  <w:tcBorders>
                    <w:tl2br w:val="nil"/>
                    <w:tr2bl w:val="nil"/>
                  </w:tcBorders>
                  <w:vAlign w:val="center"/>
                </w:tcPr>
                <w:p w14:paraId="5B708631">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500</w:t>
                  </w:r>
                </w:p>
              </w:tc>
              <w:tc>
                <w:tcPr>
                  <w:tcW w:w="894" w:type="dxa"/>
                  <w:tcBorders>
                    <w:tl2br w:val="nil"/>
                    <w:tr2bl w:val="nil"/>
                  </w:tcBorders>
                  <w:vAlign w:val="center"/>
                </w:tcPr>
                <w:p w14:paraId="62D9440A">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300</w:t>
                  </w:r>
                </w:p>
              </w:tc>
              <w:tc>
                <w:tcPr>
                  <w:tcW w:w="894" w:type="dxa"/>
                  <w:tcBorders>
                    <w:tl2br w:val="nil"/>
                    <w:tr2bl w:val="nil"/>
                  </w:tcBorders>
                  <w:vAlign w:val="center"/>
                </w:tcPr>
                <w:p w14:paraId="69A8D437">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400</w:t>
                  </w:r>
                </w:p>
              </w:tc>
              <w:tc>
                <w:tcPr>
                  <w:tcW w:w="894" w:type="dxa"/>
                  <w:tcBorders>
                    <w:tl2br w:val="nil"/>
                    <w:tr2bl w:val="nil"/>
                  </w:tcBorders>
                  <w:vAlign w:val="center"/>
                </w:tcPr>
                <w:p w14:paraId="260F17C4">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w:t>
                  </w:r>
                </w:p>
              </w:tc>
              <w:tc>
                <w:tcPr>
                  <w:tcW w:w="899" w:type="dxa"/>
                  <w:tcBorders>
                    <w:tl2br w:val="nil"/>
                    <w:tr2bl w:val="nil"/>
                  </w:tcBorders>
                  <w:vAlign w:val="center"/>
                </w:tcPr>
                <w:p w14:paraId="538F2E0E">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100</w:t>
                  </w:r>
                </w:p>
              </w:tc>
            </w:tr>
            <w:tr w14:paraId="5E36510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65" w:type="dxa"/>
                  <w:tcBorders>
                    <w:tl2br w:val="nil"/>
                    <w:tr2bl w:val="nil"/>
                  </w:tcBorders>
                  <w:vAlign w:val="center"/>
                </w:tcPr>
                <w:p w14:paraId="482B9685">
                  <w:pPr>
                    <w:jc w:val="center"/>
                    <w:rPr>
                      <w:rFonts w:hint="default" w:ascii="Times New Roman" w:hAnsi="Times New Roman" w:cs="Times New Roman"/>
                      <w:color w:val="auto"/>
                      <w:sz w:val="21"/>
                      <w:szCs w:val="21"/>
                    </w:rPr>
                  </w:pPr>
                  <w:r>
                    <w:rPr>
                      <w:rFonts w:hint="default" w:ascii="Times New Roman" w:hAnsi="Times New Roman" w:eastAsia="宋体" w:cs="Times New Roman"/>
                      <w:bCs/>
                      <w:color w:val="auto"/>
                    </w:rPr>
                    <w:t>《污水</w:t>
                  </w:r>
                  <w:r>
                    <w:rPr>
                      <w:rFonts w:hint="eastAsia" w:ascii="Times New Roman" w:hAnsi="Times New Roman" w:eastAsia="宋体" w:cs="Times New Roman"/>
                      <w:bCs/>
                      <w:color w:val="auto"/>
                      <w:lang w:eastAsia="zh-CN"/>
                    </w:rPr>
                    <w:t>排入城镇下水道水质</w:t>
                  </w:r>
                  <w:r>
                    <w:rPr>
                      <w:rFonts w:hint="default" w:ascii="Times New Roman" w:hAnsi="Times New Roman" w:eastAsia="宋体" w:cs="Times New Roman"/>
                      <w:bCs/>
                      <w:color w:val="auto"/>
                    </w:rPr>
                    <w:t>标准》（GB</w:t>
                  </w:r>
                  <w:r>
                    <w:rPr>
                      <w:rFonts w:hint="eastAsia" w:ascii="Times New Roman" w:hAnsi="Times New Roman" w:eastAsia="宋体" w:cs="Times New Roman"/>
                      <w:bCs/>
                      <w:color w:val="auto"/>
                      <w:lang w:val="en-US" w:eastAsia="zh-CN"/>
                    </w:rPr>
                    <w:t>/T31962</w:t>
                  </w:r>
                  <w:r>
                    <w:rPr>
                      <w:rFonts w:hint="default" w:ascii="Times New Roman" w:hAnsi="Times New Roman" w:eastAsia="宋体" w:cs="Times New Roman"/>
                      <w:bCs/>
                      <w:color w:val="auto"/>
                    </w:rPr>
                    <w:t>-</w:t>
                  </w:r>
                  <w:r>
                    <w:rPr>
                      <w:rFonts w:hint="eastAsia" w:ascii="Times New Roman" w:hAnsi="Times New Roman" w:eastAsia="宋体" w:cs="Times New Roman"/>
                      <w:bCs/>
                      <w:color w:val="auto"/>
                      <w:lang w:val="en-US" w:eastAsia="zh-CN"/>
                    </w:rPr>
                    <w:t>2015</w:t>
                  </w:r>
                  <w:r>
                    <w:rPr>
                      <w:rFonts w:hint="default" w:ascii="Times New Roman" w:hAnsi="Times New Roman" w:eastAsia="宋体" w:cs="Times New Roman"/>
                      <w:bCs/>
                      <w:color w:val="auto"/>
                    </w:rPr>
                    <w:t>）</w:t>
                  </w:r>
                </w:p>
              </w:tc>
              <w:tc>
                <w:tcPr>
                  <w:tcW w:w="786" w:type="dxa"/>
                  <w:tcBorders>
                    <w:tl2br w:val="nil"/>
                    <w:tr2bl w:val="nil"/>
                  </w:tcBorders>
                  <w:vAlign w:val="center"/>
                </w:tcPr>
                <w:p w14:paraId="42D522C7">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B级</w:t>
                  </w:r>
                </w:p>
              </w:tc>
              <w:tc>
                <w:tcPr>
                  <w:tcW w:w="894" w:type="dxa"/>
                  <w:tcBorders>
                    <w:tl2br w:val="nil"/>
                    <w:tr2bl w:val="nil"/>
                  </w:tcBorders>
                  <w:vAlign w:val="center"/>
                </w:tcPr>
                <w:p w14:paraId="481E3E41">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w:t>
                  </w:r>
                </w:p>
              </w:tc>
              <w:tc>
                <w:tcPr>
                  <w:tcW w:w="894" w:type="dxa"/>
                  <w:tcBorders>
                    <w:tl2br w:val="nil"/>
                    <w:tr2bl w:val="nil"/>
                  </w:tcBorders>
                  <w:vAlign w:val="center"/>
                </w:tcPr>
                <w:p w14:paraId="3715CCC9">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w:t>
                  </w:r>
                </w:p>
              </w:tc>
              <w:tc>
                <w:tcPr>
                  <w:tcW w:w="894" w:type="dxa"/>
                  <w:tcBorders>
                    <w:tl2br w:val="nil"/>
                    <w:tr2bl w:val="nil"/>
                  </w:tcBorders>
                  <w:vAlign w:val="center"/>
                </w:tcPr>
                <w:p w14:paraId="04C45402">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w:t>
                  </w:r>
                </w:p>
              </w:tc>
              <w:tc>
                <w:tcPr>
                  <w:tcW w:w="894" w:type="dxa"/>
                  <w:tcBorders>
                    <w:tl2br w:val="nil"/>
                    <w:tr2bl w:val="nil"/>
                  </w:tcBorders>
                  <w:vAlign w:val="center"/>
                </w:tcPr>
                <w:p w14:paraId="3385BED4">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w:t>
                  </w:r>
                </w:p>
              </w:tc>
              <w:tc>
                <w:tcPr>
                  <w:tcW w:w="894" w:type="dxa"/>
                  <w:tcBorders>
                    <w:tl2br w:val="nil"/>
                    <w:tr2bl w:val="nil"/>
                  </w:tcBorders>
                  <w:vAlign w:val="center"/>
                </w:tcPr>
                <w:p w14:paraId="545D152A">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45</w:t>
                  </w:r>
                </w:p>
              </w:tc>
              <w:tc>
                <w:tcPr>
                  <w:tcW w:w="899" w:type="dxa"/>
                  <w:tcBorders>
                    <w:tl2br w:val="nil"/>
                    <w:tr2bl w:val="nil"/>
                  </w:tcBorders>
                  <w:vAlign w:val="center"/>
                </w:tcPr>
                <w:p w14:paraId="40D8955E">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w:t>
                  </w:r>
                </w:p>
              </w:tc>
            </w:tr>
            <w:tr w14:paraId="413C4B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65" w:type="dxa"/>
                  <w:tcBorders>
                    <w:tl2br w:val="nil"/>
                    <w:tr2bl w:val="nil"/>
                  </w:tcBorders>
                  <w:vAlign w:val="center"/>
                </w:tcPr>
                <w:p w14:paraId="412726FD">
                  <w:pPr>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葛店开发区污水处理厂接管水质标准</w:t>
                  </w:r>
                </w:p>
              </w:tc>
              <w:tc>
                <w:tcPr>
                  <w:tcW w:w="786" w:type="dxa"/>
                  <w:tcBorders>
                    <w:tl2br w:val="nil"/>
                    <w:tr2bl w:val="nil"/>
                  </w:tcBorders>
                  <w:vAlign w:val="center"/>
                </w:tcPr>
                <w:p w14:paraId="3091271B">
                  <w:pPr>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w:t>
                  </w:r>
                </w:p>
              </w:tc>
              <w:tc>
                <w:tcPr>
                  <w:tcW w:w="894" w:type="dxa"/>
                  <w:tcBorders>
                    <w:tl2br w:val="nil"/>
                    <w:tr2bl w:val="nil"/>
                  </w:tcBorders>
                  <w:vAlign w:val="center"/>
                </w:tcPr>
                <w:p w14:paraId="1C6511C1">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6~9</w:t>
                  </w:r>
                </w:p>
              </w:tc>
              <w:tc>
                <w:tcPr>
                  <w:tcW w:w="894" w:type="dxa"/>
                  <w:tcBorders>
                    <w:tl2br w:val="nil"/>
                    <w:tr2bl w:val="nil"/>
                  </w:tcBorders>
                  <w:vAlign w:val="center"/>
                </w:tcPr>
                <w:p w14:paraId="05D60B7D">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500</w:t>
                  </w:r>
                </w:p>
              </w:tc>
              <w:tc>
                <w:tcPr>
                  <w:tcW w:w="894" w:type="dxa"/>
                  <w:tcBorders>
                    <w:tl2br w:val="nil"/>
                    <w:tr2bl w:val="nil"/>
                  </w:tcBorders>
                  <w:vAlign w:val="center"/>
                </w:tcPr>
                <w:p w14:paraId="3C3CE290">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300</w:t>
                  </w:r>
                </w:p>
              </w:tc>
              <w:tc>
                <w:tcPr>
                  <w:tcW w:w="894" w:type="dxa"/>
                  <w:tcBorders>
                    <w:tl2br w:val="nil"/>
                    <w:tr2bl w:val="nil"/>
                  </w:tcBorders>
                  <w:vAlign w:val="center"/>
                </w:tcPr>
                <w:p w14:paraId="52050FFB">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400</w:t>
                  </w:r>
                </w:p>
              </w:tc>
              <w:tc>
                <w:tcPr>
                  <w:tcW w:w="894" w:type="dxa"/>
                  <w:tcBorders>
                    <w:tl2br w:val="nil"/>
                    <w:tr2bl w:val="nil"/>
                  </w:tcBorders>
                  <w:vAlign w:val="center"/>
                </w:tcPr>
                <w:p w14:paraId="1B34E7E0">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45</w:t>
                  </w:r>
                </w:p>
              </w:tc>
              <w:tc>
                <w:tcPr>
                  <w:tcW w:w="899" w:type="dxa"/>
                  <w:tcBorders>
                    <w:tl2br w:val="nil"/>
                    <w:tr2bl w:val="nil"/>
                  </w:tcBorders>
                  <w:vAlign w:val="center"/>
                </w:tcPr>
                <w:p w14:paraId="6B0E25A1">
                  <w:pPr>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100</w:t>
                  </w:r>
                </w:p>
              </w:tc>
            </w:tr>
          </w:tbl>
          <w:p w14:paraId="1807CDE2">
            <w:pPr>
              <w:pStyle w:val="33"/>
              <w:spacing w:line="360" w:lineRule="auto"/>
              <w:rPr>
                <w:rFonts w:hint="default" w:ascii="Times New Roman" w:hAnsi="Times New Roman" w:cs="Times New Roman"/>
                <w:b/>
                <w:bCs w:val="0"/>
                <w:color w:val="auto"/>
                <w:szCs w:val="24"/>
              </w:rPr>
            </w:pPr>
            <w:r>
              <w:rPr>
                <w:rFonts w:hint="default" w:ascii="Times New Roman" w:hAnsi="Times New Roman" w:cs="Times New Roman"/>
                <w:b/>
                <w:bCs w:val="0"/>
                <w:color w:val="auto"/>
                <w:szCs w:val="24"/>
                <w:lang w:val="en-US" w:eastAsia="zh-CN"/>
              </w:rPr>
              <w:t>3、</w:t>
            </w:r>
            <w:r>
              <w:rPr>
                <w:rFonts w:hint="default" w:ascii="Times New Roman" w:hAnsi="Times New Roman" w:cs="Times New Roman"/>
                <w:b/>
                <w:bCs w:val="0"/>
                <w:color w:val="auto"/>
                <w:szCs w:val="24"/>
              </w:rPr>
              <w:t>噪声</w:t>
            </w:r>
          </w:p>
          <w:p w14:paraId="6B0CEBD0">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bCs/>
                <w:color w:val="auto"/>
              </w:rPr>
            </w:pPr>
            <w:r>
              <w:rPr>
                <w:rFonts w:hint="eastAsia" w:cs="Times New Roman"/>
                <w:bCs/>
                <w:color w:val="auto"/>
                <w:lang w:eastAsia="zh-CN"/>
              </w:rPr>
              <w:t>项目</w:t>
            </w:r>
            <w:r>
              <w:rPr>
                <w:rFonts w:hint="default" w:ascii="Times New Roman" w:hAnsi="Times New Roman" w:cs="Times New Roman"/>
                <w:bCs/>
                <w:color w:val="auto"/>
              </w:rPr>
              <w:t>施工期噪声执行《建筑施工场界环境噪声排放标准》（GB12523-2011）</w:t>
            </w:r>
            <w:r>
              <w:rPr>
                <w:rFonts w:hint="eastAsia" w:cs="Times New Roman"/>
                <w:bCs/>
                <w:color w:val="auto"/>
                <w:lang w:eastAsia="zh-CN"/>
              </w:rPr>
              <w:t>标准限值；项目</w:t>
            </w:r>
            <w:r>
              <w:rPr>
                <w:rFonts w:hint="default" w:ascii="Times New Roman" w:hAnsi="Times New Roman" w:cs="Times New Roman"/>
                <w:bCs/>
                <w:color w:val="auto"/>
              </w:rPr>
              <w:t>营运期商铺噪声排放执行《社会生活环境噪声排放标准》（GB22337-2008）</w:t>
            </w:r>
            <w:r>
              <w:rPr>
                <w:rFonts w:hint="eastAsia" w:cs="Times New Roman"/>
                <w:bCs/>
                <w:color w:val="auto"/>
                <w:lang w:val="en-US" w:eastAsia="zh-CN"/>
              </w:rPr>
              <w:t>2</w:t>
            </w:r>
            <w:r>
              <w:rPr>
                <w:rFonts w:hint="default" w:ascii="Times New Roman" w:hAnsi="Times New Roman" w:cs="Times New Roman"/>
                <w:bCs/>
                <w:color w:val="auto"/>
              </w:rPr>
              <w:t>类标准</w:t>
            </w:r>
            <w:r>
              <w:rPr>
                <w:rFonts w:hint="eastAsia" w:cs="Times New Roman"/>
                <w:bCs/>
                <w:color w:val="auto"/>
                <w:lang w:eastAsia="zh-CN"/>
              </w:rPr>
              <w:t>。</w:t>
            </w:r>
            <w:r>
              <w:rPr>
                <w:rFonts w:hint="default" w:ascii="Times New Roman" w:hAnsi="Times New Roman" w:cs="Times New Roman"/>
                <w:bCs/>
                <w:color w:val="auto"/>
              </w:rPr>
              <w:t>具体</w:t>
            </w:r>
            <w:r>
              <w:rPr>
                <w:rFonts w:hint="eastAsia" w:cs="Times New Roman"/>
                <w:bCs/>
                <w:color w:val="auto"/>
                <w:lang w:eastAsia="zh-CN"/>
              </w:rPr>
              <w:t>情况详见</w:t>
            </w:r>
            <w:r>
              <w:rPr>
                <w:rFonts w:hint="default" w:ascii="Times New Roman" w:hAnsi="Times New Roman" w:cs="Times New Roman"/>
                <w:bCs/>
                <w:color w:val="auto"/>
              </w:rPr>
              <w:t>表4-</w:t>
            </w:r>
            <w:r>
              <w:rPr>
                <w:rFonts w:hint="eastAsia" w:ascii="Times New Roman" w:hAnsi="Times New Roman" w:cs="Times New Roman"/>
                <w:bCs/>
                <w:color w:val="auto"/>
                <w:lang w:val="en-US" w:eastAsia="zh-CN"/>
              </w:rPr>
              <w:t>8</w:t>
            </w:r>
            <w:r>
              <w:rPr>
                <w:rFonts w:hint="default" w:ascii="Times New Roman" w:hAnsi="Times New Roman" w:cs="Times New Roman"/>
                <w:bCs/>
                <w:color w:val="auto"/>
              </w:rPr>
              <w:t>。</w:t>
            </w:r>
          </w:p>
          <w:p w14:paraId="72CC8488">
            <w:pPr>
              <w:pStyle w:val="3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表4-</w:t>
            </w:r>
            <w:r>
              <w:rPr>
                <w:rFonts w:hint="default" w:ascii="Times New Roman" w:hAnsi="Times New Roman" w:cs="Times New Roman"/>
                <w:b/>
                <w:bCs/>
                <w:color w:val="auto"/>
                <w:sz w:val="21"/>
                <w:szCs w:val="21"/>
                <w:lang w:val="en-US" w:eastAsia="zh-CN"/>
              </w:rPr>
              <w:t>8</w:t>
            </w:r>
            <w:r>
              <w:rPr>
                <w:rFonts w:hint="default" w:ascii="Times New Roman" w:hAnsi="Times New Roman" w:cs="Times New Roman"/>
                <w:b/>
                <w:bCs/>
                <w:color w:val="auto"/>
                <w:sz w:val="21"/>
                <w:szCs w:val="21"/>
              </w:rPr>
              <w:t>环境噪声排放标准限值表</w:t>
            </w:r>
          </w:p>
          <w:tbl>
            <w:tblPr>
              <w:tblStyle w:val="15"/>
              <w:tblW w:w="822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694"/>
              <w:gridCol w:w="1056"/>
              <w:gridCol w:w="1235"/>
              <w:gridCol w:w="1235"/>
            </w:tblGrid>
            <w:tr w14:paraId="49F2D25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50" w:type="dxa"/>
                  <w:gridSpan w:val="2"/>
                  <w:vMerge w:val="restart"/>
                  <w:tcBorders>
                    <w:tl2br w:val="nil"/>
                    <w:tr2bl w:val="nil"/>
                  </w:tcBorders>
                  <w:vAlign w:val="center"/>
                </w:tcPr>
                <w:p w14:paraId="54F3B866">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标准</w:t>
                  </w:r>
                </w:p>
              </w:tc>
              <w:tc>
                <w:tcPr>
                  <w:tcW w:w="2470" w:type="dxa"/>
                  <w:gridSpan w:val="2"/>
                  <w:tcBorders>
                    <w:tl2br w:val="nil"/>
                    <w:tr2bl w:val="nil"/>
                  </w:tcBorders>
                  <w:vAlign w:val="center"/>
                </w:tcPr>
                <w:p w14:paraId="52680D6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噪声限值：dB（A）</w:t>
                  </w:r>
                </w:p>
              </w:tc>
            </w:tr>
            <w:tr w14:paraId="137FC59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50" w:type="dxa"/>
                  <w:gridSpan w:val="2"/>
                  <w:vMerge w:val="continue"/>
                  <w:tcBorders>
                    <w:tl2br w:val="nil"/>
                    <w:tr2bl w:val="nil"/>
                  </w:tcBorders>
                  <w:vAlign w:val="center"/>
                </w:tcPr>
                <w:p w14:paraId="7BE2F452">
                  <w:pPr>
                    <w:jc w:val="center"/>
                    <w:rPr>
                      <w:rFonts w:hint="default" w:ascii="Times New Roman" w:hAnsi="Times New Roman" w:eastAsia="宋体" w:cs="Times New Roman"/>
                      <w:color w:val="auto"/>
                      <w:sz w:val="21"/>
                      <w:szCs w:val="21"/>
                    </w:rPr>
                  </w:pPr>
                </w:p>
              </w:tc>
              <w:tc>
                <w:tcPr>
                  <w:tcW w:w="1235" w:type="dxa"/>
                  <w:tcBorders>
                    <w:tl2br w:val="nil"/>
                    <w:tr2bl w:val="nil"/>
                  </w:tcBorders>
                  <w:vAlign w:val="center"/>
                </w:tcPr>
                <w:p w14:paraId="1CACEB85">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昼间</w:t>
                  </w:r>
                </w:p>
              </w:tc>
              <w:tc>
                <w:tcPr>
                  <w:tcW w:w="1235" w:type="dxa"/>
                  <w:tcBorders>
                    <w:tl2br w:val="nil"/>
                    <w:tr2bl w:val="nil"/>
                  </w:tcBorders>
                  <w:vAlign w:val="center"/>
                </w:tcPr>
                <w:p w14:paraId="1886F787">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夜间</w:t>
                  </w:r>
                </w:p>
              </w:tc>
            </w:tr>
            <w:tr w14:paraId="45BCE01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50" w:type="dxa"/>
                  <w:gridSpan w:val="2"/>
                  <w:tcBorders>
                    <w:tl2br w:val="nil"/>
                    <w:tr2bl w:val="nil"/>
                  </w:tcBorders>
                  <w:vAlign w:val="center"/>
                </w:tcPr>
                <w:p w14:paraId="5B4245DE">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《建筑施工场界环境噪声排放标准》（GB12523-2011）</w:t>
                  </w:r>
                </w:p>
              </w:tc>
              <w:tc>
                <w:tcPr>
                  <w:tcW w:w="1235" w:type="dxa"/>
                  <w:tcBorders>
                    <w:tl2br w:val="nil"/>
                    <w:tr2bl w:val="nil"/>
                  </w:tcBorders>
                  <w:vAlign w:val="center"/>
                </w:tcPr>
                <w:p w14:paraId="6646A076">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70</w:t>
                  </w:r>
                </w:p>
              </w:tc>
              <w:tc>
                <w:tcPr>
                  <w:tcW w:w="1235" w:type="dxa"/>
                  <w:tcBorders>
                    <w:tl2br w:val="nil"/>
                    <w:tr2bl w:val="nil"/>
                  </w:tcBorders>
                  <w:vAlign w:val="center"/>
                </w:tcPr>
                <w:p w14:paraId="529D9927">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55</w:t>
                  </w:r>
                </w:p>
              </w:tc>
            </w:tr>
            <w:tr w14:paraId="06A44F6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694" w:type="dxa"/>
                  <w:tcBorders>
                    <w:right w:val="single" w:color="auto" w:sz="4" w:space="0"/>
                  </w:tcBorders>
                  <w:vAlign w:val="center"/>
                </w:tcPr>
                <w:p w14:paraId="7E63815A">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《社会生活环境噪声排放标准》（GB22337-2008）</w:t>
                  </w:r>
                </w:p>
              </w:tc>
              <w:tc>
                <w:tcPr>
                  <w:tcW w:w="1056" w:type="dxa"/>
                  <w:tcBorders>
                    <w:left w:val="single" w:color="auto" w:sz="4" w:space="0"/>
                  </w:tcBorders>
                  <w:vAlign w:val="center"/>
                </w:tcPr>
                <w:p w14:paraId="1642087E">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2类</w:t>
                  </w:r>
                </w:p>
              </w:tc>
              <w:tc>
                <w:tcPr>
                  <w:tcW w:w="1235" w:type="dxa"/>
                  <w:tcBorders>
                    <w:tl2br w:val="nil"/>
                    <w:tr2bl w:val="nil"/>
                  </w:tcBorders>
                  <w:vAlign w:val="center"/>
                </w:tcPr>
                <w:p w14:paraId="4FC7DAFA">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60</w:t>
                  </w:r>
                </w:p>
              </w:tc>
              <w:tc>
                <w:tcPr>
                  <w:tcW w:w="1235" w:type="dxa"/>
                  <w:tcBorders>
                    <w:tl2br w:val="nil"/>
                    <w:tr2bl w:val="nil"/>
                  </w:tcBorders>
                  <w:vAlign w:val="center"/>
                </w:tcPr>
                <w:p w14:paraId="02BDBBE8">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50</w:t>
                  </w:r>
                </w:p>
              </w:tc>
            </w:tr>
          </w:tbl>
          <w:p w14:paraId="611D5218">
            <w:pPr>
              <w:pStyle w:val="33"/>
              <w:rPr>
                <w:rFonts w:hint="default" w:ascii="Times New Roman" w:hAnsi="Times New Roman" w:eastAsia="宋体" w:cs="Times New Roman"/>
                <w:bCs/>
                <w:color w:val="auto"/>
              </w:rPr>
            </w:pPr>
          </w:p>
          <w:p w14:paraId="02D12740">
            <w:pPr>
              <w:pStyle w:val="33"/>
              <w:rPr>
                <w:rFonts w:hint="default" w:ascii="Times New Roman" w:hAnsi="Times New Roman" w:eastAsia="宋体" w:cs="Times New Roman"/>
                <w:bCs/>
                <w:color w:val="auto"/>
              </w:rPr>
            </w:pPr>
          </w:p>
          <w:p w14:paraId="680005B1">
            <w:pPr>
              <w:pStyle w:val="33"/>
              <w:rPr>
                <w:rFonts w:hint="default" w:ascii="Times New Roman" w:hAnsi="Times New Roman" w:eastAsia="宋体" w:cs="Times New Roman"/>
                <w:bCs/>
                <w:color w:val="auto"/>
              </w:rPr>
            </w:pPr>
          </w:p>
          <w:p w14:paraId="37F29790">
            <w:pPr>
              <w:pStyle w:val="33"/>
              <w:rPr>
                <w:rFonts w:hint="default" w:ascii="Times New Roman" w:hAnsi="Times New Roman" w:eastAsia="宋体" w:cs="Times New Roman"/>
                <w:bCs/>
                <w:color w:val="auto"/>
              </w:rPr>
            </w:pPr>
          </w:p>
          <w:p w14:paraId="05B360F3">
            <w:pPr>
              <w:pStyle w:val="33"/>
              <w:rPr>
                <w:rFonts w:hint="default" w:ascii="Times New Roman" w:hAnsi="Times New Roman" w:eastAsia="宋体" w:cs="Times New Roman"/>
                <w:bCs/>
                <w:color w:val="auto"/>
              </w:rPr>
            </w:pPr>
          </w:p>
          <w:p w14:paraId="70174880">
            <w:pPr>
              <w:pStyle w:val="33"/>
              <w:rPr>
                <w:rFonts w:hint="default" w:ascii="Times New Roman" w:hAnsi="Times New Roman" w:eastAsia="宋体" w:cs="Times New Roman"/>
                <w:bCs/>
                <w:color w:val="auto"/>
              </w:rPr>
            </w:pPr>
          </w:p>
          <w:p w14:paraId="0D110DFE">
            <w:pPr>
              <w:pStyle w:val="33"/>
              <w:rPr>
                <w:rFonts w:hint="default" w:ascii="Times New Roman" w:hAnsi="Times New Roman" w:eastAsia="宋体" w:cs="Times New Roman"/>
                <w:bCs/>
                <w:color w:val="auto"/>
              </w:rPr>
            </w:pPr>
          </w:p>
          <w:p w14:paraId="3CCF47F6">
            <w:pPr>
              <w:pStyle w:val="33"/>
              <w:rPr>
                <w:rFonts w:hint="default" w:ascii="Times New Roman" w:hAnsi="Times New Roman" w:eastAsia="宋体" w:cs="Times New Roman"/>
                <w:bCs/>
                <w:color w:val="auto"/>
              </w:rPr>
            </w:pPr>
          </w:p>
          <w:p w14:paraId="340B46D5">
            <w:pPr>
              <w:pStyle w:val="33"/>
              <w:rPr>
                <w:rFonts w:hint="default" w:ascii="Times New Roman" w:hAnsi="Times New Roman" w:eastAsia="宋体" w:cs="Times New Roman"/>
                <w:bCs/>
                <w:color w:val="auto"/>
              </w:rPr>
            </w:pPr>
          </w:p>
          <w:p w14:paraId="6BEDD903">
            <w:pPr>
              <w:pStyle w:val="33"/>
              <w:rPr>
                <w:rFonts w:hint="default" w:ascii="Times New Roman" w:hAnsi="Times New Roman" w:eastAsia="宋体" w:cs="Times New Roman"/>
                <w:bCs/>
                <w:color w:val="auto"/>
              </w:rPr>
            </w:pPr>
          </w:p>
          <w:p w14:paraId="7A02662E">
            <w:pPr>
              <w:pStyle w:val="33"/>
              <w:rPr>
                <w:rFonts w:hint="default" w:ascii="Times New Roman" w:hAnsi="Times New Roman" w:eastAsia="宋体" w:cs="Times New Roman"/>
                <w:bCs/>
                <w:color w:val="auto"/>
              </w:rPr>
            </w:pPr>
          </w:p>
          <w:p w14:paraId="58D8E982">
            <w:pPr>
              <w:pStyle w:val="33"/>
              <w:rPr>
                <w:rFonts w:hint="default" w:ascii="Times New Roman" w:hAnsi="Times New Roman" w:eastAsia="宋体" w:cs="Times New Roman"/>
                <w:bCs/>
                <w:color w:val="auto"/>
              </w:rPr>
            </w:pPr>
          </w:p>
          <w:p w14:paraId="4CA6D01F">
            <w:pPr>
              <w:pStyle w:val="33"/>
              <w:rPr>
                <w:rFonts w:hint="default" w:ascii="Times New Roman" w:hAnsi="Times New Roman" w:eastAsia="宋体" w:cs="Times New Roman"/>
                <w:bCs/>
                <w:color w:val="auto"/>
              </w:rPr>
            </w:pPr>
          </w:p>
          <w:p w14:paraId="2BD3CE87">
            <w:pPr>
              <w:pStyle w:val="33"/>
              <w:rPr>
                <w:rFonts w:hint="default" w:ascii="Times New Roman" w:hAnsi="Times New Roman" w:eastAsia="宋体" w:cs="Times New Roman"/>
                <w:bCs/>
                <w:color w:val="auto"/>
              </w:rPr>
            </w:pPr>
          </w:p>
          <w:p w14:paraId="78A77BB9">
            <w:pPr>
              <w:pStyle w:val="33"/>
              <w:rPr>
                <w:rFonts w:hint="default" w:ascii="Times New Roman" w:hAnsi="Times New Roman" w:eastAsia="宋体" w:cs="Times New Roman"/>
                <w:bCs/>
                <w:color w:val="auto"/>
              </w:rPr>
            </w:pPr>
          </w:p>
          <w:p w14:paraId="763A8CE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b/>
                <w:bCs/>
                <w:color w:val="auto"/>
                <w:sz w:val="24"/>
                <w:szCs w:val="24"/>
                <w:vertAlign w:val="baseline"/>
                <w:lang w:val="en-US" w:eastAsia="zh-CN"/>
              </w:rPr>
            </w:pPr>
          </w:p>
        </w:tc>
      </w:tr>
      <w:tr w14:paraId="118C6A57">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108" w:type="dxa"/>
            <w:bottom w:w="0" w:type="dxa"/>
            <w:right w:w="108" w:type="dxa"/>
          </w:tblCellMar>
        </w:tblPrEx>
        <w:trPr>
          <w:trHeight w:val="211" w:hRule="atLeast"/>
          <w:jc w:val="center"/>
        </w:trPr>
        <w:tc>
          <w:tcPr>
            <w:tcW w:w="517" w:type="dxa"/>
            <w:tcBorders>
              <w:top w:val="single" w:color="000000" w:sz="8" w:space="0"/>
            </w:tcBorders>
            <w:vAlign w:val="center"/>
          </w:tcPr>
          <w:p w14:paraId="5A7BC96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color w:val="auto"/>
                <w:sz w:val="24"/>
                <w:szCs w:val="24"/>
              </w:rPr>
            </w:pPr>
            <w:r>
              <w:rPr>
                <w:color w:val="auto"/>
                <w:sz w:val="24"/>
                <w:szCs w:val="24"/>
              </w:rPr>
              <w:t>总量控制指标</w:t>
            </w:r>
          </w:p>
        </w:tc>
        <w:tc>
          <w:tcPr>
            <w:tcW w:w="8554" w:type="dxa"/>
            <w:tcBorders>
              <w:top w:val="single" w:color="000000" w:sz="8" w:space="0"/>
            </w:tcBorders>
            <w:vAlign w:val="center"/>
          </w:tcPr>
          <w:p w14:paraId="29D206B1">
            <w:pPr>
              <w:spacing w:line="360" w:lineRule="auto"/>
              <w:ind w:firstLine="482" w:firstLineChars="200"/>
              <w:rPr>
                <w:rFonts w:hint="eastAsia"/>
                <w:b/>
                <w:bCs/>
                <w:color w:val="auto"/>
                <w:sz w:val="24"/>
              </w:rPr>
            </w:pPr>
            <w:r>
              <w:rPr>
                <w:rFonts w:hint="eastAsia"/>
                <w:b/>
                <w:bCs/>
                <w:color w:val="auto"/>
                <w:sz w:val="24"/>
                <w:lang w:val="en-US" w:eastAsia="zh-CN"/>
              </w:rPr>
              <w:t>1、</w:t>
            </w:r>
            <w:r>
              <w:rPr>
                <w:rFonts w:hint="eastAsia"/>
                <w:b/>
                <w:bCs/>
                <w:color w:val="auto"/>
                <w:sz w:val="24"/>
              </w:rPr>
              <w:t>“十三五”总量控制因子</w:t>
            </w:r>
          </w:p>
          <w:p w14:paraId="3AF49106">
            <w:pPr>
              <w:spacing w:line="360" w:lineRule="auto"/>
              <w:ind w:firstLine="480" w:firstLineChars="200"/>
              <w:rPr>
                <w:rFonts w:hint="eastAsia"/>
                <w:color w:val="auto"/>
                <w:sz w:val="24"/>
              </w:rPr>
            </w:pPr>
            <w:r>
              <w:rPr>
                <w:rFonts w:hint="eastAsia"/>
                <w:color w:val="auto"/>
                <w:sz w:val="24"/>
              </w:rPr>
              <w:t>2015年1月，环保部编制完成《国家环境保护“十三五”规划基本思路》(以下简称《基本思路》)，其中提出了环保“十三五”规划的基础与形势、目标、重大战略任务、重大工程和项目以及制度建设和政策创新。《基本思路》提出要以质量改善为核心，优化和完善主要污染物总量控制指标体系。</w:t>
            </w:r>
          </w:p>
          <w:p w14:paraId="4C988D76">
            <w:pPr>
              <w:spacing w:line="360" w:lineRule="auto"/>
              <w:ind w:firstLine="480" w:firstLineChars="200"/>
              <w:rPr>
                <w:rFonts w:hint="eastAsia"/>
                <w:color w:val="auto"/>
                <w:sz w:val="24"/>
              </w:rPr>
            </w:pPr>
            <w:r>
              <w:rPr>
                <w:rFonts w:hint="eastAsia"/>
                <w:color w:val="auto"/>
                <w:sz w:val="24"/>
              </w:rPr>
              <w:t>根据质量改善需求，继续实施全国二氧化硫（SO</w:t>
            </w:r>
            <w:r>
              <w:rPr>
                <w:rFonts w:hint="eastAsia"/>
                <w:color w:val="auto"/>
                <w:sz w:val="24"/>
                <w:vertAlign w:val="subscript"/>
              </w:rPr>
              <w:t>2</w:t>
            </w:r>
            <w:r>
              <w:rPr>
                <w:rFonts w:hint="eastAsia"/>
                <w:color w:val="auto"/>
                <w:sz w:val="24"/>
              </w:rPr>
              <w:t>）、氮氧化物（NO</w:t>
            </w:r>
            <w:r>
              <w:rPr>
                <w:rFonts w:hint="eastAsia"/>
                <w:color w:val="auto"/>
                <w:sz w:val="24"/>
                <w:vertAlign w:val="subscript"/>
              </w:rPr>
              <w:t>x</w:t>
            </w:r>
            <w:r>
              <w:rPr>
                <w:rFonts w:hint="eastAsia"/>
                <w:color w:val="auto"/>
                <w:sz w:val="24"/>
              </w:rPr>
              <w:t>）、化学需氧量（COD）、氨氮（NH</w:t>
            </w:r>
            <w:r>
              <w:rPr>
                <w:rFonts w:hint="eastAsia"/>
                <w:color w:val="auto"/>
                <w:sz w:val="24"/>
                <w:vertAlign w:val="subscript"/>
              </w:rPr>
              <w:t>3</w:t>
            </w:r>
            <w:r>
              <w:rPr>
                <w:rFonts w:hint="eastAsia"/>
                <w:color w:val="auto"/>
                <w:sz w:val="24"/>
              </w:rPr>
              <w:t>-N）排放总量控制，进一步完善总量控制指标体系，提出必要的总量控制指标，以倒逼经济转型。</w:t>
            </w:r>
          </w:p>
          <w:p w14:paraId="61451DC2">
            <w:pPr>
              <w:spacing w:line="360" w:lineRule="auto"/>
              <w:ind w:firstLine="480" w:firstLineChars="200"/>
              <w:rPr>
                <w:rFonts w:hint="eastAsia"/>
                <w:color w:val="auto"/>
                <w:sz w:val="24"/>
              </w:rPr>
            </w:pPr>
            <w:r>
              <w:rPr>
                <w:rFonts w:hint="eastAsia"/>
                <w:color w:val="auto"/>
                <w:sz w:val="24"/>
              </w:rPr>
              <w:t>根据《基本思路》，初步考虑，对全国实施重点行业工业烟粉尘总量控制，对总氮、总磷和挥发性有机物(以下简称VOCs)实施重点区域与重点行业相结合的总量控制，增强差别化、针对性和可操作性。</w:t>
            </w:r>
          </w:p>
          <w:p w14:paraId="5EFFEFA4">
            <w:pPr>
              <w:spacing w:line="360" w:lineRule="auto"/>
              <w:ind w:firstLine="480" w:firstLineChars="200"/>
              <w:rPr>
                <w:rFonts w:hint="eastAsia"/>
                <w:color w:val="auto"/>
                <w:sz w:val="24"/>
              </w:rPr>
            </w:pPr>
            <w:r>
              <w:rPr>
                <w:rFonts w:hint="eastAsia"/>
                <w:color w:val="auto"/>
                <w:sz w:val="24"/>
              </w:rPr>
              <w:t>根据《基本思路》，“十三五”期间初步考虑在三湖一库、海河流域以及长三角等污染最严重、问题最突出的地区实行总氮或总磷区域排放量总量控制，要求沿海城市污水处理厂实施脱氮除磷。</w:t>
            </w:r>
          </w:p>
          <w:p w14:paraId="1E9E91FF">
            <w:pPr>
              <w:spacing w:line="360" w:lineRule="auto"/>
              <w:ind w:firstLine="480" w:firstLineChars="200"/>
              <w:rPr>
                <w:rFonts w:hint="default" w:ascii="Times New Roman" w:hAnsi="Times New Roman" w:eastAsia="宋体" w:cs="Times New Roman"/>
                <w:color w:val="auto"/>
                <w:sz w:val="24"/>
              </w:rPr>
            </w:pPr>
            <w:r>
              <w:rPr>
                <w:rFonts w:hint="eastAsia"/>
                <w:color w:val="auto"/>
                <w:sz w:val="24"/>
              </w:rPr>
              <w:t>根据《基本思路》，初步考虑在电力、钢铁、水泥等重点行业开展烟粉尘总量控制，实施基于新排放标准的行业治污减排管理，把问题突出、影响范围广的区域大点源烟粉尘排放量降下去。</w:t>
            </w:r>
          </w:p>
          <w:p w14:paraId="56AB9C2F">
            <w:pPr>
              <w:spacing w:line="360" w:lineRule="auto"/>
              <w:ind w:firstLine="482" w:firstLineChars="200"/>
              <w:rPr>
                <w:rFonts w:hint="eastAsia" w:ascii="Times New Roman" w:hAnsi="Times New Roman" w:eastAsia="宋体" w:cs="Times New Roman"/>
                <w:b/>
                <w:bCs/>
                <w:color w:val="auto"/>
                <w:sz w:val="24"/>
                <w:lang w:val="en-US" w:eastAsia="zh-CN"/>
              </w:rPr>
            </w:pPr>
            <w:r>
              <w:rPr>
                <w:rFonts w:hint="eastAsia" w:cs="Times New Roman"/>
                <w:b/>
                <w:bCs/>
                <w:color w:val="auto"/>
                <w:sz w:val="24"/>
                <w:lang w:val="en-US" w:eastAsia="zh-CN"/>
              </w:rPr>
              <w:t>2、</w:t>
            </w:r>
            <w:r>
              <w:rPr>
                <w:rFonts w:hint="eastAsia"/>
                <w:b/>
                <w:bCs/>
                <w:color w:val="auto"/>
                <w:sz w:val="24"/>
              </w:rPr>
              <w:t>本项目总量控制因子</w:t>
            </w:r>
          </w:p>
          <w:p w14:paraId="196948E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根据工程分析，在上述总量控制因子中，本项目产生的污染物包括生活污水中的COD</w:t>
            </w:r>
            <w:r>
              <w:rPr>
                <w:rFonts w:hint="eastAsia" w:cs="Times New Roman"/>
                <w:color w:val="auto"/>
                <w:sz w:val="24"/>
                <w:szCs w:val="22"/>
                <w:vertAlign w:val="subscript"/>
                <w:lang w:val="en-US" w:eastAsia="zh-CN"/>
              </w:rPr>
              <w:t>Cr</w:t>
            </w:r>
            <w:r>
              <w:rPr>
                <w:rFonts w:hint="default" w:ascii="Times New Roman" w:hAnsi="Times New Roman" w:eastAsia="宋体" w:cs="Times New Roman"/>
                <w:color w:val="auto"/>
                <w:sz w:val="24"/>
              </w:rPr>
              <w:t>、NH</w:t>
            </w:r>
            <w:r>
              <w:rPr>
                <w:rFonts w:hint="default" w:ascii="Times New Roman" w:hAnsi="Times New Roman" w:eastAsia="宋体" w:cs="Times New Roman"/>
                <w:color w:val="auto"/>
                <w:sz w:val="24"/>
                <w:vertAlign w:val="subscript"/>
              </w:rPr>
              <w:t>3</w:t>
            </w:r>
            <w:r>
              <w:rPr>
                <w:rFonts w:hint="default" w:ascii="Times New Roman" w:hAnsi="Times New Roman" w:eastAsia="宋体" w:cs="Times New Roman"/>
                <w:color w:val="auto"/>
                <w:sz w:val="24"/>
              </w:rPr>
              <w:t>-N、总氮、总磷。但本项目所在地——鄂州市</w:t>
            </w:r>
            <w:r>
              <w:rPr>
                <w:rFonts w:hint="eastAsia" w:cs="Times New Roman"/>
                <w:color w:val="auto"/>
                <w:sz w:val="24"/>
                <w:lang w:eastAsia="zh-CN"/>
              </w:rPr>
              <w:t>葛店</w:t>
            </w:r>
            <w:r>
              <w:rPr>
                <w:rFonts w:hint="default" w:ascii="Times New Roman" w:hAnsi="Times New Roman" w:eastAsia="宋体" w:cs="Times New Roman"/>
                <w:color w:val="auto"/>
                <w:sz w:val="24"/>
              </w:rPr>
              <w:t>经济开发区不属于“三湖一库、海河流域以及长三角染最严重、问题最突出的地区”，确定本项目废水的总量控制因子为COD</w:t>
            </w:r>
            <w:r>
              <w:rPr>
                <w:rFonts w:hint="eastAsia" w:cs="Times New Roman"/>
                <w:color w:val="auto"/>
                <w:sz w:val="24"/>
                <w:szCs w:val="22"/>
                <w:vertAlign w:val="subscript"/>
                <w:lang w:val="en-US" w:eastAsia="zh-CN"/>
              </w:rPr>
              <w:t>Cr</w:t>
            </w:r>
            <w:r>
              <w:rPr>
                <w:rFonts w:hint="default" w:ascii="Times New Roman" w:hAnsi="Times New Roman" w:eastAsia="宋体" w:cs="Times New Roman"/>
                <w:color w:val="auto"/>
                <w:sz w:val="24"/>
              </w:rPr>
              <w:t>、NH</w:t>
            </w:r>
            <w:r>
              <w:rPr>
                <w:rFonts w:hint="default" w:ascii="Times New Roman" w:hAnsi="Times New Roman" w:eastAsia="宋体" w:cs="Times New Roman"/>
                <w:color w:val="auto"/>
                <w:sz w:val="24"/>
                <w:vertAlign w:val="subscript"/>
              </w:rPr>
              <w:t>3</w:t>
            </w:r>
            <w:r>
              <w:rPr>
                <w:rFonts w:hint="default" w:ascii="Times New Roman" w:hAnsi="Times New Roman" w:eastAsia="宋体" w:cs="Times New Roman"/>
                <w:color w:val="auto"/>
                <w:sz w:val="24"/>
              </w:rPr>
              <w:t>-N。</w:t>
            </w:r>
          </w:p>
          <w:p w14:paraId="3C2230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b/>
                <w:bCs/>
                <w:color w:val="auto"/>
                <w:sz w:val="24"/>
                <w:szCs w:val="24"/>
                <w:highlight w:val="none"/>
                <w:vertAlign w:val="baseline"/>
                <w:lang w:val="en-US" w:eastAsia="zh-CN"/>
              </w:rPr>
            </w:pPr>
            <w:r>
              <w:rPr>
                <w:color w:val="auto"/>
                <w:sz w:val="24"/>
                <w:highlight w:val="none"/>
              </w:rPr>
              <w:t>根据工程分析，</w:t>
            </w:r>
            <w:r>
              <w:rPr>
                <w:rFonts w:hint="eastAsia"/>
                <w:color w:val="auto"/>
                <w:sz w:val="24"/>
                <w:highlight w:val="none"/>
                <w:lang w:eastAsia="zh-CN"/>
              </w:rPr>
              <w:t>针对本项目污染特点，</w:t>
            </w:r>
            <w:r>
              <w:rPr>
                <w:color w:val="auto"/>
                <w:sz w:val="24"/>
                <w:highlight w:val="none"/>
              </w:rPr>
              <w:t>在上述总量控制因子中</w:t>
            </w:r>
            <w:r>
              <w:rPr>
                <w:rFonts w:hint="eastAsia"/>
                <w:color w:val="auto"/>
                <w:sz w:val="24"/>
                <w:highlight w:val="none"/>
                <w:lang w:eastAsia="zh-CN"/>
              </w:rPr>
              <w:t>本项目的控制因子为：</w:t>
            </w:r>
            <w:r>
              <w:rPr>
                <w:color w:val="auto"/>
                <w:sz w:val="24"/>
                <w:highlight w:val="none"/>
              </w:rPr>
              <w:t>COD</w:t>
            </w:r>
            <w:r>
              <w:rPr>
                <w:rFonts w:hint="eastAsia"/>
                <w:color w:val="auto"/>
                <w:sz w:val="24"/>
                <w:highlight w:val="none"/>
                <w:vertAlign w:val="subscript"/>
              </w:rPr>
              <w:t>Cr</w:t>
            </w:r>
            <w:r>
              <w:rPr>
                <w:color w:val="auto"/>
                <w:sz w:val="24"/>
                <w:highlight w:val="none"/>
              </w:rPr>
              <w:t>、NH</w:t>
            </w:r>
            <w:r>
              <w:rPr>
                <w:color w:val="auto"/>
                <w:sz w:val="24"/>
                <w:highlight w:val="none"/>
                <w:vertAlign w:val="subscript"/>
              </w:rPr>
              <w:t>3</w:t>
            </w:r>
            <w:r>
              <w:rPr>
                <w:color w:val="auto"/>
                <w:sz w:val="24"/>
                <w:highlight w:val="none"/>
              </w:rPr>
              <w:t>-N</w:t>
            </w:r>
            <w:r>
              <w:rPr>
                <w:rFonts w:hint="eastAsia"/>
                <w:color w:val="auto"/>
                <w:sz w:val="24"/>
                <w:highlight w:val="none"/>
                <w:lang w:eastAsia="zh-CN"/>
              </w:rPr>
              <w:t>。</w:t>
            </w:r>
            <w:r>
              <w:rPr>
                <w:color w:val="auto"/>
                <w:sz w:val="24"/>
                <w:highlight w:val="none"/>
              </w:rPr>
              <w:t>由于本项目废水最终达标排入葛店污水处理厂处理，其总量纳入污水处理厂</w:t>
            </w:r>
            <w:r>
              <w:rPr>
                <w:rFonts w:hint="eastAsia"/>
                <w:color w:val="auto"/>
                <w:sz w:val="24"/>
                <w:highlight w:val="none"/>
                <w:lang w:eastAsia="zh-CN"/>
              </w:rPr>
              <w:t>核算</w:t>
            </w:r>
            <w:r>
              <w:rPr>
                <w:color w:val="auto"/>
                <w:sz w:val="24"/>
                <w:highlight w:val="none"/>
              </w:rPr>
              <w:t>指标</w:t>
            </w:r>
            <w:r>
              <w:rPr>
                <w:rFonts w:hint="eastAsia"/>
                <w:color w:val="auto"/>
                <w:sz w:val="24"/>
                <w:highlight w:val="none"/>
                <w:lang w:eastAsia="zh-CN"/>
              </w:rPr>
              <w:t>，故不另外提出总量控制指标</w:t>
            </w:r>
            <w:r>
              <w:rPr>
                <w:color w:val="auto"/>
                <w:sz w:val="24"/>
                <w:highlight w:val="none"/>
              </w:rPr>
              <w:t>。</w:t>
            </w:r>
            <w:r>
              <w:rPr>
                <w:rFonts w:hint="eastAsia"/>
                <w:color w:val="auto"/>
                <w:sz w:val="24"/>
                <w:highlight w:val="none"/>
                <w:lang w:eastAsia="zh-CN"/>
              </w:rPr>
              <w:t>根据</w:t>
            </w:r>
            <w:r>
              <w:rPr>
                <w:rFonts w:hint="eastAsia"/>
                <w:color w:val="auto"/>
                <w:sz w:val="24"/>
                <w:highlight w:val="none"/>
              </w:rPr>
              <w:t>《</w:t>
            </w:r>
            <w:r>
              <w:rPr>
                <w:rFonts w:hint="eastAsia"/>
                <w:color w:val="auto"/>
                <w:sz w:val="24"/>
                <w:highlight w:val="none"/>
                <w:lang w:eastAsia="zh-CN"/>
              </w:rPr>
              <w:t>湖北省主要污染物排污权交易办法实施细则》(鄂环办〔2014〕277号）计算可知，本项目的建议考核总量为：</w:t>
            </w:r>
            <w:r>
              <w:rPr>
                <w:color w:val="auto"/>
                <w:sz w:val="24"/>
                <w:highlight w:val="none"/>
              </w:rPr>
              <w:t>COD</w:t>
            </w:r>
            <w:r>
              <w:rPr>
                <w:rFonts w:hint="eastAsia"/>
                <w:color w:val="auto"/>
                <w:sz w:val="24"/>
                <w:highlight w:val="none"/>
                <w:vertAlign w:val="subscript"/>
              </w:rPr>
              <w:t>Cr</w:t>
            </w:r>
            <w:r>
              <w:rPr>
                <w:rFonts w:hint="eastAsia"/>
                <w:color w:val="auto"/>
                <w:sz w:val="24"/>
                <w:highlight w:val="none"/>
                <w:vertAlign w:val="baseline"/>
                <w:lang w:val="en-US" w:eastAsia="zh-CN"/>
              </w:rPr>
              <w:t>：4.92t/a、</w:t>
            </w:r>
            <w:r>
              <w:rPr>
                <w:color w:val="auto"/>
                <w:sz w:val="24"/>
                <w:highlight w:val="none"/>
              </w:rPr>
              <w:t>NH</w:t>
            </w:r>
            <w:r>
              <w:rPr>
                <w:color w:val="auto"/>
                <w:sz w:val="24"/>
                <w:highlight w:val="none"/>
                <w:vertAlign w:val="subscript"/>
              </w:rPr>
              <w:t>3</w:t>
            </w:r>
            <w:r>
              <w:rPr>
                <w:color w:val="auto"/>
                <w:sz w:val="24"/>
                <w:highlight w:val="none"/>
              </w:rPr>
              <w:t>-N</w:t>
            </w:r>
            <w:r>
              <w:rPr>
                <w:rFonts w:hint="eastAsia"/>
                <w:color w:val="auto"/>
                <w:sz w:val="24"/>
                <w:highlight w:val="none"/>
                <w:lang w:eastAsia="zh-CN"/>
              </w:rPr>
              <w:t>：</w:t>
            </w:r>
            <w:r>
              <w:rPr>
                <w:rFonts w:hint="eastAsia"/>
                <w:color w:val="auto"/>
                <w:sz w:val="24"/>
                <w:highlight w:val="none"/>
                <w:lang w:val="en-US" w:eastAsia="zh-CN"/>
              </w:rPr>
              <w:t>0.492</w:t>
            </w:r>
            <w:r>
              <w:rPr>
                <w:rFonts w:hint="eastAsia"/>
                <w:color w:val="auto"/>
                <w:sz w:val="24"/>
                <w:highlight w:val="none"/>
                <w:vertAlign w:val="baseline"/>
                <w:lang w:val="en-US" w:eastAsia="zh-CN"/>
              </w:rPr>
              <w:t>t/a。</w:t>
            </w:r>
          </w:p>
          <w:p w14:paraId="1D47FD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b/>
                <w:bCs/>
                <w:color w:val="auto"/>
                <w:sz w:val="24"/>
                <w:szCs w:val="24"/>
                <w:vertAlign w:val="baseline"/>
                <w:lang w:val="en-US" w:eastAsia="zh-CN"/>
              </w:rPr>
            </w:pPr>
          </w:p>
          <w:p w14:paraId="72FC146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b/>
                <w:bCs/>
                <w:color w:val="auto"/>
                <w:sz w:val="24"/>
                <w:szCs w:val="24"/>
                <w:vertAlign w:val="baseline"/>
                <w:lang w:val="en-US" w:eastAsia="zh-CN"/>
              </w:rPr>
            </w:pPr>
          </w:p>
          <w:p w14:paraId="25A9D9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b/>
                <w:bCs/>
                <w:color w:val="auto"/>
                <w:sz w:val="24"/>
                <w:szCs w:val="24"/>
                <w:vertAlign w:val="baseline"/>
                <w:lang w:val="en-US" w:eastAsia="zh-CN"/>
              </w:rPr>
            </w:pPr>
          </w:p>
          <w:p w14:paraId="17E66E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b/>
                <w:bCs/>
                <w:color w:val="auto"/>
                <w:sz w:val="24"/>
                <w:szCs w:val="24"/>
                <w:vertAlign w:val="baseline"/>
                <w:lang w:val="en-US" w:eastAsia="zh-CN"/>
              </w:rPr>
            </w:pPr>
          </w:p>
        </w:tc>
      </w:tr>
    </w:tbl>
    <w:p w14:paraId="4B59F1DB">
      <w:pPr>
        <w:pStyle w:val="2"/>
        <w:rPr>
          <w:rFonts w:hint="eastAsia"/>
          <w:color w:val="auto"/>
        </w:rPr>
      </w:pPr>
      <w:bookmarkStart w:id="39" w:name="_Toc23803"/>
      <w:bookmarkStart w:id="40" w:name="_Toc470801620"/>
      <w:bookmarkStart w:id="41" w:name="_Toc26495"/>
      <w:bookmarkStart w:id="42" w:name="_Toc19069"/>
      <w:r>
        <w:rPr>
          <w:color w:val="auto"/>
        </w:rPr>
        <w:t>五、建设项目工程分析</w:t>
      </w:r>
      <w:bookmarkEnd w:id="39"/>
      <w:bookmarkEnd w:id="40"/>
      <w:bookmarkEnd w:id="41"/>
      <w:bookmarkEnd w:id="42"/>
    </w:p>
    <w:tbl>
      <w:tblPr>
        <w:tblStyle w:val="16"/>
        <w:tblW w:w="9081"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081"/>
      </w:tblGrid>
      <w:tr w14:paraId="35BE28DE">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5945" w:hRule="atLeast"/>
          <w:jc w:val="center"/>
        </w:trPr>
        <w:tc>
          <w:tcPr>
            <w:tcW w:w="9081" w:type="dxa"/>
            <w:tcBorders>
              <w:tl2br w:val="nil"/>
              <w:tr2bl w:val="nil"/>
            </w:tcBorders>
            <w:vAlign w:val="top"/>
          </w:tcPr>
          <w:p w14:paraId="7AAFAF7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color w:val="auto"/>
                <w:sz w:val="30"/>
                <w:szCs w:val="30"/>
                <w:lang w:val="en-US" w:eastAsia="zh-CN"/>
              </w:rPr>
            </w:pPr>
            <w:r>
              <w:rPr>
                <w:rFonts w:hint="eastAsia"/>
                <w:b/>
                <w:color w:val="auto"/>
                <w:sz w:val="30"/>
                <w:szCs w:val="30"/>
                <w:lang w:val="en-US" w:eastAsia="zh-CN"/>
              </w:rPr>
              <w:t>工艺流程简述</w:t>
            </w:r>
          </w:p>
          <w:p w14:paraId="1DECB77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b/>
                <w:color w:val="auto"/>
                <w:sz w:val="28"/>
                <w:szCs w:val="28"/>
                <w:lang w:val="en-US" w:eastAsia="zh-CN"/>
              </w:rPr>
            </w:pPr>
            <w:r>
              <w:rPr>
                <w:rFonts w:hint="eastAsia"/>
                <w:b/>
                <w:color w:val="auto"/>
                <w:sz w:val="28"/>
                <w:szCs w:val="28"/>
                <w:lang w:val="en-US" w:eastAsia="zh-CN"/>
              </w:rPr>
              <w:t>一、施工期</w:t>
            </w:r>
          </w:p>
          <w:p w14:paraId="6100014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2" w:firstLineChars="200"/>
              <w:jc w:val="both"/>
              <w:textAlignment w:val="auto"/>
              <w:outlineLvl w:val="9"/>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1、工艺流程</w:t>
            </w:r>
            <w:r>
              <w:rPr>
                <w:rFonts w:hint="eastAsia" w:ascii="Times New Roman" w:hAnsi="Times New Roman" w:eastAsia="宋体" w:cs="Times New Roman"/>
                <w:b/>
                <w:bCs/>
                <w:color w:val="auto"/>
                <w:sz w:val="24"/>
                <w:szCs w:val="24"/>
                <w:vertAlign w:val="baseline"/>
                <w:lang w:val="en-US" w:eastAsia="zh-CN"/>
              </w:rPr>
              <w:t>及产污节点分析</w:t>
            </w:r>
          </w:p>
          <w:p w14:paraId="2F8D9CB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施工期间包括三通一平、基础工程、主体工程、装饰工程、设备安装、工程验收等工序，施工过程中将产生噪声、扬尘、废气、施工废水、生活污水、建筑垃圾等。其排放量随工期和施工强度不同而有所变化。本项目施工期基本工艺流程及产污位置如图5-1所示。</w:t>
            </w:r>
          </w:p>
          <w:p w14:paraId="26CA16B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Times New Roman" w:hAnsi="Times New Roman" w:eastAsia="宋体" w:cs="Times New Roman"/>
                <w:color w:val="auto"/>
                <w:sz w:val="24"/>
                <w:szCs w:val="24"/>
              </w:rPr>
            </w:pPr>
            <w:r>
              <w:rPr>
                <w:color w:val="auto"/>
                <w:sz w:val="21"/>
              </w:rPr>
              <mc:AlternateContent>
                <mc:Choice Requires="wps">
                  <w:drawing>
                    <wp:anchor distT="0" distB="0" distL="114300" distR="114300" simplePos="0" relativeHeight="251660288" behindDoc="0" locked="0" layoutInCell="1" allowOverlap="1">
                      <wp:simplePos x="0" y="0"/>
                      <wp:positionH relativeFrom="column">
                        <wp:posOffset>1371600</wp:posOffset>
                      </wp:positionH>
                      <wp:positionV relativeFrom="paragraph">
                        <wp:posOffset>2635885</wp:posOffset>
                      </wp:positionV>
                      <wp:extent cx="2679065" cy="354330"/>
                      <wp:effectExtent l="0" t="0" r="0" b="0"/>
                      <wp:wrapNone/>
                      <wp:docPr id="1" name="文本框 1"/>
                      <wp:cNvGraphicFramePr/>
                      <a:graphic xmlns:a="http://schemas.openxmlformats.org/drawingml/2006/main">
                        <a:graphicData uri="http://schemas.microsoft.com/office/word/2010/wordprocessingShape">
                          <wps:wsp>
                            <wps:cNvSpPr txBox="1"/>
                            <wps:spPr>
                              <a:xfrm>
                                <a:off x="3110230" y="6225540"/>
                                <a:ext cx="2679065" cy="3543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F77888">
                                  <w:pPr>
                                    <w:spacing w:line="360" w:lineRule="auto"/>
                                    <w:ind w:firstLine="422" w:firstLineChars="200"/>
                                    <w:jc w:val="center"/>
                                    <w:rPr>
                                      <w:rFonts w:hint="eastAsia"/>
                                      <w:b/>
                                      <w:color w:val="auto"/>
                                      <w:sz w:val="21"/>
                                      <w:szCs w:val="21"/>
                                    </w:rPr>
                                  </w:pPr>
                                  <w:r>
                                    <w:rPr>
                                      <w:rFonts w:hint="eastAsia"/>
                                      <w:b/>
                                      <w:color w:val="auto"/>
                                      <w:sz w:val="21"/>
                                      <w:szCs w:val="21"/>
                                    </w:rPr>
                                    <w:t>图5-1 施工期工艺流程及产污位置图</w:t>
                                  </w:r>
                                </w:p>
                                <w:p w14:paraId="2657D50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8pt;margin-top:207.55pt;height:27.9pt;width:210.95pt;z-index:251660288;mso-width-relative:page;mso-height-relative:page;" filled="f" stroked="f" coordsize="21600,21600" o:gfxdata="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DYRlC3QAAAAsBAAAPAAAAAAAA&#10;AAEAIAAAACIAAABkcnMvZG93bnJldi54bWxQSwECFAAUAAAACACHTuJAhv4KkkYCAAByBAAADgAA&#10;AAAAAAABACAAAAAsAQAAZHJzL2Uyb0RvYy54bWxQSwUGAAAAAAYABgBZAQAA5AUAAAAA&#10;">
                      <v:fill on="f" focussize="0,0"/>
                      <v:stroke on="f" weight="0.5pt"/>
                      <v:imagedata o:title=""/>
                      <o:lock v:ext="edit" aspectratio="f"/>
                      <v:textbox>
                        <w:txbxContent>
                          <w:p w14:paraId="45F77888">
                            <w:pPr>
                              <w:spacing w:line="360" w:lineRule="auto"/>
                              <w:ind w:firstLine="422" w:firstLineChars="200"/>
                              <w:jc w:val="center"/>
                              <w:rPr>
                                <w:rFonts w:hint="eastAsia"/>
                                <w:b/>
                                <w:color w:val="auto"/>
                                <w:sz w:val="21"/>
                                <w:szCs w:val="21"/>
                              </w:rPr>
                            </w:pPr>
                            <w:r>
                              <w:rPr>
                                <w:rFonts w:hint="eastAsia"/>
                                <w:b/>
                                <w:color w:val="auto"/>
                                <w:sz w:val="21"/>
                                <w:szCs w:val="21"/>
                              </w:rPr>
                              <w:t>图5-1 施工期工艺流程及产污位置图</w:t>
                            </w:r>
                          </w:p>
                          <w:p w14:paraId="2657D503"/>
                        </w:txbxContent>
                      </v:textbox>
                    </v:shape>
                  </w:pict>
                </mc:Fallback>
              </mc:AlternateContent>
            </w:r>
            <w:r>
              <w:rPr>
                <w:color w:val="auto"/>
              </w:rPr>
              <w:pict>
                <v:shape id="_x0000_s1026" o:spid="_x0000_s1026" o:spt="75" type="#_x0000_t75" style="position:absolute;left:0pt;margin-left:11.1pt;margin-top:18.45pt;height:193.65pt;width:423.3pt;mso-wrap-distance-bottom:0pt;mso-wrap-distance-top:0pt;z-index:251659264;mso-width-relative:page;mso-height-relative:page;" o:ole="t" filled="f" o:preferrelative="t" stroked="f" coordsize="21600,21600">
                  <v:path/>
                  <v:fill on="f" focussize="0,0"/>
                  <v:stroke on="f"/>
                  <v:imagedata r:id="rId11" o:title=""/>
                  <o:lock v:ext="edit" aspectratio="t"/>
                  <w10:wrap type="topAndBottom"/>
                </v:shape>
                <o:OLEObject Type="Embed" ProgID="Visio.Drawing.11" ShapeID="_x0000_s1026" DrawAspect="Content" ObjectID="_1468075726" r:id="rId10">
                  <o:LockedField>false</o:LockedField>
                </o:OLEObject>
              </w:pict>
            </w:r>
          </w:p>
          <w:p w14:paraId="45C630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2、</w:t>
            </w:r>
            <w:r>
              <w:rPr>
                <w:rFonts w:hint="default" w:ascii="Times New Roman" w:hAnsi="Times New Roman" w:eastAsia="宋体" w:cs="Times New Roman"/>
                <w:b/>
                <w:color w:val="auto"/>
                <w:sz w:val="24"/>
                <w:szCs w:val="24"/>
              </w:rPr>
              <w:t>污染因子分析</w:t>
            </w:r>
          </w:p>
          <w:p w14:paraId="131A39CD">
            <w:pPr>
              <w:spacing w:line="360" w:lineRule="auto"/>
              <w:ind w:firstLine="480" w:firstLineChars="200"/>
              <w:rPr>
                <w:color w:val="auto"/>
                <w:sz w:val="24"/>
                <w:szCs w:val="24"/>
              </w:rPr>
            </w:pPr>
            <w:r>
              <w:rPr>
                <w:color w:val="auto"/>
                <w:sz w:val="24"/>
                <w:szCs w:val="24"/>
              </w:rPr>
              <w:t>本项目施工期产生的污染物有废气、废水、噪声以及固体废物。</w:t>
            </w:r>
          </w:p>
          <w:p w14:paraId="02F3B1BF">
            <w:pPr>
              <w:pStyle w:val="9"/>
              <w:tabs>
                <w:tab w:val="left" w:pos="612"/>
              </w:tabs>
              <w:spacing w:line="360" w:lineRule="auto"/>
              <w:ind w:firstLine="480" w:firstLineChars="200"/>
              <w:rPr>
                <w:rFonts w:ascii="Times New Roman" w:hAnsi="Times New Roman"/>
                <w:color w:val="auto"/>
                <w:sz w:val="24"/>
                <w:szCs w:val="24"/>
                <w:lang w:val="en-US" w:eastAsia="zh-CN"/>
              </w:rPr>
            </w:pPr>
            <w:r>
              <w:rPr>
                <w:rFonts w:hint="eastAsia" w:ascii="Times New Roman" w:hAnsi="Times New Roman"/>
                <w:color w:val="auto"/>
                <w:sz w:val="24"/>
                <w:szCs w:val="24"/>
                <w:lang w:val="en-US" w:eastAsia="zh-CN"/>
              </w:rPr>
              <w:t>2.1、</w:t>
            </w:r>
            <w:r>
              <w:rPr>
                <w:rFonts w:ascii="Times New Roman" w:hAnsi="Times New Roman"/>
                <w:color w:val="auto"/>
                <w:sz w:val="24"/>
                <w:szCs w:val="24"/>
                <w:lang w:val="en-US" w:eastAsia="zh-CN"/>
              </w:rPr>
              <w:t>废气</w:t>
            </w:r>
          </w:p>
          <w:p w14:paraId="1CC521FF">
            <w:pPr>
              <w:pStyle w:val="9"/>
              <w:spacing w:line="360" w:lineRule="auto"/>
              <w:ind w:firstLine="480" w:firstLineChars="200"/>
              <w:rPr>
                <w:rFonts w:ascii="Times New Roman" w:hAnsi="Times New Roman"/>
                <w:color w:val="auto"/>
                <w:sz w:val="24"/>
                <w:lang w:val="en-US" w:eastAsia="zh-CN"/>
              </w:rPr>
            </w:pPr>
            <w:r>
              <w:rPr>
                <w:rFonts w:ascii="Times New Roman" w:hAnsi="Times New Roman"/>
                <w:color w:val="auto"/>
                <w:sz w:val="24"/>
                <w:lang w:val="en-US" w:eastAsia="zh-CN"/>
              </w:rPr>
              <w:t>主要为施工材料运输、土方开挖、打桩等产生的扬尘，施工机械排放尾气及装修材料排放的废气。</w:t>
            </w:r>
          </w:p>
          <w:p w14:paraId="2AEA441E">
            <w:pPr>
              <w:pStyle w:val="9"/>
              <w:spacing w:line="360" w:lineRule="auto"/>
              <w:ind w:firstLine="480" w:firstLineChars="200"/>
              <w:rPr>
                <w:rFonts w:ascii="Times New Roman" w:hAnsi="Times New Roman"/>
                <w:color w:val="auto"/>
                <w:sz w:val="24"/>
                <w:szCs w:val="24"/>
                <w:lang w:val="en-US" w:eastAsia="zh-CN"/>
              </w:rPr>
            </w:pPr>
            <w:r>
              <w:rPr>
                <w:rFonts w:hint="eastAsia" w:ascii="Times New Roman" w:hAnsi="Times New Roman"/>
                <w:color w:val="auto"/>
                <w:sz w:val="24"/>
                <w:szCs w:val="24"/>
                <w:lang w:val="en-US" w:eastAsia="zh-CN"/>
              </w:rPr>
              <w:t>2.2、</w:t>
            </w:r>
            <w:r>
              <w:rPr>
                <w:rFonts w:ascii="Times New Roman" w:hAnsi="Times New Roman"/>
                <w:color w:val="auto"/>
                <w:sz w:val="24"/>
                <w:szCs w:val="24"/>
                <w:lang w:val="en-US" w:eastAsia="zh-CN"/>
              </w:rPr>
              <w:t>废水</w:t>
            </w:r>
          </w:p>
          <w:p w14:paraId="58A06EB3">
            <w:pPr>
              <w:pStyle w:val="9"/>
              <w:spacing w:line="360" w:lineRule="auto"/>
              <w:ind w:firstLine="480" w:firstLineChars="200"/>
              <w:rPr>
                <w:rFonts w:ascii="Times New Roman" w:hAnsi="Times New Roman"/>
                <w:color w:val="auto"/>
                <w:sz w:val="24"/>
                <w:szCs w:val="24"/>
                <w:lang w:val="en-US" w:eastAsia="zh-CN"/>
              </w:rPr>
            </w:pPr>
            <w:r>
              <w:rPr>
                <w:rFonts w:ascii="Times New Roman" w:hAnsi="Times New Roman"/>
                <w:color w:val="auto"/>
                <w:sz w:val="24"/>
                <w:szCs w:val="24"/>
                <w:lang w:val="en-US" w:eastAsia="zh-CN"/>
              </w:rPr>
              <w:t>施工期废水污染源主要为桩基施工废水和施工机械、石料等建材冲洗产生的废水，施工人员产生的生活污水等。主要污染物为SS、BOD</w:t>
            </w:r>
            <w:r>
              <w:rPr>
                <w:rFonts w:ascii="Times New Roman" w:hAnsi="Times New Roman"/>
                <w:color w:val="auto"/>
                <w:sz w:val="24"/>
                <w:szCs w:val="24"/>
                <w:vertAlign w:val="subscript"/>
                <w:lang w:val="en-US" w:eastAsia="zh-CN"/>
              </w:rPr>
              <w:t>5</w:t>
            </w:r>
            <w:r>
              <w:rPr>
                <w:rFonts w:ascii="Times New Roman" w:hAnsi="Times New Roman"/>
                <w:color w:val="auto"/>
                <w:sz w:val="24"/>
                <w:szCs w:val="24"/>
                <w:lang w:val="en-US" w:eastAsia="zh-CN"/>
              </w:rPr>
              <w:t>、COD</w:t>
            </w:r>
            <w:r>
              <w:rPr>
                <w:rFonts w:ascii="Times New Roman" w:hAnsi="Times New Roman"/>
                <w:color w:val="auto"/>
                <w:sz w:val="24"/>
                <w:szCs w:val="24"/>
                <w:vertAlign w:val="subscript"/>
                <w:lang w:val="en-US" w:eastAsia="zh-CN"/>
              </w:rPr>
              <w:t>Cr</w:t>
            </w:r>
            <w:r>
              <w:rPr>
                <w:rFonts w:ascii="Times New Roman" w:hAnsi="Times New Roman"/>
                <w:color w:val="auto"/>
                <w:sz w:val="24"/>
                <w:szCs w:val="24"/>
                <w:lang w:val="en-US" w:eastAsia="zh-CN"/>
              </w:rPr>
              <w:t>和</w:t>
            </w:r>
            <w:r>
              <w:rPr>
                <w:rFonts w:hint="eastAsia" w:ascii="Times New Roman" w:hAnsi="Times New Roman"/>
                <w:color w:val="auto"/>
                <w:sz w:val="24"/>
                <w:szCs w:val="24"/>
                <w:lang w:val="en-US" w:eastAsia="zh-CN"/>
              </w:rPr>
              <w:t>氨氮</w:t>
            </w:r>
            <w:r>
              <w:rPr>
                <w:rFonts w:ascii="Times New Roman" w:hAnsi="Times New Roman"/>
                <w:color w:val="auto"/>
                <w:sz w:val="24"/>
                <w:szCs w:val="24"/>
                <w:lang w:val="en-US" w:eastAsia="zh-CN"/>
              </w:rPr>
              <w:t>等。</w:t>
            </w:r>
          </w:p>
          <w:p w14:paraId="4A7DB5FD">
            <w:pPr>
              <w:pStyle w:val="9"/>
              <w:spacing w:line="360" w:lineRule="auto"/>
              <w:ind w:firstLine="480" w:firstLineChars="200"/>
              <w:rPr>
                <w:rFonts w:ascii="Times New Roman" w:hAnsi="Times New Roman"/>
                <w:color w:val="auto"/>
                <w:sz w:val="24"/>
                <w:szCs w:val="24"/>
                <w:lang w:val="en-US" w:eastAsia="zh-CN"/>
              </w:rPr>
            </w:pPr>
            <w:r>
              <w:rPr>
                <w:rFonts w:hint="eastAsia" w:ascii="Times New Roman" w:hAnsi="Times New Roman"/>
                <w:color w:val="auto"/>
                <w:sz w:val="24"/>
                <w:szCs w:val="24"/>
                <w:lang w:val="en-US" w:eastAsia="zh-CN"/>
              </w:rPr>
              <w:t>2.3、</w:t>
            </w:r>
            <w:r>
              <w:rPr>
                <w:rFonts w:ascii="Times New Roman" w:hAnsi="Times New Roman"/>
                <w:color w:val="auto"/>
                <w:sz w:val="24"/>
                <w:szCs w:val="24"/>
                <w:lang w:val="en-US" w:eastAsia="zh-CN"/>
              </w:rPr>
              <w:t>噪声</w:t>
            </w:r>
          </w:p>
          <w:p w14:paraId="4D1E115E">
            <w:pPr>
              <w:pStyle w:val="9"/>
              <w:spacing w:line="360" w:lineRule="auto"/>
              <w:ind w:firstLine="480" w:firstLineChars="200"/>
              <w:rPr>
                <w:rFonts w:ascii="Times New Roman" w:hAnsi="Times New Roman"/>
                <w:color w:val="auto"/>
                <w:sz w:val="24"/>
                <w:szCs w:val="24"/>
                <w:lang w:val="en-US" w:eastAsia="zh-CN"/>
              </w:rPr>
            </w:pPr>
            <w:r>
              <w:rPr>
                <w:rFonts w:ascii="Times New Roman" w:hAnsi="Times New Roman"/>
                <w:color w:val="auto"/>
                <w:sz w:val="24"/>
                <w:szCs w:val="24"/>
                <w:lang w:val="en-US" w:eastAsia="zh-CN"/>
              </w:rPr>
              <w:t>施工期噪声源主要为施工机械。施工机械主要有推土机、挖掘机、混凝土搅拌机、翻斗车、装载机、空压机等。</w:t>
            </w:r>
          </w:p>
          <w:p w14:paraId="01E4634E">
            <w:pPr>
              <w:pStyle w:val="9"/>
              <w:spacing w:line="360" w:lineRule="auto"/>
              <w:ind w:firstLine="480" w:firstLineChars="200"/>
              <w:rPr>
                <w:rFonts w:ascii="Times New Roman" w:hAnsi="Times New Roman"/>
                <w:color w:val="auto"/>
                <w:sz w:val="24"/>
                <w:szCs w:val="24"/>
                <w:lang w:val="en-US" w:eastAsia="zh-CN"/>
              </w:rPr>
            </w:pPr>
            <w:r>
              <w:rPr>
                <w:rFonts w:hint="eastAsia" w:ascii="Times New Roman" w:hAnsi="Times New Roman"/>
                <w:color w:val="auto"/>
                <w:sz w:val="24"/>
                <w:szCs w:val="24"/>
                <w:lang w:val="en-US" w:eastAsia="zh-CN"/>
              </w:rPr>
              <w:t>2.4、</w:t>
            </w:r>
            <w:r>
              <w:rPr>
                <w:rFonts w:ascii="Times New Roman" w:hAnsi="Times New Roman"/>
                <w:color w:val="auto"/>
                <w:sz w:val="24"/>
                <w:szCs w:val="24"/>
                <w:lang w:val="en-US" w:eastAsia="zh-CN"/>
              </w:rPr>
              <w:t>固体废弃物</w:t>
            </w:r>
          </w:p>
          <w:p w14:paraId="543769E2">
            <w:pPr>
              <w:pStyle w:val="9"/>
              <w:spacing w:line="360" w:lineRule="auto"/>
              <w:ind w:firstLine="480" w:firstLineChars="200"/>
              <w:outlineLvl w:val="0"/>
              <w:rPr>
                <w:rFonts w:ascii="Times New Roman" w:hAnsi="Times New Roman"/>
                <w:color w:val="auto"/>
                <w:sz w:val="24"/>
                <w:szCs w:val="24"/>
                <w:lang w:val="en-US" w:eastAsia="zh-CN"/>
              </w:rPr>
            </w:pPr>
            <w:bookmarkStart w:id="43" w:name="_Toc7038"/>
            <w:r>
              <w:rPr>
                <w:color w:val="auto"/>
                <w:sz w:val="24"/>
                <w:lang w:val="en-US" w:eastAsia="zh-CN"/>
              </w:rPr>
              <w:t>施工期的固体废弃物主要为施工过程产生的建筑垃圾、施工人员生活垃圾</w:t>
            </w:r>
            <w:r>
              <w:rPr>
                <w:rFonts w:hint="eastAsia"/>
                <w:color w:val="auto"/>
                <w:sz w:val="24"/>
                <w:lang w:val="en-US" w:eastAsia="zh-CN"/>
              </w:rPr>
              <w:t>、挖方废物</w:t>
            </w:r>
            <w:r>
              <w:rPr>
                <w:color w:val="auto"/>
                <w:sz w:val="24"/>
                <w:lang w:val="en-US" w:eastAsia="zh-CN"/>
              </w:rPr>
              <w:t>等。</w:t>
            </w:r>
            <w:bookmarkEnd w:id="43"/>
          </w:p>
          <w:p w14:paraId="0206018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2" w:firstLineChars="200"/>
              <w:jc w:val="both"/>
              <w:textAlignment w:val="auto"/>
              <w:outlineLvl w:val="9"/>
              <w:rPr>
                <w:rFonts w:hint="eastAsia" w:ascii="Times New Roman" w:hAnsi="Times New Roman" w:eastAsia="宋体" w:cs="Times New Roman"/>
                <w:b/>
                <w:bCs/>
                <w:color w:val="auto"/>
                <w:sz w:val="24"/>
                <w:szCs w:val="24"/>
                <w:vertAlign w:val="baseline"/>
                <w:lang w:val="en-US" w:eastAsia="zh-CN"/>
              </w:rPr>
            </w:pPr>
            <w:r>
              <w:rPr>
                <w:rFonts w:hint="eastAsia" w:ascii="Times New Roman" w:hAnsi="Times New Roman" w:eastAsia="宋体" w:cs="Times New Roman"/>
                <w:b/>
                <w:bCs/>
                <w:color w:val="auto"/>
                <w:sz w:val="24"/>
                <w:szCs w:val="24"/>
                <w:vertAlign w:val="baseline"/>
                <w:lang w:val="en-US" w:eastAsia="zh-CN"/>
              </w:rPr>
              <w:t>3、污染源强分析</w:t>
            </w:r>
          </w:p>
          <w:p w14:paraId="25B091E5">
            <w:pPr>
              <w:pStyle w:val="9"/>
              <w:spacing w:line="360" w:lineRule="auto"/>
              <w:ind w:firstLine="480" w:firstLineChars="200"/>
              <w:rPr>
                <w:rFonts w:ascii="Times New Roman" w:hAnsi="Times New Roman"/>
                <w:b w:val="0"/>
                <w:bCs w:val="0"/>
                <w:color w:val="auto"/>
                <w:sz w:val="24"/>
                <w:lang w:val="en-US" w:eastAsia="zh-CN"/>
              </w:rPr>
            </w:pPr>
            <w:r>
              <w:rPr>
                <w:rFonts w:hint="eastAsia" w:ascii="Times New Roman" w:hAnsi="Times New Roman" w:eastAsia="宋体" w:cs="Times New Roman"/>
                <w:b w:val="0"/>
                <w:bCs w:val="0"/>
                <w:color w:val="auto"/>
                <w:sz w:val="24"/>
                <w:szCs w:val="24"/>
                <w:vertAlign w:val="baseline"/>
                <w:lang w:val="en-US" w:eastAsia="zh-CN"/>
              </w:rPr>
              <w:t>3.1</w:t>
            </w:r>
            <w:r>
              <w:rPr>
                <w:rFonts w:hint="eastAsia" w:ascii="Times New Roman" w:hAnsi="Times New Roman" w:cs="Times New Roman"/>
                <w:b w:val="0"/>
                <w:bCs w:val="0"/>
                <w:color w:val="auto"/>
                <w:sz w:val="24"/>
                <w:szCs w:val="24"/>
                <w:vertAlign w:val="baseline"/>
                <w:lang w:val="en-US" w:eastAsia="zh-CN"/>
              </w:rPr>
              <w:t>、</w:t>
            </w:r>
            <w:r>
              <w:rPr>
                <w:rFonts w:hint="eastAsia" w:ascii="Times New Roman" w:hAnsi="Times New Roman"/>
                <w:b w:val="0"/>
                <w:bCs w:val="0"/>
                <w:color w:val="auto"/>
                <w:sz w:val="24"/>
                <w:lang w:val="en-US" w:eastAsia="zh-CN"/>
              </w:rPr>
              <w:t>施工期</w:t>
            </w:r>
            <w:r>
              <w:rPr>
                <w:rFonts w:ascii="Times New Roman" w:hAnsi="Times New Roman"/>
                <w:b w:val="0"/>
                <w:bCs w:val="0"/>
                <w:color w:val="auto"/>
                <w:sz w:val="24"/>
                <w:lang w:val="en-US" w:eastAsia="zh-CN"/>
              </w:rPr>
              <w:t>废气</w:t>
            </w:r>
          </w:p>
          <w:p w14:paraId="2283125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jc w:val="both"/>
              <w:textAlignment w:val="auto"/>
              <w:outlineLvl w:val="9"/>
              <w:rPr>
                <w:color w:val="auto"/>
                <w:sz w:val="24"/>
              </w:rPr>
            </w:pPr>
            <w:r>
              <w:rPr>
                <w:rFonts w:hint="eastAsia"/>
                <w:color w:val="auto"/>
                <w:sz w:val="24"/>
                <w:lang w:eastAsia="zh-CN"/>
              </w:rPr>
              <w:t>（</w:t>
            </w:r>
            <w:r>
              <w:rPr>
                <w:rFonts w:hint="eastAsia"/>
                <w:color w:val="auto"/>
                <w:sz w:val="24"/>
                <w:lang w:val="en-US" w:eastAsia="zh-CN"/>
              </w:rPr>
              <w:t>1</w:t>
            </w:r>
            <w:r>
              <w:rPr>
                <w:rFonts w:hint="eastAsia"/>
                <w:color w:val="auto"/>
                <w:sz w:val="24"/>
                <w:lang w:eastAsia="zh-CN"/>
              </w:rPr>
              <w:t>）施工</w:t>
            </w:r>
            <w:r>
              <w:rPr>
                <w:color w:val="auto"/>
                <w:sz w:val="24"/>
              </w:rPr>
              <w:t>扬尘</w:t>
            </w:r>
          </w:p>
          <w:p w14:paraId="752443FA">
            <w:pPr>
              <w:autoSpaceDE w:val="0"/>
              <w:autoSpaceDN w:val="0"/>
              <w:adjustRightInd w:val="0"/>
              <w:spacing w:line="360" w:lineRule="auto"/>
              <w:ind w:firstLine="482"/>
              <w:rPr>
                <w:rFonts w:hint="default" w:ascii="Times New Roman" w:hAnsi="Times New Roman" w:cs="Times New Roman"/>
                <w:color w:val="auto"/>
                <w:sz w:val="24"/>
                <w:szCs w:val="24"/>
                <w:lang w:val="zh-CN"/>
              </w:rPr>
            </w:pPr>
            <w:r>
              <w:rPr>
                <w:rFonts w:hint="default" w:ascii="Times New Roman" w:hAnsi="Times New Roman" w:cs="Times New Roman"/>
                <w:color w:val="auto"/>
                <w:sz w:val="24"/>
                <w:szCs w:val="24"/>
                <w:lang w:val="zh-CN"/>
              </w:rPr>
              <w:t>施工期间，扬尘主要由以下因素产生：施工场地内原有建筑的拆除、地表的挖掘与重整、土方和建材的运输等；干燥有风的天气，运输车辆在施工场地内和裸露施工面表面行驶；运输车辆带到建设场地周围城市干线上的泥土被过往车辆反复扬起。</w:t>
            </w:r>
          </w:p>
          <w:p w14:paraId="12A813DD">
            <w:pPr>
              <w:autoSpaceDE w:val="0"/>
              <w:autoSpaceDN w:val="0"/>
              <w:adjustRightInd w:val="0"/>
              <w:spacing w:line="360" w:lineRule="auto"/>
              <w:ind w:firstLine="482"/>
              <w:rPr>
                <w:rFonts w:hint="default" w:ascii="Times New Roman" w:hAnsi="Times New Roman" w:cs="Times New Roman"/>
                <w:color w:val="auto"/>
                <w:sz w:val="24"/>
              </w:rPr>
            </w:pPr>
            <w:r>
              <w:rPr>
                <w:rFonts w:hint="default" w:ascii="Times New Roman" w:hAnsi="Times New Roman" w:cs="Times New Roman"/>
                <w:color w:val="auto"/>
                <w:sz w:val="24"/>
                <w:szCs w:val="24"/>
                <w:lang w:val="zh-CN"/>
              </w:rPr>
              <w:t>另外，钢筋焊接、除锈打磨以及内饰墻打磨过程中会产生焊接烟尘及打磨粉尘，打磨点、焊接工位为临时点，焊接一般置位于室外、打磨点一般位于室内。据类比分析，焊接点、打磨点的烟粉尘浓度约为1200~2000mg/m</w:t>
            </w:r>
            <w:r>
              <w:rPr>
                <w:rFonts w:hint="default" w:ascii="Times New Roman" w:hAnsi="Times New Roman" w:cs="Times New Roman"/>
                <w:color w:val="auto"/>
                <w:sz w:val="24"/>
                <w:szCs w:val="24"/>
                <w:vertAlign w:val="superscript"/>
                <w:lang w:val="zh-CN"/>
              </w:rPr>
              <w:t>3</w:t>
            </w:r>
            <w:r>
              <w:rPr>
                <w:rFonts w:hint="default" w:ascii="Times New Roman" w:hAnsi="Times New Roman" w:cs="Times New Roman"/>
                <w:color w:val="auto"/>
                <w:sz w:val="24"/>
                <w:szCs w:val="24"/>
                <w:lang w:val="zh-CN"/>
              </w:rPr>
              <w:t>。该烟粉尘由于产生时间较为短暂且所在环境较为局限，一般以无组织形式直接排放与周围环境，会对周围大气环境产生暂时影响。</w:t>
            </w:r>
          </w:p>
          <w:p w14:paraId="780792F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jc w:val="both"/>
              <w:textAlignment w:val="auto"/>
              <w:outlineLvl w:val="9"/>
              <w:rPr>
                <w:color w:val="auto"/>
                <w:spacing w:val="-3"/>
                <w:sz w:val="24"/>
              </w:rPr>
            </w:pPr>
            <w:r>
              <w:rPr>
                <w:color w:val="auto"/>
                <w:spacing w:val="-3"/>
                <w:sz w:val="24"/>
              </w:rPr>
              <w:t>为了防止</w:t>
            </w:r>
            <w:r>
              <w:rPr>
                <w:rFonts w:hint="eastAsia"/>
                <w:color w:val="auto"/>
                <w:spacing w:val="-3"/>
                <w:sz w:val="24"/>
                <w:lang w:eastAsia="zh-CN"/>
              </w:rPr>
              <w:t>施工</w:t>
            </w:r>
            <w:r>
              <w:rPr>
                <w:color w:val="auto"/>
                <w:spacing w:val="-3"/>
                <w:sz w:val="24"/>
              </w:rPr>
              <w:t>扬尘</w:t>
            </w:r>
            <w:r>
              <w:rPr>
                <w:rFonts w:hint="eastAsia"/>
                <w:color w:val="auto"/>
                <w:spacing w:val="-3"/>
                <w:sz w:val="24"/>
                <w:lang w:eastAsia="zh-CN"/>
              </w:rPr>
              <w:t>与各类烟尘</w:t>
            </w:r>
            <w:r>
              <w:rPr>
                <w:color w:val="auto"/>
                <w:spacing w:val="-3"/>
                <w:sz w:val="24"/>
              </w:rPr>
              <w:t>对项目区外居民产生影响，因此评价要求：在施工过程中要避免大风天气，同时喷洒水雾抑尘。采取上述措施后，扬尘对周围环境影响较小。</w:t>
            </w:r>
          </w:p>
          <w:p w14:paraId="0486A559">
            <w:pPr>
              <w:keepNext w:val="0"/>
              <w:keepLines w:val="0"/>
              <w:pageBreakBefore w:val="0"/>
              <w:widowControl w:val="0"/>
              <w:kinsoku/>
              <w:wordWrap/>
              <w:overflowPunct/>
              <w:topLinePunct w:val="0"/>
              <w:bidi w:val="0"/>
              <w:adjustRightInd/>
              <w:snapToGrid/>
              <w:spacing w:line="360" w:lineRule="auto"/>
              <w:ind w:left="0" w:leftChars="0" w:right="0" w:rightChars="0" w:firstLine="436" w:firstLineChars="182"/>
              <w:jc w:val="both"/>
              <w:textAlignment w:val="auto"/>
              <w:outlineLvl w:val="9"/>
              <w:rPr>
                <w:color w:val="auto"/>
                <w:sz w:val="24"/>
              </w:rPr>
            </w:pPr>
            <w:r>
              <w:rPr>
                <w:rFonts w:hint="eastAsia"/>
                <w:color w:val="auto"/>
                <w:sz w:val="24"/>
                <w:lang w:eastAsia="zh-CN"/>
              </w:rPr>
              <w:t>（</w:t>
            </w:r>
            <w:r>
              <w:rPr>
                <w:rFonts w:hint="eastAsia"/>
                <w:color w:val="auto"/>
                <w:sz w:val="24"/>
                <w:lang w:val="en-US" w:eastAsia="zh-CN"/>
              </w:rPr>
              <w:t>2</w:t>
            </w:r>
            <w:r>
              <w:rPr>
                <w:rFonts w:hint="eastAsia"/>
                <w:color w:val="auto"/>
                <w:sz w:val="24"/>
                <w:lang w:eastAsia="zh-CN"/>
              </w:rPr>
              <w:t>）</w:t>
            </w:r>
            <w:r>
              <w:rPr>
                <w:color w:val="auto"/>
                <w:sz w:val="24"/>
              </w:rPr>
              <w:t>燃油废气</w:t>
            </w:r>
          </w:p>
          <w:p w14:paraId="3D53BB8C">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2"/>
              <w:jc w:val="both"/>
              <w:textAlignment w:val="auto"/>
              <w:outlineLvl w:val="9"/>
              <w:rPr>
                <w:rFonts w:ascii="Times New Roman" w:hAnsi="Times New Roman" w:cs="Times New Roman"/>
                <w:color w:val="auto"/>
                <w:sz w:val="24"/>
                <w:szCs w:val="24"/>
                <w:lang w:val="zh-CN"/>
              </w:rPr>
            </w:pPr>
            <w:r>
              <w:rPr>
                <w:color w:val="auto"/>
                <w:sz w:val="24"/>
              </w:rPr>
              <w:t>施工期间各种机械和运输车辆在运行的过程中都会产生燃油废气，其主要成分为</w:t>
            </w:r>
            <w:r>
              <w:rPr>
                <w:rFonts w:ascii="Times New Roman" w:hAnsi="Times New Roman" w:cs="Times New Roman"/>
                <w:color w:val="auto"/>
                <w:sz w:val="24"/>
                <w:szCs w:val="24"/>
                <w:lang w:val="zh-CN"/>
              </w:rPr>
              <w:t>SO</w:t>
            </w:r>
            <w:r>
              <w:rPr>
                <w:rFonts w:ascii="Times New Roman" w:hAnsi="Times New Roman" w:cs="Times New Roman"/>
                <w:color w:val="auto"/>
                <w:sz w:val="24"/>
                <w:szCs w:val="24"/>
                <w:vertAlign w:val="subscript"/>
                <w:lang w:val="zh-CN"/>
              </w:rPr>
              <w:t>2</w:t>
            </w:r>
            <w:r>
              <w:rPr>
                <w:rFonts w:ascii="Times New Roman" w:hAnsi="Times New Roman" w:cs="Times New Roman"/>
                <w:color w:val="auto"/>
                <w:sz w:val="24"/>
                <w:szCs w:val="24"/>
                <w:lang w:val="zh-CN"/>
              </w:rPr>
              <w:t>、HC、NO</w:t>
            </w:r>
            <w:r>
              <w:rPr>
                <w:rFonts w:ascii="Times New Roman" w:hAnsi="Times New Roman" w:cs="Times New Roman"/>
                <w:color w:val="auto"/>
                <w:sz w:val="24"/>
                <w:szCs w:val="24"/>
                <w:vertAlign w:val="subscript"/>
                <w:lang w:val="zh-CN"/>
              </w:rPr>
              <w:t>2</w:t>
            </w:r>
            <w:r>
              <w:rPr>
                <w:rFonts w:ascii="Times New Roman" w:hAnsi="Times New Roman" w:cs="Times New Roman"/>
                <w:color w:val="auto"/>
                <w:sz w:val="24"/>
                <w:szCs w:val="24"/>
                <w:lang w:val="zh-CN"/>
              </w:rPr>
              <w:t>等有害污染物</w:t>
            </w:r>
            <w:r>
              <w:rPr>
                <w:rFonts w:hint="eastAsia" w:ascii="Times New Roman" w:hAnsi="Times New Roman" w:cs="Times New Roman"/>
                <w:color w:val="auto"/>
                <w:sz w:val="24"/>
                <w:szCs w:val="24"/>
                <w:lang w:val="zh-CN"/>
              </w:rPr>
              <w:t>。</w:t>
            </w:r>
            <w:r>
              <w:rPr>
                <w:rFonts w:ascii="Times New Roman" w:hAnsi="Times New Roman" w:cs="Times New Roman"/>
                <w:color w:val="auto"/>
                <w:sz w:val="24"/>
                <w:szCs w:val="24"/>
                <w:lang w:val="zh-CN"/>
              </w:rPr>
              <w:t>根据《环境保护实用数据手册》，载重汽车尾气主要污染物排放浓度为HC</w:t>
            </w:r>
            <w:r>
              <w:rPr>
                <w:rFonts w:hint="eastAsia" w:ascii="Times New Roman" w:hAnsi="Times New Roman" w:cs="Times New Roman"/>
                <w:color w:val="auto"/>
                <w:sz w:val="24"/>
                <w:szCs w:val="24"/>
                <w:lang w:val="en-US" w:eastAsia="zh-CN"/>
              </w:rPr>
              <w:t xml:space="preserve"> </w:t>
            </w:r>
            <w:r>
              <w:rPr>
                <w:rFonts w:ascii="Times New Roman" w:hAnsi="Times New Roman" w:cs="Times New Roman"/>
                <w:color w:val="auto"/>
                <w:sz w:val="24"/>
                <w:szCs w:val="24"/>
                <w:lang w:val="zh-CN"/>
              </w:rPr>
              <w:t>4.4mg/m</w:t>
            </w:r>
            <w:r>
              <w:rPr>
                <w:rFonts w:ascii="Times New Roman" w:hAnsi="Times New Roman" w:cs="Times New Roman"/>
                <w:color w:val="auto"/>
                <w:sz w:val="24"/>
                <w:szCs w:val="24"/>
                <w:vertAlign w:val="superscript"/>
                <w:lang w:val="zh-CN"/>
              </w:rPr>
              <w:t>3</w:t>
            </w:r>
            <w:r>
              <w:rPr>
                <w:rFonts w:ascii="Times New Roman" w:hAnsi="Times New Roman" w:cs="Times New Roman"/>
                <w:color w:val="auto"/>
                <w:sz w:val="24"/>
                <w:szCs w:val="24"/>
                <w:lang w:val="zh-CN"/>
              </w:rPr>
              <w:t>、SO</w:t>
            </w:r>
            <w:r>
              <w:rPr>
                <w:rFonts w:ascii="Times New Roman" w:hAnsi="Times New Roman" w:cs="Times New Roman"/>
                <w:color w:val="auto"/>
                <w:sz w:val="24"/>
                <w:szCs w:val="24"/>
                <w:vertAlign w:val="subscript"/>
                <w:lang w:val="zh-CN"/>
              </w:rPr>
              <w:t>2</w:t>
            </w:r>
            <w:r>
              <w:rPr>
                <w:rFonts w:hint="eastAsia" w:ascii="Times New Roman" w:hAnsi="Times New Roman" w:cs="Times New Roman"/>
                <w:color w:val="auto"/>
                <w:sz w:val="24"/>
                <w:szCs w:val="24"/>
                <w:vertAlign w:val="baseline"/>
                <w:lang w:val="en-US" w:eastAsia="zh-CN"/>
              </w:rPr>
              <w:t xml:space="preserve"> </w:t>
            </w:r>
            <w:r>
              <w:rPr>
                <w:rFonts w:ascii="Times New Roman" w:hAnsi="Times New Roman" w:cs="Times New Roman"/>
                <w:color w:val="auto"/>
                <w:sz w:val="24"/>
                <w:szCs w:val="24"/>
                <w:lang w:val="zh-CN"/>
              </w:rPr>
              <w:t>3.24mg/m</w:t>
            </w:r>
            <w:r>
              <w:rPr>
                <w:rFonts w:ascii="Times New Roman" w:hAnsi="Times New Roman" w:cs="Times New Roman"/>
                <w:color w:val="auto"/>
                <w:sz w:val="24"/>
                <w:szCs w:val="24"/>
                <w:vertAlign w:val="superscript"/>
                <w:lang w:val="zh-CN"/>
              </w:rPr>
              <w:t>3</w:t>
            </w:r>
            <w:r>
              <w:rPr>
                <w:rFonts w:ascii="Times New Roman" w:hAnsi="Times New Roman" w:cs="Times New Roman"/>
                <w:color w:val="auto"/>
                <w:sz w:val="24"/>
                <w:szCs w:val="24"/>
                <w:lang w:val="zh-CN"/>
              </w:rPr>
              <w:t>、NO</w:t>
            </w:r>
            <w:r>
              <w:rPr>
                <w:rFonts w:hint="eastAsia" w:ascii="Times New Roman" w:hAnsi="Times New Roman" w:cs="Times New Roman"/>
                <w:color w:val="auto"/>
                <w:sz w:val="24"/>
                <w:szCs w:val="24"/>
                <w:vertAlign w:val="baseline"/>
                <w:lang w:val="en-US" w:eastAsia="zh-CN"/>
              </w:rPr>
              <w:t xml:space="preserve"> </w:t>
            </w:r>
            <w:r>
              <w:rPr>
                <w:rFonts w:ascii="Times New Roman" w:hAnsi="Times New Roman" w:cs="Times New Roman"/>
                <w:color w:val="auto"/>
                <w:sz w:val="24"/>
                <w:szCs w:val="24"/>
                <w:lang w:val="zh-CN"/>
              </w:rPr>
              <w:t>44.4mg/m</w:t>
            </w:r>
            <w:r>
              <w:rPr>
                <w:rFonts w:ascii="Times New Roman" w:hAnsi="Times New Roman" w:cs="Times New Roman"/>
                <w:color w:val="auto"/>
                <w:sz w:val="24"/>
                <w:szCs w:val="24"/>
                <w:vertAlign w:val="superscript"/>
                <w:lang w:val="zh-CN"/>
              </w:rPr>
              <w:t>3</w:t>
            </w:r>
            <w:r>
              <w:rPr>
                <w:rFonts w:ascii="Times New Roman" w:hAnsi="Times New Roman" w:cs="Times New Roman"/>
                <w:color w:val="auto"/>
                <w:sz w:val="24"/>
                <w:szCs w:val="24"/>
                <w:lang w:val="zh-CN"/>
              </w:rPr>
              <w:t>。</w:t>
            </w:r>
          </w:p>
          <w:p w14:paraId="5D1BD418">
            <w:pPr>
              <w:keepNext w:val="0"/>
              <w:keepLines w:val="0"/>
              <w:pageBreakBefore w:val="0"/>
              <w:widowControl w:val="0"/>
              <w:kinsoku/>
              <w:wordWrap/>
              <w:overflowPunct/>
              <w:topLinePunct w:val="0"/>
              <w:bidi w:val="0"/>
              <w:adjustRightInd/>
              <w:snapToGrid/>
              <w:spacing w:line="360" w:lineRule="auto"/>
              <w:ind w:left="0" w:leftChars="0" w:right="0" w:rightChars="0" w:firstLine="480"/>
              <w:jc w:val="both"/>
              <w:textAlignment w:val="auto"/>
              <w:outlineLvl w:val="9"/>
              <w:rPr>
                <w:color w:val="auto"/>
                <w:spacing w:val="-5"/>
                <w:sz w:val="24"/>
              </w:rPr>
            </w:pPr>
            <w:r>
              <w:rPr>
                <w:color w:val="auto"/>
                <w:spacing w:val="-5"/>
                <w:sz w:val="24"/>
              </w:rPr>
              <w:t>这些污染物主要对施工现场区域有一定影响，但由于这些污染物排放量很小，又为非连续性排放，通过加强设备维修保养等措施且经大气稀释扩散后对大气环境的影响小。</w:t>
            </w:r>
          </w:p>
          <w:p w14:paraId="5BB12040">
            <w:pPr>
              <w:keepNext w:val="0"/>
              <w:keepLines w:val="0"/>
              <w:pageBreakBefore w:val="0"/>
              <w:widowControl w:val="0"/>
              <w:kinsoku/>
              <w:wordWrap/>
              <w:overflowPunct/>
              <w:topLinePunct w:val="0"/>
              <w:bidi w:val="0"/>
              <w:adjustRightInd/>
              <w:snapToGrid/>
              <w:spacing w:line="360" w:lineRule="auto"/>
              <w:ind w:left="0" w:leftChars="0" w:right="0" w:rightChars="0" w:firstLine="436" w:firstLineChars="182"/>
              <w:jc w:val="both"/>
              <w:textAlignment w:val="auto"/>
              <w:outlineLvl w:val="9"/>
              <w:rPr>
                <w:bCs/>
                <w:color w:val="auto"/>
                <w:sz w:val="24"/>
              </w:rPr>
            </w:pPr>
            <w:r>
              <w:rPr>
                <w:rFonts w:hint="eastAsia"/>
                <w:color w:val="auto"/>
                <w:sz w:val="24"/>
                <w:lang w:eastAsia="zh-CN"/>
              </w:rPr>
              <w:t>（</w:t>
            </w:r>
            <w:r>
              <w:rPr>
                <w:rFonts w:hint="eastAsia"/>
                <w:color w:val="auto"/>
                <w:sz w:val="24"/>
                <w:lang w:val="en-US" w:eastAsia="zh-CN"/>
              </w:rPr>
              <w:t>3</w:t>
            </w:r>
            <w:r>
              <w:rPr>
                <w:rFonts w:hint="eastAsia"/>
                <w:color w:val="auto"/>
                <w:sz w:val="24"/>
                <w:lang w:eastAsia="zh-CN"/>
              </w:rPr>
              <w:t>）</w:t>
            </w:r>
            <w:r>
              <w:rPr>
                <w:bCs/>
                <w:color w:val="auto"/>
                <w:sz w:val="24"/>
              </w:rPr>
              <w:t>装修废气</w:t>
            </w:r>
          </w:p>
          <w:p w14:paraId="7F416C65">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2"/>
              <w:jc w:val="both"/>
              <w:textAlignment w:val="auto"/>
              <w:outlineLvl w:val="9"/>
              <w:rPr>
                <w:rFonts w:ascii="Times New Roman" w:hAnsi="Times New Roman" w:cs="Times New Roman"/>
                <w:color w:val="auto"/>
                <w:sz w:val="24"/>
                <w:szCs w:val="24"/>
                <w:lang w:val="zh-CN"/>
              </w:rPr>
            </w:pPr>
            <w:r>
              <w:rPr>
                <w:rFonts w:hint="eastAsia" w:ascii="Times New Roman" w:hAnsi="Times New Roman" w:cs="Times New Roman"/>
                <w:color w:val="auto"/>
                <w:sz w:val="24"/>
                <w:szCs w:val="24"/>
                <w:lang w:val="zh-CN"/>
              </w:rPr>
              <w:t>装修</w:t>
            </w:r>
            <w:r>
              <w:rPr>
                <w:rFonts w:ascii="Times New Roman" w:hAnsi="Times New Roman" w:cs="Times New Roman"/>
                <w:color w:val="auto"/>
                <w:sz w:val="24"/>
                <w:szCs w:val="24"/>
                <w:lang w:val="zh-CN"/>
              </w:rPr>
              <w:t>废气主要为内饰及外墙装修过程产生的油漆、涂料废气。根据工程设计说明，工程交房时为毛坯房，施工方不对房屋进行装修。各业主在装修阶段产业的有机废气为无组织排放，主要污染因子为甲苯和二甲苯，此外还有极少量的丁醇和丙醇等。</w:t>
            </w:r>
            <w:r>
              <w:rPr>
                <w:rFonts w:hint="eastAsia" w:ascii="Times New Roman" w:hAnsi="Times New Roman" w:cs="Times New Roman"/>
                <w:color w:val="auto"/>
                <w:sz w:val="24"/>
                <w:szCs w:val="24"/>
                <w:lang w:val="zh-CN"/>
              </w:rPr>
              <w:t>由于</w:t>
            </w:r>
            <w:r>
              <w:rPr>
                <w:color w:val="auto"/>
                <w:sz w:val="24"/>
              </w:rPr>
              <w:t>室内装修通常用的人造板等建筑材料</w:t>
            </w:r>
            <w:r>
              <w:rPr>
                <w:rFonts w:hint="eastAsia"/>
                <w:color w:val="auto"/>
                <w:sz w:val="24"/>
                <w:lang w:eastAsia="zh-CN"/>
              </w:rPr>
              <w:t>，</w:t>
            </w:r>
            <w:r>
              <w:rPr>
                <w:color w:val="auto"/>
                <w:sz w:val="24"/>
              </w:rPr>
              <w:t>新式家具的制作、墙面与地面的装饰铺设等使用的粘合剂等一般均含有甲醛，因而释放出甲醛是不可避免的。根据有关文献资料，一般建筑物新装修后，甲醛峰值浓度为0.2mg/Nm</w:t>
            </w:r>
            <w:r>
              <w:rPr>
                <w:color w:val="auto"/>
                <w:sz w:val="24"/>
                <w:vertAlign w:val="superscript"/>
              </w:rPr>
              <w:t>3</w:t>
            </w:r>
            <w:r>
              <w:rPr>
                <w:color w:val="auto"/>
                <w:sz w:val="24"/>
              </w:rPr>
              <w:t>左右。</w:t>
            </w:r>
            <w:r>
              <w:rPr>
                <w:rFonts w:ascii="Times New Roman" w:hAnsi="Times New Roman" w:cs="Times New Roman"/>
                <w:color w:val="auto"/>
                <w:sz w:val="24"/>
                <w:szCs w:val="24"/>
                <w:lang w:val="zh-CN"/>
              </w:rPr>
              <w:t>为了提高室内空气环境质量，要求选择符合标准的装修材料是防止室内环境污染的主要途径，建议使用的装饰材料应满足关于《室内装修材料有害物质限量》(GBl8580-2001~GBl8588-2001及GB6566-2001)等十项国家标准要求。同时做到健康设计原则，满足《住宅室内装饰装修管理办法》的要求。</w:t>
            </w:r>
          </w:p>
          <w:p w14:paraId="768989F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lang w:val="en-US" w:eastAsia="zh-CN"/>
              </w:rPr>
            </w:pPr>
            <w:r>
              <w:rPr>
                <w:rFonts w:hint="eastAsia"/>
                <w:color w:val="auto"/>
                <w:sz w:val="24"/>
                <w:lang w:val="en-US" w:eastAsia="zh-CN"/>
              </w:rPr>
              <w:t>3.2、施工期废水</w:t>
            </w:r>
          </w:p>
          <w:p w14:paraId="2A1E55F3">
            <w:pPr>
              <w:numPr>
                <w:ilvl w:val="0"/>
                <w:numId w:val="7"/>
              </w:numPr>
              <w:spacing w:line="360" w:lineRule="auto"/>
              <w:ind w:firstLine="480" w:firstLineChars="200"/>
              <w:rPr>
                <w:rFonts w:hint="eastAsia" w:hAnsi="宋体"/>
                <w:color w:val="auto"/>
                <w:sz w:val="24"/>
                <w:szCs w:val="24"/>
                <w:lang w:eastAsia="zh-CN"/>
              </w:rPr>
            </w:pPr>
            <w:r>
              <w:rPr>
                <w:rFonts w:hAnsi="宋体"/>
                <w:color w:val="auto"/>
                <w:sz w:val="24"/>
                <w:szCs w:val="24"/>
              </w:rPr>
              <w:t>施工期生活污水</w:t>
            </w:r>
          </w:p>
          <w:p w14:paraId="361090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color w:val="auto"/>
                <w:sz w:val="24"/>
                <w:szCs w:val="24"/>
                <w:lang w:eastAsia="zh-CN"/>
              </w:rPr>
            </w:pPr>
            <w:r>
              <w:rPr>
                <w:rFonts w:hint="eastAsia"/>
                <w:color w:val="auto"/>
                <w:sz w:val="24"/>
              </w:rPr>
              <w:t>项目施工期约为</w:t>
            </w:r>
            <w:r>
              <w:rPr>
                <w:rFonts w:hint="eastAsia"/>
                <w:color w:val="auto"/>
                <w:sz w:val="24"/>
                <w:lang w:val="en-US" w:eastAsia="zh-CN"/>
              </w:rPr>
              <w:t>18</w:t>
            </w:r>
            <w:r>
              <w:rPr>
                <w:rFonts w:hint="eastAsia"/>
                <w:color w:val="auto"/>
                <w:sz w:val="24"/>
              </w:rPr>
              <w:t>个月，高峰期施工人数约为</w:t>
            </w:r>
            <w:r>
              <w:rPr>
                <w:rFonts w:hint="eastAsia"/>
                <w:color w:val="auto"/>
                <w:sz w:val="24"/>
                <w:lang w:val="en-US" w:eastAsia="zh-CN"/>
              </w:rPr>
              <w:t>100</w:t>
            </w:r>
            <w:r>
              <w:rPr>
                <w:rFonts w:hint="eastAsia"/>
                <w:color w:val="auto"/>
                <w:sz w:val="24"/>
              </w:rPr>
              <w:t>人。生活用水量按120L/人•d计，生活污水</w:t>
            </w:r>
            <w:r>
              <w:rPr>
                <w:rFonts w:hint="eastAsia"/>
                <w:color w:val="auto"/>
                <w:sz w:val="24"/>
                <w:lang w:eastAsia="zh-CN"/>
              </w:rPr>
              <w:t>排放</w:t>
            </w:r>
            <w:r>
              <w:rPr>
                <w:rFonts w:hint="eastAsia"/>
                <w:color w:val="auto"/>
                <w:sz w:val="24"/>
              </w:rPr>
              <w:t>系数0.85，则项目施工生活用水量为</w:t>
            </w:r>
            <w:r>
              <w:rPr>
                <w:rFonts w:hint="eastAsia"/>
                <w:color w:val="auto"/>
                <w:sz w:val="24"/>
                <w:lang w:val="en-US" w:eastAsia="zh-CN"/>
              </w:rPr>
              <w:t>12</w:t>
            </w:r>
            <w:r>
              <w:rPr>
                <w:rFonts w:hint="eastAsia"/>
                <w:color w:val="auto"/>
                <w:sz w:val="24"/>
              </w:rPr>
              <w:t>m</w:t>
            </w:r>
            <w:r>
              <w:rPr>
                <w:rFonts w:hint="eastAsia"/>
                <w:color w:val="auto"/>
                <w:sz w:val="24"/>
                <w:vertAlign w:val="superscript"/>
              </w:rPr>
              <w:t>3</w:t>
            </w:r>
            <w:r>
              <w:rPr>
                <w:rFonts w:hint="eastAsia"/>
                <w:color w:val="auto"/>
                <w:sz w:val="24"/>
              </w:rPr>
              <w:t>/d、生活污水</w:t>
            </w:r>
            <w:r>
              <w:rPr>
                <w:rFonts w:hint="eastAsia"/>
                <w:color w:val="auto"/>
                <w:sz w:val="24"/>
                <w:lang w:eastAsia="zh-CN"/>
              </w:rPr>
              <w:t>排放</w:t>
            </w:r>
            <w:r>
              <w:rPr>
                <w:rFonts w:hint="eastAsia"/>
                <w:color w:val="auto"/>
                <w:sz w:val="24"/>
              </w:rPr>
              <w:t>量为</w:t>
            </w:r>
            <w:r>
              <w:rPr>
                <w:rFonts w:hint="eastAsia"/>
                <w:color w:val="auto"/>
                <w:sz w:val="24"/>
                <w:lang w:val="en-US" w:eastAsia="zh-CN"/>
              </w:rPr>
              <w:t>10.2</w:t>
            </w:r>
            <w:r>
              <w:rPr>
                <w:rFonts w:hint="eastAsia"/>
                <w:color w:val="auto"/>
                <w:sz w:val="24"/>
              </w:rPr>
              <w:t>m</w:t>
            </w:r>
            <w:r>
              <w:rPr>
                <w:rFonts w:hint="eastAsia"/>
                <w:color w:val="auto"/>
                <w:sz w:val="24"/>
                <w:vertAlign w:val="superscript"/>
              </w:rPr>
              <w:t>3</w:t>
            </w:r>
            <w:r>
              <w:rPr>
                <w:rFonts w:hint="eastAsia"/>
                <w:color w:val="auto"/>
                <w:sz w:val="24"/>
              </w:rPr>
              <w:t>/d。施工期生活污水主要污染因子为COD</w:t>
            </w:r>
            <w:r>
              <w:rPr>
                <w:rFonts w:hint="eastAsia" w:cs="Times New Roman"/>
                <w:color w:val="auto"/>
                <w:sz w:val="24"/>
                <w:szCs w:val="22"/>
                <w:vertAlign w:val="subscript"/>
                <w:lang w:val="en-US" w:eastAsia="zh-CN"/>
              </w:rPr>
              <w:t>Cr</w:t>
            </w:r>
            <w:r>
              <w:rPr>
                <w:rFonts w:hint="eastAsia"/>
                <w:color w:val="auto"/>
                <w:sz w:val="24"/>
              </w:rPr>
              <w:t>、BOD</w:t>
            </w:r>
            <w:r>
              <w:rPr>
                <w:rFonts w:hint="eastAsia"/>
                <w:color w:val="auto"/>
                <w:sz w:val="24"/>
                <w:vertAlign w:val="subscript"/>
              </w:rPr>
              <w:t>5</w:t>
            </w:r>
            <w:r>
              <w:rPr>
                <w:rFonts w:hint="eastAsia"/>
                <w:color w:val="auto"/>
                <w:sz w:val="24"/>
              </w:rPr>
              <w:t>、SS、动植物油、NH</w:t>
            </w:r>
            <w:r>
              <w:rPr>
                <w:rFonts w:hint="eastAsia"/>
                <w:color w:val="auto"/>
                <w:sz w:val="24"/>
                <w:vertAlign w:val="subscript"/>
              </w:rPr>
              <w:t>3</w:t>
            </w:r>
            <w:r>
              <w:rPr>
                <w:rFonts w:hint="eastAsia"/>
                <w:color w:val="auto"/>
                <w:sz w:val="24"/>
              </w:rPr>
              <w:t>-N等。</w:t>
            </w:r>
            <w:r>
              <w:rPr>
                <w:rFonts w:hint="eastAsia"/>
                <w:color w:val="auto"/>
                <w:sz w:val="24"/>
                <w:lang w:eastAsia="zh-CN"/>
              </w:rPr>
              <w:t>施工期生活污水经过简易和化粪池处理后排入市政管网，然后排入葛店开发区污水处理厂进行处理。</w:t>
            </w:r>
          </w:p>
          <w:p w14:paraId="0F9706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szCs w:val="24"/>
              </w:rPr>
            </w:pPr>
            <w:r>
              <w:rPr>
                <w:rFonts w:hint="eastAsia" w:hAnsi="宋体"/>
                <w:color w:val="auto"/>
                <w:sz w:val="24"/>
                <w:szCs w:val="24"/>
                <w:lang w:eastAsia="zh-CN"/>
              </w:rPr>
              <w:t>（</w:t>
            </w:r>
            <w:r>
              <w:rPr>
                <w:rFonts w:hint="eastAsia" w:hAnsi="宋体"/>
                <w:color w:val="auto"/>
                <w:sz w:val="24"/>
                <w:szCs w:val="24"/>
                <w:lang w:val="en-US" w:eastAsia="zh-CN"/>
              </w:rPr>
              <w:t>2</w:t>
            </w:r>
            <w:r>
              <w:rPr>
                <w:rFonts w:hint="eastAsia" w:hAnsi="宋体"/>
                <w:color w:val="auto"/>
                <w:sz w:val="24"/>
                <w:szCs w:val="24"/>
                <w:lang w:eastAsia="zh-CN"/>
              </w:rPr>
              <w:t>）</w:t>
            </w:r>
            <w:r>
              <w:rPr>
                <w:rFonts w:hAnsi="宋体"/>
                <w:color w:val="auto"/>
                <w:sz w:val="24"/>
                <w:szCs w:val="24"/>
              </w:rPr>
              <w:t>施工期施工废水</w:t>
            </w:r>
          </w:p>
          <w:p w14:paraId="1214E793">
            <w:pPr>
              <w:spacing w:line="360" w:lineRule="auto"/>
              <w:ind w:firstLine="480" w:firstLineChars="200"/>
              <w:rPr>
                <w:rFonts w:hint="eastAsia"/>
                <w:color w:val="auto"/>
                <w:sz w:val="24"/>
              </w:rPr>
            </w:pPr>
            <w:r>
              <w:rPr>
                <w:rFonts w:hint="eastAsia"/>
                <w:color w:val="auto"/>
                <w:sz w:val="24"/>
              </w:rPr>
              <w:t>施工废水主要为基坑开挖排水、钻孔灌注桩排水、建筑养护排水、设备清洗及进出车辆冲洗水等，主要污染因子为SS，浓度</w:t>
            </w:r>
            <w:r>
              <w:rPr>
                <w:rFonts w:hint="eastAsia"/>
                <w:color w:val="auto"/>
                <w:sz w:val="24"/>
                <w:lang w:eastAsia="zh-CN"/>
              </w:rPr>
              <w:t>可达</w:t>
            </w:r>
            <w:r>
              <w:rPr>
                <w:rFonts w:hint="eastAsia"/>
                <w:color w:val="auto"/>
                <w:sz w:val="24"/>
                <w:lang w:val="en-US" w:eastAsia="zh-CN"/>
              </w:rPr>
              <w:t>2000~4000</w:t>
            </w:r>
            <w:r>
              <w:rPr>
                <w:rFonts w:hint="eastAsia"/>
                <w:color w:val="auto"/>
                <w:sz w:val="24"/>
              </w:rPr>
              <w:t>mg/L</w:t>
            </w:r>
            <w:r>
              <w:rPr>
                <w:rFonts w:hint="eastAsia"/>
                <w:color w:val="auto"/>
                <w:sz w:val="24"/>
                <w:lang w:eastAsia="zh-CN"/>
              </w:rPr>
              <w:t>。类比同类规模项目施工</w:t>
            </w:r>
            <w:r>
              <w:rPr>
                <w:rFonts w:hint="eastAsia"/>
                <w:color w:val="auto"/>
                <w:sz w:val="24"/>
              </w:rPr>
              <w:t>废水</w:t>
            </w:r>
            <w:r>
              <w:rPr>
                <w:rFonts w:hint="eastAsia"/>
                <w:color w:val="auto"/>
                <w:sz w:val="24"/>
                <w:lang w:eastAsia="zh-CN"/>
              </w:rPr>
              <w:t>用量</w:t>
            </w:r>
            <w:r>
              <w:rPr>
                <w:rFonts w:hint="eastAsia"/>
                <w:color w:val="auto"/>
                <w:sz w:val="24"/>
              </w:rPr>
              <w:t>约为</w:t>
            </w:r>
            <w:r>
              <w:rPr>
                <w:rFonts w:hint="eastAsia"/>
                <w:color w:val="auto"/>
                <w:sz w:val="24"/>
                <w:lang w:val="en-US" w:eastAsia="zh-CN"/>
              </w:rPr>
              <w:t>40</w:t>
            </w:r>
            <w:r>
              <w:rPr>
                <w:rFonts w:hint="default" w:ascii="Times New Roman" w:hAnsi="Times New Roman" w:cs="Times New Roman"/>
                <w:color w:val="auto"/>
                <w:sz w:val="24"/>
              </w:rPr>
              <w:t>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/d</w:t>
            </w:r>
            <w:r>
              <w:rPr>
                <w:rFonts w:hint="eastAsia" w:ascii="Times New Roman" w:hAnsi="Times New Roman" w:cs="Times New Roman"/>
                <w:color w:val="auto"/>
                <w:sz w:val="24"/>
                <w:lang w:eastAsia="zh-CN"/>
              </w:rPr>
              <w:t>，</w:t>
            </w:r>
            <w:r>
              <w:rPr>
                <w:rFonts w:hint="eastAsia" w:cs="Times New Roman"/>
                <w:color w:val="auto"/>
                <w:sz w:val="24"/>
                <w:lang w:eastAsia="zh-CN"/>
              </w:rPr>
              <w:t>施工期废水</w:t>
            </w:r>
            <w:r>
              <w:rPr>
                <w:rFonts w:hint="eastAsia"/>
                <w:color w:val="auto"/>
                <w:sz w:val="24"/>
                <w:lang w:eastAsia="zh-CN"/>
              </w:rPr>
              <w:t>排放</w:t>
            </w:r>
            <w:r>
              <w:rPr>
                <w:rFonts w:hint="eastAsia"/>
                <w:color w:val="auto"/>
                <w:sz w:val="24"/>
              </w:rPr>
              <w:t>系数</w:t>
            </w:r>
            <w:r>
              <w:rPr>
                <w:rFonts w:hint="eastAsia"/>
                <w:color w:val="auto"/>
                <w:sz w:val="24"/>
                <w:lang w:eastAsia="zh-CN"/>
              </w:rPr>
              <w:t>按</w:t>
            </w:r>
            <w:r>
              <w:rPr>
                <w:rFonts w:hint="eastAsia"/>
                <w:color w:val="auto"/>
                <w:sz w:val="24"/>
              </w:rPr>
              <w:t>0.85</w:t>
            </w:r>
            <w:r>
              <w:rPr>
                <w:rFonts w:hint="eastAsia"/>
                <w:color w:val="auto"/>
                <w:sz w:val="24"/>
                <w:lang w:eastAsia="zh-CN"/>
              </w:rPr>
              <w:t>计，则施工期废水排放量为</w:t>
            </w:r>
            <w:r>
              <w:rPr>
                <w:rFonts w:hint="eastAsia"/>
                <w:color w:val="auto"/>
                <w:sz w:val="24"/>
                <w:lang w:val="en-US" w:eastAsia="zh-CN"/>
              </w:rPr>
              <w:t>34</w:t>
            </w:r>
            <w:r>
              <w:rPr>
                <w:rFonts w:hint="default" w:ascii="Times New Roman" w:hAnsi="Times New Roman" w:cs="Times New Roman"/>
                <w:color w:val="auto"/>
                <w:sz w:val="24"/>
              </w:rPr>
              <w:t>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/d</w:t>
            </w:r>
            <w:r>
              <w:rPr>
                <w:rFonts w:hint="eastAsia"/>
                <w:color w:val="auto"/>
                <w:sz w:val="24"/>
                <w:lang w:val="en-US" w:eastAsia="zh-CN"/>
              </w:rPr>
              <w:t>，</w:t>
            </w:r>
            <w:r>
              <w:rPr>
                <w:rFonts w:hint="eastAsia"/>
                <w:color w:val="auto"/>
                <w:sz w:val="24"/>
              </w:rPr>
              <w:t>施工废水采用沉淀池处理后全部回用于场地的抑尘洒水，不排放。</w:t>
            </w:r>
          </w:p>
          <w:p w14:paraId="2E3DA98D">
            <w:pPr>
              <w:spacing w:line="360" w:lineRule="auto"/>
              <w:jc w:val="center"/>
              <w:rPr>
                <w:b/>
                <w:color w:val="auto"/>
                <w:sz w:val="21"/>
                <w:szCs w:val="21"/>
              </w:rPr>
            </w:pPr>
            <w:r>
              <w:rPr>
                <w:rFonts w:hAnsi="宋体"/>
                <w:b/>
                <w:color w:val="auto"/>
                <w:sz w:val="21"/>
                <w:szCs w:val="21"/>
              </w:rPr>
              <w:t>表</w:t>
            </w:r>
            <w:r>
              <w:rPr>
                <w:b/>
                <w:color w:val="auto"/>
                <w:sz w:val="21"/>
                <w:szCs w:val="21"/>
              </w:rPr>
              <w:t>5-</w:t>
            </w:r>
            <w:r>
              <w:rPr>
                <w:rFonts w:hint="eastAsia"/>
                <w:b/>
                <w:color w:val="auto"/>
                <w:sz w:val="21"/>
                <w:szCs w:val="21"/>
                <w:lang w:val="en-US" w:eastAsia="zh-CN"/>
              </w:rPr>
              <w:t>1</w:t>
            </w:r>
            <w:r>
              <w:rPr>
                <w:b/>
                <w:color w:val="auto"/>
                <w:sz w:val="21"/>
                <w:szCs w:val="21"/>
              </w:rPr>
              <w:t xml:space="preserve"> </w:t>
            </w:r>
            <w:r>
              <w:rPr>
                <w:rFonts w:hint="eastAsia"/>
                <w:b/>
                <w:color w:val="auto"/>
                <w:sz w:val="21"/>
                <w:szCs w:val="21"/>
                <w:lang w:val="en-US" w:eastAsia="zh-CN"/>
              </w:rPr>
              <w:t xml:space="preserve"> </w:t>
            </w:r>
            <w:r>
              <w:rPr>
                <w:rFonts w:hAnsi="宋体"/>
                <w:b/>
                <w:color w:val="auto"/>
                <w:sz w:val="21"/>
                <w:szCs w:val="21"/>
              </w:rPr>
              <w:t>施工期</w:t>
            </w:r>
            <w:r>
              <w:rPr>
                <w:rFonts w:hint="eastAsia" w:hAnsi="宋体"/>
                <w:b/>
                <w:color w:val="auto"/>
                <w:sz w:val="21"/>
                <w:szCs w:val="21"/>
                <w:lang w:eastAsia="zh-CN"/>
              </w:rPr>
              <w:t>废水</w:t>
            </w:r>
            <w:r>
              <w:rPr>
                <w:rFonts w:hAnsi="宋体"/>
                <w:b/>
                <w:color w:val="auto"/>
                <w:sz w:val="21"/>
                <w:szCs w:val="21"/>
              </w:rPr>
              <w:t>水质一览表</w:t>
            </w:r>
          </w:p>
          <w:tbl>
            <w:tblPr>
              <w:tblStyle w:val="15"/>
              <w:tblW w:w="822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96"/>
              <w:gridCol w:w="853"/>
              <w:gridCol w:w="804"/>
              <w:gridCol w:w="564"/>
              <w:gridCol w:w="811"/>
              <w:gridCol w:w="1073"/>
              <w:gridCol w:w="1719"/>
            </w:tblGrid>
            <w:tr w14:paraId="05F9632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96" w:type="dxa"/>
                  <w:vMerge w:val="restart"/>
                  <w:tcBorders>
                    <w:tl2br w:val="nil"/>
                    <w:tr2bl w:val="nil"/>
                  </w:tcBorders>
                  <w:vAlign w:val="center"/>
                </w:tcPr>
                <w:p w14:paraId="1C889F2E">
                  <w:pPr>
                    <w:jc w:val="center"/>
                    <w:rPr>
                      <w:color w:val="auto"/>
                      <w:sz w:val="21"/>
                      <w:szCs w:val="21"/>
                    </w:rPr>
                  </w:pPr>
                  <w:r>
                    <w:rPr>
                      <w:rFonts w:hAnsi="宋体"/>
                      <w:color w:val="auto"/>
                      <w:sz w:val="21"/>
                      <w:szCs w:val="21"/>
                    </w:rPr>
                    <w:t>污染物</w:t>
                  </w:r>
                </w:p>
              </w:tc>
              <w:tc>
                <w:tcPr>
                  <w:tcW w:w="4105" w:type="dxa"/>
                  <w:gridSpan w:val="5"/>
                  <w:tcBorders>
                    <w:tl2br w:val="nil"/>
                    <w:tr2bl w:val="nil"/>
                  </w:tcBorders>
                  <w:vAlign w:val="center"/>
                </w:tcPr>
                <w:p w14:paraId="58007562">
                  <w:pPr>
                    <w:jc w:val="center"/>
                    <w:rPr>
                      <w:color w:val="auto"/>
                      <w:sz w:val="21"/>
                      <w:szCs w:val="21"/>
                    </w:rPr>
                  </w:pPr>
                  <w:r>
                    <w:rPr>
                      <w:rFonts w:hAnsi="宋体"/>
                      <w:color w:val="auto"/>
                      <w:sz w:val="21"/>
                      <w:szCs w:val="21"/>
                    </w:rPr>
                    <w:t>生活污水</w:t>
                  </w:r>
                  <w:r>
                    <w:rPr>
                      <w:rFonts w:hint="eastAsia" w:hAnsi="宋体"/>
                      <w:color w:val="auto"/>
                      <w:sz w:val="21"/>
                      <w:szCs w:val="21"/>
                      <w:lang w:val="en-US" w:eastAsia="zh-CN"/>
                    </w:rPr>
                    <w:t>15.3</w:t>
                  </w:r>
                  <w:r>
                    <w:rPr>
                      <w:color w:val="auto"/>
                      <w:sz w:val="21"/>
                      <w:szCs w:val="21"/>
                    </w:rPr>
                    <w:t>m</w:t>
                  </w:r>
                  <w:r>
                    <w:rPr>
                      <w:color w:val="auto"/>
                      <w:sz w:val="21"/>
                      <w:szCs w:val="21"/>
                      <w:vertAlign w:val="superscript"/>
                    </w:rPr>
                    <w:t>3</w:t>
                  </w:r>
                  <w:r>
                    <w:rPr>
                      <w:color w:val="auto"/>
                      <w:sz w:val="21"/>
                      <w:szCs w:val="21"/>
                    </w:rPr>
                    <w:t>/d</w:t>
                  </w:r>
                </w:p>
              </w:tc>
              <w:tc>
                <w:tcPr>
                  <w:tcW w:w="1719" w:type="dxa"/>
                  <w:tcBorders>
                    <w:tl2br w:val="nil"/>
                    <w:tr2bl w:val="nil"/>
                  </w:tcBorders>
                  <w:vAlign w:val="center"/>
                </w:tcPr>
                <w:p w14:paraId="7EB0BF60">
                  <w:pPr>
                    <w:jc w:val="center"/>
                    <w:rPr>
                      <w:color w:val="auto"/>
                      <w:sz w:val="21"/>
                      <w:szCs w:val="21"/>
                    </w:rPr>
                  </w:pPr>
                  <w:r>
                    <w:rPr>
                      <w:rFonts w:hAnsi="宋体"/>
                      <w:color w:val="auto"/>
                      <w:sz w:val="21"/>
                      <w:szCs w:val="21"/>
                    </w:rPr>
                    <w:t>施工废水</w:t>
                  </w:r>
                  <w:r>
                    <w:rPr>
                      <w:rFonts w:hint="eastAsia" w:hAnsi="宋体"/>
                      <w:color w:val="auto"/>
                      <w:sz w:val="21"/>
                      <w:szCs w:val="21"/>
                      <w:lang w:val="en-US" w:eastAsia="zh-CN"/>
                    </w:rPr>
                    <w:t>54</w:t>
                  </w:r>
                  <w:r>
                    <w:rPr>
                      <w:color w:val="auto"/>
                      <w:sz w:val="21"/>
                      <w:szCs w:val="21"/>
                    </w:rPr>
                    <w:t>m</w:t>
                  </w:r>
                  <w:r>
                    <w:rPr>
                      <w:color w:val="auto"/>
                      <w:sz w:val="21"/>
                      <w:szCs w:val="21"/>
                      <w:vertAlign w:val="superscript"/>
                    </w:rPr>
                    <w:t>3</w:t>
                  </w:r>
                  <w:r>
                    <w:rPr>
                      <w:color w:val="auto"/>
                      <w:sz w:val="21"/>
                      <w:szCs w:val="21"/>
                    </w:rPr>
                    <w:t>/d</w:t>
                  </w:r>
                </w:p>
              </w:tc>
            </w:tr>
            <w:tr w14:paraId="37788E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96" w:type="dxa"/>
                  <w:vMerge w:val="continue"/>
                  <w:tcBorders>
                    <w:tl2br w:val="nil"/>
                    <w:tr2bl w:val="nil"/>
                  </w:tcBorders>
                  <w:vAlign w:val="center"/>
                </w:tcPr>
                <w:p w14:paraId="5DD6D9AA">
                  <w:pPr>
                    <w:jc w:val="center"/>
                    <w:rPr>
                      <w:color w:val="auto"/>
                      <w:sz w:val="21"/>
                      <w:szCs w:val="21"/>
                    </w:rPr>
                  </w:pPr>
                </w:p>
              </w:tc>
              <w:tc>
                <w:tcPr>
                  <w:tcW w:w="853" w:type="dxa"/>
                  <w:tcBorders>
                    <w:tl2br w:val="nil"/>
                    <w:tr2bl w:val="nil"/>
                  </w:tcBorders>
                  <w:vAlign w:val="center"/>
                </w:tcPr>
                <w:p w14:paraId="3E2DB1AB">
                  <w:pPr>
                    <w:jc w:val="center"/>
                    <w:rPr>
                      <w:color w:val="auto"/>
                      <w:sz w:val="21"/>
                      <w:szCs w:val="21"/>
                    </w:rPr>
                  </w:pPr>
                  <w:r>
                    <w:rPr>
                      <w:color w:val="auto"/>
                      <w:sz w:val="21"/>
                      <w:szCs w:val="21"/>
                    </w:rPr>
                    <w:t>COD</w:t>
                  </w:r>
                  <w:r>
                    <w:rPr>
                      <w:rFonts w:hint="eastAsia" w:cs="Times New Roman"/>
                      <w:color w:val="auto"/>
                      <w:sz w:val="24"/>
                      <w:szCs w:val="22"/>
                      <w:vertAlign w:val="subscript"/>
                      <w:lang w:val="en-US" w:eastAsia="zh-CN"/>
                    </w:rPr>
                    <w:t>Cr</w:t>
                  </w:r>
                </w:p>
              </w:tc>
              <w:tc>
                <w:tcPr>
                  <w:tcW w:w="804" w:type="dxa"/>
                  <w:tcBorders>
                    <w:tl2br w:val="nil"/>
                    <w:tr2bl w:val="nil"/>
                  </w:tcBorders>
                  <w:vAlign w:val="center"/>
                </w:tcPr>
                <w:p w14:paraId="3F2FF2C8">
                  <w:pPr>
                    <w:jc w:val="center"/>
                    <w:rPr>
                      <w:color w:val="auto"/>
                      <w:sz w:val="21"/>
                      <w:szCs w:val="21"/>
                    </w:rPr>
                  </w:pPr>
                  <w:r>
                    <w:rPr>
                      <w:color w:val="auto"/>
                      <w:sz w:val="21"/>
                      <w:szCs w:val="21"/>
                    </w:rPr>
                    <w:t>BOD</w:t>
                  </w:r>
                  <w:r>
                    <w:rPr>
                      <w:color w:val="auto"/>
                      <w:sz w:val="21"/>
                      <w:szCs w:val="21"/>
                      <w:vertAlign w:val="subscript"/>
                    </w:rPr>
                    <w:t>5</w:t>
                  </w:r>
                </w:p>
              </w:tc>
              <w:tc>
                <w:tcPr>
                  <w:tcW w:w="564" w:type="dxa"/>
                  <w:tcBorders>
                    <w:tl2br w:val="nil"/>
                    <w:tr2bl w:val="nil"/>
                  </w:tcBorders>
                  <w:vAlign w:val="center"/>
                </w:tcPr>
                <w:p w14:paraId="3A310743">
                  <w:pPr>
                    <w:jc w:val="center"/>
                    <w:rPr>
                      <w:color w:val="auto"/>
                      <w:sz w:val="21"/>
                      <w:szCs w:val="21"/>
                    </w:rPr>
                  </w:pPr>
                  <w:r>
                    <w:rPr>
                      <w:color w:val="auto"/>
                      <w:sz w:val="21"/>
                      <w:szCs w:val="21"/>
                    </w:rPr>
                    <w:t>SS</w:t>
                  </w:r>
                </w:p>
              </w:tc>
              <w:tc>
                <w:tcPr>
                  <w:tcW w:w="811" w:type="dxa"/>
                  <w:tcBorders>
                    <w:tl2br w:val="nil"/>
                    <w:tr2bl w:val="nil"/>
                  </w:tcBorders>
                  <w:vAlign w:val="center"/>
                </w:tcPr>
                <w:p w14:paraId="338D6F00">
                  <w:pPr>
                    <w:jc w:val="center"/>
                    <w:rPr>
                      <w:color w:val="auto"/>
                      <w:sz w:val="21"/>
                      <w:szCs w:val="21"/>
                    </w:rPr>
                  </w:pPr>
                  <w:r>
                    <w:rPr>
                      <w:color w:val="auto"/>
                      <w:sz w:val="21"/>
                      <w:szCs w:val="21"/>
                    </w:rPr>
                    <w:t>NH</w:t>
                  </w:r>
                  <w:r>
                    <w:rPr>
                      <w:color w:val="auto"/>
                      <w:sz w:val="21"/>
                      <w:szCs w:val="21"/>
                      <w:vertAlign w:val="subscript"/>
                    </w:rPr>
                    <w:t>3</w:t>
                  </w:r>
                  <w:r>
                    <w:rPr>
                      <w:color w:val="auto"/>
                      <w:sz w:val="21"/>
                      <w:szCs w:val="21"/>
                    </w:rPr>
                    <w:t>-N</w:t>
                  </w:r>
                </w:p>
              </w:tc>
              <w:tc>
                <w:tcPr>
                  <w:tcW w:w="1073" w:type="dxa"/>
                  <w:tcBorders>
                    <w:tl2br w:val="nil"/>
                    <w:tr2bl w:val="nil"/>
                  </w:tcBorders>
                  <w:vAlign w:val="center"/>
                </w:tcPr>
                <w:p w14:paraId="4804DC8D">
                  <w:pPr>
                    <w:jc w:val="center"/>
                    <w:rPr>
                      <w:color w:val="auto"/>
                      <w:sz w:val="21"/>
                      <w:szCs w:val="21"/>
                    </w:rPr>
                  </w:pPr>
                  <w:r>
                    <w:rPr>
                      <w:rFonts w:hAnsi="宋体"/>
                      <w:color w:val="auto"/>
                      <w:sz w:val="21"/>
                      <w:szCs w:val="21"/>
                    </w:rPr>
                    <w:t>动植物油</w:t>
                  </w:r>
                </w:p>
              </w:tc>
              <w:tc>
                <w:tcPr>
                  <w:tcW w:w="1719" w:type="dxa"/>
                  <w:tcBorders>
                    <w:tl2br w:val="nil"/>
                    <w:tr2bl w:val="nil"/>
                  </w:tcBorders>
                  <w:vAlign w:val="center"/>
                </w:tcPr>
                <w:p w14:paraId="54769463">
                  <w:pPr>
                    <w:jc w:val="center"/>
                    <w:rPr>
                      <w:color w:val="auto"/>
                      <w:sz w:val="21"/>
                      <w:szCs w:val="21"/>
                    </w:rPr>
                  </w:pPr>
                  <w:r>
                    <w:rPr>
                      <w:color w:val="auto"/>
                      <w:sz w:val="21"/>
                      <w:szCs w:val="21"/>
                    </w:rPr>
                    <w:t>SS</w:t>
                  </w:r>
                </w:p>
              </w:tc>
            </w:tr>
            <w:tr w14:paraId="24B2EA2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96" w:type="dxa"/>
                  <w:tcBorders>
                    <w:tl2br w:val="nil"/>
                    <w:tr2bl w:val="nil"/>
                  </w:tcBorders>
                  <w:vAlign w:val="center"/>
                </w:tcPr>
                <w:p w14:paraId="1F4F2AEF">
                  <w:pPr>
                    <w:jc w:val="center"/>
                    <w:rPr>
                      <w:color w:val="auto"/>
                      <w:sz w:val="21"/>
                      <w:szCs w:val="21"/>
                    </w:rPr>
                  </w:pPr>
                  <w:r>
                    <w:rPr>
                      <w:rFonts w:hAnsi="宋体"/>
                      <w:color w:val="auto"/>
                      <w:sz w:val="21"/>
                      <w:szCs w:val="21"/>
                    </w:rPr>
                    <w:t>污染物产生浓度</w:t>
                  </w:r>
                  <w:r>
                    <w:rPr>
                      <w:color w:val="auto"/>
                      <w:sz w:val="21"/>
                      <w:szCs w:val="21"/>
                    </w:rPr>
                    <w:t>mg/L</w:t>
                  </w:r>
                </w:p>
              </w:tc>
              <w:tc>
                <w:tcPr>
                  <w:tcW w:w="853" w:type="dxa"/>
                  <w:tcBorders>
                    <w:tl2br w:val="nil"/>
                    <w:tr2bl w:val="nil"/>
                  </w:tcBorders>
                  <w:vAlign w:val="center"/>
                </w:tcPr>
                <w:p w14:paraId="69B47F38">
                  <w:pPr>
                    <w:jc w:val="center"/>
                    <w:rPr>
                      <w:color w:val="auto"/>
                      <w:sz w:val="21"/>
                      <w:szCs w:val="21"/>
                    </w:rPr>
                  </w:pPr>
                  <w:r>
                    <w:rPr>
                      <w:color w:val="auto"/>
                      <w:sz w:val="21"/>
                      <w:szCs w:val="21"/>
                    </w:rPr>
                    <w:t>350</w:t>
                  </w:r>
                </w:p>
              </w:tc>
              <w:tc>
                <w:tcPr>
                  <w:tcW w:w="804" w:type="dxa"/>
                  <w:tcBorders>
                    <w:tl2br w:val="nil"/>
                    <w:tr2bl w:val="nil"/>
                  </w:tcBorders>
                  <w:vAlign w:val="center"/>
                </w:tcPr>
                <w:p w14:paraId="2B4A59AF">
                  <w:pPr>
                    <w:jc w:val="center"/>
                    <w:rPr>
                      <w:color w:val="auto"/>
                      <w:sz w:val="21"/>
                      <w:szCs w:val="21"/>
                    </w:rPr>
                  </w:pPr>
                  <w:r>
                    <w:rPr>
                      <w:color w:val="auto"/>
                      <w:sz w:val="21"/>
                      <w:szCs w:val="21"/>
                    </w:rPr>
                    <w:t>180</w:t>
                  </w:r>
                </w:p>
              </w:tc>
              <w:tc>
                <w:tcPr>
                  <w:tcW w:w="564" w:type="dxa"/>
                  <w:tcBorders>
                    <w:tl2br w:val="nil"/>
                    <w:tr2bl w:val="nil"/>
                  </w:tcBorders>
                  <w:vAlign w:val="center"/>
                </w:tcPr>
                <w:p w14:paraId="456E66E1">
                  <w:pPr>
                    <w:jc w:val="center"/>
                    <w:rPr>
                      <w:color w:val="auto"/>
                      <w:sz w:val="21"/>
                      <w:szCs w:val="21"/>
                    </w:rPr>
                  </w:pPr>
                  <w:r>
                    <w:rPr>
                      <w:color w:val="auto"/>
                      <w:sz w:val="21"/>
                      <w:szCs w:val="21"/>
                    </w:rPr>
                    <w:t>250</w:t>
                  </w:r>
                </w:p>
              </w:tc>
              <w:tc>
                <w:tcPr>
                  <w:tcW w:w="811" w:type="dxa"/>
                  <w:tcBorders>
                    <w:tl2br w:val="nil"/>
                    <w:tr2bl w:val="nil"/>
                  </w:tcBorders>
                  <w:vAlign w:val="center"/>
                </w:tcPr>
                <w:p w14:paraId="02CEAF5A">
                  <w:pPr>
                    <w:jc w:val="center"/>
                    <w:rPr>
                      <w:color w:val="auto"/>
                      <w:sz w:val="21"/>
                      <w:szCs w:val="21"/>
                    </w:rPr>
                  </w:pPr>
                  <w:r>
                    <w:rPr>
                      <w:color w:val="auto"/>
                      <w:sz w:val="21"/>
                      <w:szCs w:val="21"/>
                    </w:rPr>
                    <w:t>25</w:t>
                  </w:r>
                </w:p>
              </w:tc>
              <w:tc>
                <w:tcPr>
                  <w:tcW w:w="1073" w:type="dxa"/>
                  <w:tcBorders>
                    <w:tl2br w:val="nil"/>
                    <w:tr2bl w:val="nil"/>
                  </w:tcBorders>
                  <w:vAlign w:val="center"/>
                </w:tcPr>
                <w:p w14:paraId="73461977">
                  <w:pPr>
                    <w:jc w:val="center"/>
                    <w:rPr>
                      <w:color w:val="auto"/>
                      <w:sz w:val="21"/>
                      <w:szCs w:val="21"/>
                    </w:rPr>
                  </w:pPr>
                  <w:r>
                    <w:rPr>
                      <w:color w:val="auto"/>
                      <w:sz w:val="21"/>
                      <w:szCs w:val="21"/>
                    </w:rPr>
                    <w:t>50</w:t>
                  </w:r>
                </w:p>
              </w:tc>
              <w:tc>
                <w:tcPr>
                  <w:tcW w:w="1719" w:type="dxa"/>
                  <w:tcBorders>
                    <w:tl2br w:val="nil"/>
                    <w:tr2bl w:val="nil"/>
                  </w:tcBorders>
                  <w:vAlign w:val="center"/>
                </w:tcPr>
                <w:p w14:paraId="11E076F4">
                  <w:pPr>
                    <w:jc w:val="center"/>
                    <w:rPr>
                      <w:color w:val="auto"/>
                      <w:sz w:val="21"/>
                      <w:szCs w:val="21"/>
                    </w:rPr>
                  </w:pPr>
                  <w:r>
                    <w:rPr>
                      <w:rFonts w:hint="eastAsia"/>
                      <w:color w:val="auto"/>
                      <w:sz w:val="21"/>
                      <w:szCs w:val="21"/>
                      <w:lang w:val="en-US" w:eastAsia="zh-CN"/>
                    </w:rPr>
                    <w:t>2000~4000</w:t>
                  </w:r>
                </w:p>
              </w:tc>
            </w:tr>
          </w:tbl>
          <w:p w14:paraId="75DEE1C7">
            <w:pPr>
              <w:spacing w:line="360" w:lineRule="auto"/>
              <w:ind w:firstLine="480" w:firstLineChars="200"/>
              <w:rPr>
                <w:rFonts w:hint="default" w:ascii="Times New Roman" w:hAnsi="Times New Roman" w:cs="Times New Roman"/>
                <w:b w:val="0"/>
                <w:bCs w:val="0"/>
                <w:color w:val="auto"/>
                <w:kern w:val="0"/>
                <w:sz w:val="24"/>
                <w:szCs w:val="24"/>
              </w:rPr>
            </w:pPr>
            <w:r>
              <w:rPr>
                <w:rFonts w:hint="default" w:ascii="Times New Roman" w:hAnsi="Times New Roman" w:cs="Times New Roman"/>
                <w:b w:val="0"/>
                <w:bCs w:val="0"/>
                <w:color w:val="auto"/>
                <w:sz w:val="24"/>
                <w:lang w:val="en-US" w:eastAsia="zh-CN"/>
              </w:rPr>
              <w:t>3.3、</w:t>
            </w:r>
            <w:r>
              <w:rPr>
                <w:rFonts w:hint="default" w:ascii="Times New Roman" w:hAnsi="Times New Roman" w:cs="Times New Roman"/>
                <w:b w:val="0"/>
                <w:bCs w:val="0"/>
                <w:color w:val="auto"/>
                <w:kern w:val="0"/>
                <w:sz w:val="24"/>
                <w:szCs w:val="24"/>
              </w:rPr>
              <w:t>施工期噪声</w:t>
            </w:r>
          </w:p>
          <w:p w14:paraId="115DAE7E">
            <w:pPr>
              <w:adjustRightInd w:val="0"/>
              <w:spacing w:line="360" w:lineRule="auto"/>
              <w:ind w:firstLine="422"/>
              <w:rPr>
                <w:rFonts w:hint="default" w:ascii="Times New Roman" w:hAnsi="Times New Roman" w:cs="Times New Roman"/>
                <w:color w:val="auto"/>
                <w:sz w:val="24"/>
              </w:rPr>
            </w:pPr>
            <w:r>
              <w:rPr>
                <w:rFonts w:hint="default" w:ascii="Times New Roman" w:hAnsi="Times New Roman" w:cs="Times New Roman"/>
                <w:color w:val="auto"/>
                <w:sz w:val="24"/>
              </w:rPr>
              <w:t>施工期产生的噪声主要来自施工过程中各种施工机械设备如推土机、挖掘机、装载机、打桩机、吊车、升降机、混凝土搅拌机等产生的施工噪声和运输车辆产生的交通噪声。各机械噪声排放统计见表5-</w:t>
            </w:r>
            <w:r>
              <w:rPr>
                <w:rFonts w:hint="default" w:ascii="Times New Roman" w:hAnsi="Times New Roman" w:cs="Times New Roman"/>
                <w:color w:val="auto"/>
                <w:sz w:val="24"/>
                <w:lang w:val="en-US" w:eastAsia="zh-CN"/>
              </w:rPr>
              <w:t>2</w:t>
            </w:r>
            <w:r>
              <w:rPr>
                <w:rFonts w:hint="default" w:ascii="Times New Roman" w:hAnsi="Times New Roman" w:cs="Times New Roman"/>
                <w:color w:val="auto"/>
                <w:sz w:val="24"/>
              </w:rPr>
              <w:t>。</w:t>
            </w:r>
          </w:p>
          <w:p w14:paraId="11BD449C">
            <w:pPr>
              <w:pStyle w:val="9"/>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0"/>
              <w:rPr>
                <w:rFonts w:hint="default" w:ascii="Times New Roman" w:hAnsi="Times New Roman" w:eastAsia="宋体" w:cs="Times New Roman"/>
                <w:b/>
                <w:bCs w:val="0"/>
                <w:color w:val="auto"/>
                <w:sz w:val="21"/>
                <w:szCs w:val="21"/>
                <w:lang w:val="en-US" w:eastAsia="zh-CN"/>
              </w:rPr>
            </w:pPr>
            <w:bookmarkStart w:id="44" w:name="_Toc30340"/>
            <w:r>
              <w:rPr>
                <w:rFonts w:hint="default" w:ascii="Times New Roman" w:hAnsi="Times New Roman" w:eastAsia="宋体" w:cs="Times New Roman"/>
                <w:b/>
                <w:bCs w:val="0"/>
                <w:color w:val="auto"/>
                <w:sz w:val="21"/>
                <w:szCs w:val="21"/>
                <w:lang w:val="en-US" w:eastAsia="zh-CN"/>
              </w:rPr>
              <w:t>表5-2  建设期间主要噪声源的声级值  单位[dB(A)]</w:t>
            </w:r>
            <w:bookmarkEnd w:id="44"/>
          </w:p>
          <w:tbl>
            <w:tblPr>
              <w:tblStyle w:val="15"/>
              <w:tblW w:w="8504"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3467"/>
              <w:gridCol w:w="3611"/>
            </w:tblGrid>
            <w:tr w14:paraId="461D878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272A903C">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序号</w:t>
                  </w:r>
                </w:p>
              </w:tc>
              <w:tc>
                <w:tcPr>
                  <w:tcW w:w="3467" w:type="dxa"/>
                  <w:vAlign w:val="center"/>
                </w:tcPr>
                <w:p w14:paraId="1E7B3477">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声源名称</w:t>
                  </w:r>
                </w:p>
              </w:tc>
              <w:tc>
                <w:tcPr>
                  <w:tcW w:w="3611" w:type="dxa"/>
                  <w:vAlign w:val="center"/>
                </w:tcPr>
                <w:p w14:paraId="6FE7524E">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噪声级范围(距源10m处)</w:t>
                  </w:r>
                </w:p>
              </w:tc>
            </w:tr>
            <w:tr w14:paraId="2C1846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1ADC8B55">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w:t>
                  </w:r>
                </w:p>
              </w:tc>
              <w:tc>
                <w:tcPr>
                  <w:tcW w:w="3467" w:type="dxa"/>
                  <w:vAlign w:val="center"/>
                </w:tcPr>
                <w:p w14:paraId="69710C88">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推土机</w:t>
                  </w:r>
                </w:p>
              </w:tc>
              <w:tc>
                <w:tcPr>
                  <w:tcW w:w="3611" w:type="dxa"/>
                  <w:vAlign w:val="center"/>
                </w:tcPr>
                <w:p w14:paraId="667BAC2F">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78～96</w:t>
                  </w:r>
                </w:p>
              </w:tc>
            </w:tr>
            <w:tr w14:paraId="013934E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7BE1AEC6">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w:t>
                  </w:r>
                </w:p>
              </w:tc>
              <w:tc>
                <w:tcPr>
                  <w:tcW w:w="3467" w:type="dxa"/>
                  <w:vAlign w:val="center"/>
                </w:tcPr>
                <w:p w14:paraId="1C96E318">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搅拌机</w:t>
                  </w:r>
                </w:p>
              </w:tc>
              <w:tc>
                <w:tcPr>
                  <w:tcW w:w="3611" w:type="dxa"/>
                  <w:vAlign w:val="center"/>
                </w:tcPr>
                <w:p w14:paraId="1A67A568">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75～88</w:t>
                  </w:r>
                </w:p>
              </w:tc>
            </w:tr>
            <w:tr w14:paraId="2FC981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148BBC49">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3</w:t>
                  </w:r>
                </w:p>
              </w:tc>
              <w:tc>
                <w:tcPr>
                  <w:tcW w:w="3467" w:type="dxa"/>
                  <w:vAlign w:val="center"/>
                </w:tcPr>
                <w:p w14:paraId="63EABDA9">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运输卡车</w:t>
                  </w:r>
                </w:p>
              </w:tc>
              <w:tc>
                <w:tcPr>
                  <w:tcW w:w="3611" w:type="dxa"/>
                  <w:vAlign w:val="center"/>
                </w:tcPr>
                <w:p w14:paraId="6ACAD450">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85～94</w:t>
                  </w:r>
                </w:p>
              </w:tc>
            </w:tr>
            <w:tr w14:paraId="66BAC3B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2A176BC8">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w:t>
                  </w:r>
                </w:p>
              </w:tc>
              <w:tc>
                <w:tcPr>
                  <w:tcW w:w="3467" w:type="dxa"/>
                  <w:vAlign w:val="center"/>
                </w:tcPr>
                <w:p w14:paraId="2511654E">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挖掘机</w:t>
                  </w:r>
                </w:p>
              </w:tc>
              <w:tc>
                <w:tcPr>
                  <w:tcW w:w="3611" w:type="dxa"/>
                  <w:vAlign w:val="center"/>
                </w:tcPr>
                <w:p w14:paraId="4045460D">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80～93</w:t>
                  </w:r>
                </w:p>
              </w:tc>
            </w:tr>
            <w:tr w14:paraId="7ADD64E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00B8D4E1">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5</w:t>
                  </w:r>
                </w:p>
              </w:tc>
              <w:tc>
                <w:tcPr>
                  <w:tcW w:w="3467" w:type="dxa"/>
                  <w:vAlign w:val="center"/>
                </w:tcPr>
                <w:p w14:paraId="723F9DA3">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卷扬机</w:t>
                  </w:r>
                </w:p>
              </w:tc>
              <w:tc>
                <w:tcPr>
                  <w:tcW w:w="3611" w:type="dxa"/>
                  <w:vAlign w:val="center"/>
                </w:tcPr>
                <w:p w14:paraId="4266898A">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75～88</w:t>
                  </w:r>
                </w:p>
              </w:tc>
            </w:tr>
            <w:tr w14:paraId="2961DC3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33DBA6D6">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6</w:t>
                  </w:r>
                </w:p>
              </w:tc>
              <w:tc>
                <w:tcPr>
                  <w:tcW w:w="3467" w:type="dxa"/>
                  <w:vAlign w:val="center"/>
                </w:tcPr>
                <w:p w14:paraId="70ED8228">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浇捣机</w:t>
                  </w:r>
                </w:p>
              </w:tc>
              <w:tc>
                <w:tcPr>
                  <w:tcW w:w="3611" w:type="dxa"/>
                  <w:vAlign w:val="center"/>
                </w:tcPr>
                <w:p w14:paraId="5DAB6D04">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90～98</w:t>
                  </w:r>
                </w:p>
              </w:tc>
            </w:tr>
            <w:tr w14:paraId="5E77A0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40E14F19">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7</w:t>
                  </w:r>
                </w:p>
              </w:tc>
              <w:tc>
                <w:tcPr>
                  <w:tcW w:w="3467" w:type="dxa"/>
                  <w:vAlign w:val="center"/>
                </w:tcPr>
                <w:p w14:paraId="6E6CAC1B">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空气压缩机</w:t>
                  </w:r>
                </w:p>
              </w:tc>
              <w:tc>
                <w:tcPr>
                  <w:tcW w:w="3611" w:type="dxa"/>
                  <w:vAlign w:val="center"/>
                </w:tcPr>
                <w:p w14:paraId="5739F643">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80～95</w:t>
                  </w:r>
                </w:p>
              </w:tc>
            </w:tr>
            <w:tr w14:paraId="75047AB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1B629309">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8</w:t>
                  </w:r>
                </w:p>
              </w:tc>
              <w:tc>
                <w:tcPr>
                  <w:tcW w:w="3467" w:type="dxa"/>
                  <w:vAlign w:val="center"/>
                </w:tcPr>
                <w:p w14:paraId="3ACC1061">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吊车</w:t>
                  </w:r>
                </w:p>
              </w:tc>
              <w:tc>
                <w:tcPr>
                  <w:tcW w:w="3611" w:type="dxa"/>
                  <w:vAlign w:val="center"/>
                </w:tcPr>
                <w:p w14:paraId="395F4766">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80～86</w:t>
                  </w:r>
                </w:p>
              </w:tc>
            </w:tr>
            <w:tr w14:paraId="08A66A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6" w:type="dxa"/>
                  <w:vAlign w:val="center"/>
                </w:tcPr>
                <w:p w14:paraId="2CA6D1A4">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9</w:t>
                  </w:r>
                </w:p>
              </w:tc>
              <w:tc>
                <w:tcPr>
                  <w:tcW w:w="3467" w:type="dxa"/>
                  <w:vAlign w:val="center"/>
                </w:tcPr>
                <w:p w14:paraId="6CC0417E">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打桩机</w:t>
                  </w:r>
                </w:p>
              </w:tc>
              <w:tc>
                <w:tcPr>
                  <w:tcW w:w="3611" w:type="dxa"/>
                  <w:vAlign w:val="center"/>
                </w:tcPr>
                <w:p w14:paraId="6F90E499">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88～95</w:t>
                  </w:r>
                </w:p>
              </w:tc>
            </w:tr>
          </w:tbl>
          <w:p w14:paraId="35DCF1D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cs="Times New Roman"/>
                <w:color w:val="auto"/>
                <w:sz w:val="24"/>
                <w:szCs w:val="24"/>
              </w:rPr>
            </w:pPr>
            <w:r>
              <w:rPr>
                <w:rFonts w:hint="eastAsia"/>
                <w:color w:val="auto"/>
                <w:sz w:val="24"/>
                <w:lang w:val="en-US" w:eastAsia="zh-CN"/>
              </w:rPr>
              <w:t>3.4、施工期</w:t>
            </w:r>
            <w:r>
              <w:rPr>
                <w:rFonts w:ascii="Times New Roman" w:hAnsi="Times New Roman" w:cs="Times New Roman"/>
                <w:color w:val="auto"/>
                <w:sz w:val="24"/>
                <w:szCs w:val="24"/>
              </w:rPr>
              <w:t>固体废弃物</w:t>
            </w:r>
          </w:p>
          <w:p w14:paraId="557FCB1E">
            <w:pPr>
              <w:spacing w:line="360" w:lineRule="auto"/>
              <w:ind w:firstLine="48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1</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建筑垃圾</w:t>
            </w:r>
          </w:p>
          <w:p w14:paraId="4B78A74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b/>
                <w:bCs/>
                <w:color w:val="auto"/>
                <w:sz w:val="24"/>
                <w:szCs w:val="24"/>
              </w:rPr>
            </w:pPr>
            <w:r>
              <w:rPr>
                <w:rFonts w:ascii="Times New Roman" w:hAnsi="Times New Roman" w:cs="Times New Roman"/>
                <w:color w:val="auto"/>
                <w:sz w:val="24"/>
                <w:szCs w:val="24"/>
              </w:rPr>
              <w:t>项目主体建设过程中将会产生一定的建筑垃圾。主体工程建设过程中产生的建筑垃圾按0.03t/m</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计，项目建筑总面积约为</w:t>
            </w:r>
            <w:r>
              <w:rPr>
                <w:rFonts w:hint="eastAsia" w:cs="Times New Roman"/>
                <w:color w:val="auto"/>
                <w:sz w:val="24"/>
                <w:szCs w:val="24"/>
                <w:lang w:val="en-US" w:eastAsia="zh-CN"/>
              </w:rPr>
              <w:t>85522.37m</w:t>
            </w:r>
            <w:r>
              <w:rPr>
                <w:rFonts w:hint="eastAsia" w:cs="Times New Roman"/>
                <w:color w:val="auto"/>
                <w:sz w:val="24"/>
                <w:szCs w:val="24"/>
                <w:vertAlign w:val="superscript"/>
                <w:lang w:val="en-US" w:eastAsia="zh-CN"/>
              </w:rPr>
              <w:t>2</w:t>
            </w:r>
            <w:r>
              <w:rPr>
                <w:rFonts w:ascii="Times New Roman" w:hAnsi="Times New Roman" w:cs="Times New Roman"/>
                <w:color w:val="auto"/>
                <w:sz w:val="24"/>
                <w:szCs w:val="24"/>
              </w:rPr>
              <w:t>，则该过程中产生的建筑垃圾量约为</w:t>
            </w:r>
            <w:r>
              <w:rPr>
                <w:rFonts w:hint="eastAsia" w:cs="Times New Roman"/>
                <w:color w:val="auto"/>
                <w:sz w:val="24"/>
                <w:szCs w:val="24"/>
                <w:lang w:val="en-US" w:eastAsia="zh-CN"/>
              </w:rPr>
              <w:t>2565.67</w:t>
            </w:r>
            <w:r>
              <w:rPr>
                <w:rFonts w:ascii="Times New Roman" w:hAnsi="Times New Roman" w:cs="Times New Roman"/>
                <w:color w:val="auto"/>
                <w:sz w:val="24"/>
                <w:szCs w:val="24"/>
              </w:rPr>
              <w:t>t。建筑垃圾应临时堆放在防风、防雨设施内</w:t>
            </w:r>
            <w:r>
              <w:rPr>
                <w:rFonts w:hint="eastAsia" w:cs="Times New Roman"/>
                <w:color w:val="auto"/>
                <w:sz w:val="24"/>
                <w:szCs w:val="24"/>
                <w:lang w:eastAsia="zh-CN"/>
              </w:rPr>
              <w:t>，</w:t>
            </w:r>
            <w:r>
              <w:rPr>
                <w:rFonts w:ascii="Times New Roman" w:hAnsi="Times New Roman" w:cs="Times New Roman"/>
                <w:color w:val="auto"/>
                <w:sz w:val="24"/>
                <w:szCs w:val="24"/>
              </w:rPr>
              <w:t>建设单位</w:t>
            </w:r>
            <w:r>
              <w:rPr>
                <w:rFonts w:hint="eastAsia" w:cs="Times New Roman"/>
                <w:color w:val="auto"/>
                <w:sz w:val="24"/>
                <w:szCs w:val="24"/>
                <w:lang w:eastAsia="zh-CN"/>
              </w:rPr>
              <w:t>还</w:t>
            </w:r>
            <w:r>
              <w:rPr>
                <w:rFonts w:ascii="Times New Roman" w:hAnsi="Times New Roman" w:cs="Times New Roman"/>
                <w:color w:val="auto"/>
                <w:sz w:val="24"/>
                <w:szCs w:val="24"/>
              </w:rPr>
              <w:t>应与当地城管部门协商，将建筑垃圾堆放在城管部门指定的倒渣地点，分类收集并尽可能的回收再利用，不能回收利用的则应及时清理出施工现场交由市政环卫部门进行集中处理，不得造成二次污染。</w:t>
            </w:r>
          </w:p>
          <w:p w14:paraId="1679734F">
            <w:pPr>
              <w:spacing w:line="360" w:lineRule="auto"/>
              <w:ind w:firstLine="48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2</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生活垃圾</w:t>
            </w:r>
          </w:p>
          <w:p w14:paraId="0490323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r>
              <w:rPr>
                <w:rFonts w:ascii="Times New Roman" w:hAnsi="Times New Roman" w:cs="Times New Roman"/>
                <w:color w:val="auto"/>
                <w:sz w:val="24"/>
                <w:szCs w:val="24"/>
              </w:rPr>
              <w:t>施工人员在日常的施工活动和生活中会产生一定量的生活垃圾，施工期施工人员为</w:t>
            </w:r>
            <w:r>
              <w:rPr>
                <w:rFonts w:hint="eastAsia" w:cs="Times New Roman"/>
                <w:color w:val="auto"/>
                <w:sz w:val="24"/>
                <w:szCs w:val="24"/>
                <w:lang w:val="en-US" w:eastAsia="zh-CN"/>
              </w:rPr>
              <w:t>100</w:t>
            </w:r>
            <w:r>
              <w:rPr>
                <w:rFonts w:ascii="Times New Roman" w:hAnsi="Times New Roman" w:cs="Times New Roman"/>
                <w:color w:val="auto"/>
                <w:sz w:val="24"/>
                <w:szCs w:val="24"/>
              </w:rPr>
              <w:t>人，施工期</w:t>
            </w:r>
            <w:r>
              <w:rPr>
                <w:rFonts w:hint="eastAsia" w:cs="Times New Roman"/>
                <w:color w:val="auto"/>
                <w:sz w:val="24"/>
                <w:szCs w:val="24"/>
                <w:lang w:val="en-US" w:eastAsia="zh-CN"/>
              </w:rPr>
              <w:t>18</w:t>
            </w:r>
            <w:r>
              <w:rPr>
                <w:rFonts w:ascii="Times New Roman" w:hAnsi="Times New Roman" w:cs="Times New Roman"/>
                <w:color w:val="auto"/>
                <w:sz w:val="24"/>
                <w:szCs w:val="24"/>
              </w:rPr>
              <w:t>个月，每人每天产生的生活垃圾按0.</w:t>
            </w:r>
            <w:r>
              <w:rPr>
                <w:rFonts w:hint="eastAsia" w:ascii="Times New Roman" w:hAnsi="Times New Roman" w:cs="Times New Roman"/>
                <w:color w:val="auto"/>
                <w:sz w:val="24"/>
                <w:szCs w:val="24"/>
                <w:lang w:val="en-US" w:eastAsia="zh-CN"/>
              </w:rPr>
              <w:t>7</w:t>
            </w:r>
            <w:r>
              <w:rPr>
                <w:rFonts w:ascii="Times New Roman" w:hAnsi="Times New Roman" w:cs="Times New Roman"/>
                <w:color w:val="auto"/>
                <w:sz w:val="24"/>
                <w:szCs w:val="24"/>
              </w:rPr>
              <w:t>kg计算，则施工期施工人员产生的生活垃圾总量为</w:t>
            </w:r>
            <w:r>
              <w:rPr>
                <w:rFonts w:hint="eastAsia" w:cs="Times New Roman"/>
                <w:color w:val="auto"/>
                <w:sz w:val="24"/>
                <w:szCs w:val="24"/>
                <w:lang w:val="en-US" w:eastAsia="zh-CN"/>
              </w:rPr>
              <w:t>30.66t</w:t>
            </w:r>
            <w:r>
              <w:rPr>
                <w:rFonts w:ascii="Times New Roman" w:hAnsi="Times New Roman" w:cs="Times New Roman"/>
                <w:color w:val="auto"/>
                <w:sz w:val="24"/>
                <w:szCs w:val="24"/>
              </w:rPr>
              <w:t>。</w:t>
            </w:r>
            <w:r>
              <w:rPr>
                <w:rFonts w:hint="eastAsia"/>
                <w:color w:val="auto"/>
                <w:sz w:val="24"/>
              </w:rPr>
              <w:t>施工期生活垃圾集中存放委托环卫</w:t>
            </w:r>
            <w:r>
              <w:rPr>
                <w:rFonts w:hint="eastAsia"/>
                <w:color w:val="auto"/>
                <w:sz w:val="24"/>
                <w:lang w:eastAsia="zh-CN"/>
              </w:rPr>
              <w:t>部门进行</w:t>
            </w:r>
            <w:r>
              <w:rPr>
                <w:rFonts w:hint="eastAsia"/>
                <w:color w:val="auto"/>
                <w:sz w:val="24"/>
              </w:rPr>
              <w:t>清运</w:t>
            </w:r>
            <w:r>
              <w:rPr>
                <w:rFonts w:hint="eastAsia"/>
                <w:color w:val="auto"/>
                <w:sz w:val="24"/>
                <w:lang w:eastAsia="zh-CN"/>
              </w:rPr>
              <w:t>和</w:t>
            </w:r>
            <w:r>
              <w:rPr>
                <w:rFonts w:hint="eastAsia"/>
                <w:color w:val="auto"/>
                <w:sz w:val="24"/>
              </w:rPr>
              <w:t>卫生填埋。</w:t>
            </w:r>
          </w:p>
          <w:p w14:paraId="5990E5CB">
            <w:pPr>
              <w:pStyle w:val="9"/>
              <w:spacing w:line="360" w:lineRule="auto"/>
              <w:ind w:firstLine="480" w:firstLineChars="200"/>
              <w:outlineLvl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lang w:eastAsia="zh-CN"/>
              </w:rPr>
              <w:t>（</w:t>
            </w:r>
            <w:r>
              <w:rPr>
                <w:rFonts w:hint="default" w:ascii="Times New Roman" w:hAnsi="Times New Roman" w:cs="Times New Roman"/>
                <w:color w:val="auto"/>
                <w:sz w:val="24"/>
                <w:lang w:val="en-US" w:eastAsia="zh-CN"/>
              </w:rPr>
              <w:t>3</w:t>
            </w:r>
            <w:r>
              <w:rPr>
                <w:rFonts w:hint="default" w:ascii="Times New Roman" w:hAnsi="Times New Roman" w:cs="Times New Roman"/>
                <w:color w:val="auto"/>
                <w:sz w:val="24"/>
                <w:lang w:eastAsia="zh-CN"/>
              </w:rPr>
              <w:t>）</w:t>
            </w:r>
            <w:bookmarkStart w:id="45" w:name="_Toc26665"/>
            <w:r>
              <w:rPr>
                <w:rFonts w:hint="default" w:ascii="Times New Roman" w:hAnsi="Times New Roman" w:cs="Times New Roman"/>
                <w:color w:val="auto"/>
                <w:sz w:val="24"/>
                <w:szCs w:val="24"/>
                <w:lang w:val="en-US" w:eastAsia="zh-CN"/>
              </w:rPr>
              <w:t>项目土石方平衡</w:t>
            </w:r>
            <w:bookmarkEnd w:id="45"/>
          </w:p>
          <w:p w14:paraId="58809ECA">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根据建设方提供的</w:t>
            </w:r>
            <w:r>
              <w:rPr>
                <w:rFonts w:ascii="Times New Roman" w:hAnsi="Times New Roman" w:cs="Times New Roman"/>
                <w:color w:val="auto"/>
                <w:sz w:val="24"/>
                <w:szCs w:val="24"/>
              </w:rPr>
              <w:t>资料，项目地下室挖方高度约5米，覆土层</w:t>
            </w:r>
            <w:r>
              <w:rPr>
                <w:rFonts w:hint="eastAsia" w:ascii="Times New Roman" w:hAnsi="Times New Roman" w:cs="Times New Roman"/>
                <w:color w:val="auto"/>
                <w:sz w:val="24"/>
                <w:szCs w:val="24"/>
                <w:lang w:eastAsia="zh-CN"/>
              </w:rPr>
              <w:t>约</w:t>
            </w:r>
            <w:r>
              <w:rPr>
                <w:rFonts w:hint="eastAsia" w:ascii="Times New Roman" w:hAnsi="Times New Roman" w:cs="Times New Roman"/>
                <w:color w:val="auto"/>
                <w:sz w:val="24"/>
                <w:szCs w:val="24"/>
                <w:lang w:val="en-US" w:eastAsia="zh-CN"/>
              </w:rPr>
              <w:t>2.1</w:t>
            </w:r>
            <w:r>
              <w:rPr>
                <w:rFonts w:ascii="Times New Roman" w:hAnsi="Times New Roman" w:cs="Times New Roman"/>
                <w:color w:val="auto"/>
                <w:sz w:val="24"/>
                <w:szCs w:val="24"/>
              </w:rPr>
              <w:t>米，地下</w:t>
            </w:r>
            <w:r>
              <w:rPr>
                <w:rFonts w:hint="eastAsia" w:ascii="Times New Roman" w:hAnsi="Times New Roman" w:cs="Times New Roman"/>
                <w:color w:val="auto"/>
                <w:sz w:val="24"/>
                <w:szCs w:val="24"/>
                <w:lang w:eastAsia="zh-CN"/>
              </w:rPr>
              <w:t>建筑</w:t>
            </w:r>
            <w:r>
              <w:rPr>
                <w:rFonts w:ascii="Times New Roman" w:hAnsi="Times New Roman" w:cs="Times New Roman"/>
                <w:color w:val="auto"/>
                <w:sz w:val="24"/>
                <w:szCs w:val="24"/>
              </w:rPr>
              <w:t>面积</w:t>
            </w:r>
            <w:r>
              <w:rPr>
                <w:rFonts w:hint="eastAsia" w:cs="Times New Roman"/>
                <w:color w:val="auto"/>
                <w:sz w:val="24"/>
                <w:szCs w:val="24"/>
                <w:lang w:val="en-US" w:eastAsia="zh-CN"/>
              </w:rPr>
              <w:t>12872.67</w:t>
            </w:r>
            <w:r>
              <w:rPr>
                <w:rFonts w:ascii="Times New Roman" w:hAnsi="Times New Roman" w:cs="Times New Roman"/>
                <w:color w:val="auto"/>
                <w:sz w:val="24"/>
                <w:szCs w:val="24"/>
              </w:rPr>
              <w:t>m</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，经初步核算，本项目挖方</w:t>
            </w:r>
            <w:r>
              <w:rPr>
                <w:rFonts w:hint="eastAsia" w:cs="Times New Roman"/>
                <w:color w:val="auto"/>
                <w:sz w:val="24"/>
                <w:szCs w:val="24"/>
                <w:lang w:val="en-US" w:eastAsia="zh-CN"/>
              </w:rPr>
              <w:t>135163.035</w:t>
            </w:r>
            <w:r>
              <w:rPr>
                <w:rFonts w:ascii="Times New Roman" w:hAnsi="Times New Roman" w:cs="Times New Roman"/>
                <w:color w:val="auto"/>
              </w:rPr>
              <w:t>m</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，覆土层回填</w:t>
            </w:r>
            <w:r>
              <w:rPr>
                <w:rFonts w:hint="eastAsia" w:ascii="Times New Roman" w:hAnsi="Times New Roman" w:cs="Times New Roman"/>
                <w:color w:val="auto"/>
                <w:sz w:val="24"/>
                <w:szCs w:val="24"/>
                <w:lang w:val="en-US" w:eastAsia="zh-CN"/>
              </w:rPr>
              <w:t>1</w:t>
            </w:r>
            <w:r>
              <w:rPr>
                <w:rFonts w:hint="eastAsia" w:cs="Times New Roman"/>
                <w:color w:val="auto"/>
                <w:sz w:val="24"/>
                <w:szCs w:val="24"/>
                <w:lang w:val="en-US" w:eastAsia="zh-CN"/>
              </w:rPr>
              <w:t>000</w:t>
            </w:r>
            <w:r>
              <w:rPr>
                <w:rFonts w:hint="eastAsia" w:ascii="Times New Roman" w:hAnsi="Times New Roman" w:cs="Times New Roman"/>
                <w:color w:val="auto"/>
                <w:sz w:val="24"/>
                <w:szCs w:val="24"/>
                <w:lang w:val="en-US" w:eastAsia="zh-CN"/>
              </w:rPr>
              <w:t>00</w:t>
            </w:r>
            <w:r>
              <w:rPr>
                <w:rFonts w:ascii="Times New Roman" w:hAnsi="Times New Roman" w:cs="Times New Roman"/>
                <w:color w:val="auto"/>
              </w:rPr>
              <w:t>m</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，剩下土石方用于小区内绿化，小区绿化面积</w:t>
            </w:r>
            <w:r>
              <w:rPr>
                <w:rFonts w:hint="eastAsia" w:cs="Times New Roman"/>
                <w:color w:val="auto"/>
                <w:sz w:val="24"/>
                <w:szCs w:val="24"/>
                <w:lang w:val="en-US" w:eastAsia="zh-CN"/>
              </w:rPr>
              <w:t>7808.28</w:t>
            </w:r>
            <w:r>
              <w:rPr>
                <w:rFonts w:ascii="Times New Roman" w:hAnsi="Times New Roman" w:cs="Times New Roman"/>
                <w:color w:val="auto"/>
                <w:sz w:val="24"/>
                <w:szCs w:val="24"/>
              </w:rPr>
              <w:t>m</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，绿化覆土主要以地表草被、灌木、乔木为主，绿化覆土厚度平均按0.6m计，则项目绿化覆土共计</w:t>
            </w:r>
            <w:r>
              <w:rPr>
                <w:rFonts w:hint="eastAsia" w:cs="Times New Roman"/>
                <w:color w:val="auto"/>
                <w:sz w:val="24"/>
                <w:szCs w:val="24"/>
                <w:lang w:val="en-US" w:eastAsia="zh-CN"/>
              </w:rPr>
              <w:t>4684.986</w:t>
            </w:r>
            <w:r>
              <w:rPr>
                <w:rFonts w:ascii="Times New Roman" w:hAnsi="Times New Roman" w:cs="Times New Roman"/>
                <w:color w:val="auto"/>
                <w:sz w:val="24"/>
                <w:szCs w:val="24"/>
              </w:rPr>
              <w:t>m</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，弃方</w:t>
            </w:r>
            <w:r>
              <w:rPr>
                <w:rFonts w:hint="eastAsia" w:cs="Times New Roman"/>
                <w:color w:val="auto"/>
                <w:sz w:val="24"/>
                <w:szCs w:val="24"/>
                <w:lang w:val="en-US" w:eastAsia="zh-CN"/>
              </w:rPr>
              <w:t>30478.049</w:t>
            </w:r>
            <w:r>
              <w:rPr>
                <w:rFonts w:ascii="Times New Roman" w:hAnsi="Times New Roman" w:cs="Times New Roman"/>
                <w:color w:val="auto"/>
                <w:sz w:val="24"/>
                <w:szCs w:val="24"/>
              </w:rPr>
              <w:t>m</w:t>
            </w:r>
            <w:r>
              <w:rPr>
                <w:rFonts w:hint="eastAsia" w:cs="Times New Roman"/>
                <w:color w:val="auto"/>
                <w:sz w:val="24"/>
                <w:szCs w:val="24"/>
                <w:vertAlign w:val="superscript"/>
                <w:lang w:val="en-US" w:eastAsia="zh-CN"/>
              </w:rPr>
              <w:t>3</w:t>
            </w:r>
            <w:r>
              <w:rPr>
                <w:rFonts w:ascii="Times New Roman" w:hAnsi="Times New Roman" w:cs="Times New Roman"/>
                <w:color w:val="auto"/>
              </w:rPr>
              <w:t>，</w:t>
            </w:r>
            <w:r>
              <w:rPr>
                <w:rFonts w:ascii="Times New Roman" w:hAnsi="Times New Roman" w:cs="Times New Roman"/>
                <w:color w:val="auto"/>
                <w:sz w:val="24"/>
                <w:szCs w:val="24"/>
              </w:rPr>
              <w:t>剩余土石方按照相关规定，委托专业的渣土清运公司及时进行处理，弃方运输车辆应当采取密闭措施，不得超载运输，不得车轮带泥，不得遗撒、泄漏。</w:t>
            </w:r>
          </w:p>
          <w:p w14:paraId="2F53415A">
            <w:pPr>
              <w:spacing w:line="360" w:lineRule="auto"/>
              <w:ind w:firstLine="562" w:firstLineChars="200"/>
              <w:rPr>
                <w:rFonts w:hint="eastAsia" w:ascii="Times New Roman" w:hAnsi="Times New Roman" w:eastAsia="宋体" w:cs="Times New Roman"/>
                <w:b/>
                <w:bCs/>
                <w:color w:val="auto"/>
                <w:sz w:val="28"/>
                <w:szCs w:val="28"/>
                <w:lang w:eastAsia="zh-CN"/>
              </w:rPr>
            </w:pPr>
            <w:r>
              <w:rPr>
                <w:rFonts w:hint="eastAsia" w:ascii="Times New Roman" w:hAnsi="Times New Roman" w:cs="Times New Roman"/>
                <w:b/>
                <w:bCs/>
                <w:color w:val="auto"/>
                <w:sz w:val="28"/>
                <w:szCs w:val="28"/>
                <w:lang w:eastAsia="zh-CN"/>
              </w:rPr>
              <w:t>二、运营期</w:t>
            </w:r>
          </w:p>
          <w:p w14:paraId="7D4F2C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2" w:firstLineChars="200"/>
              <w:jc w:val="both"/>
              <w:textAlignment w:val="auto"/>
              <w:outlineLvl w:val="9"/>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1、工艺流程</w:t>
            </w:r>
            <w:r>
              <w:rPr>
                <w:rFonts w:hint="eastAsia" w:ascii="Times New Roman" w:hAnsi="Times New Roman" w:eastAsia="宋体" w:cs="Times New Roman"/>
                <w:b/>
                <w:bCs/>
                <w:color w:val="auto"/>
                <w:sz w:val="24"/>
                <w:szCs w:val="24"/>
                <w:vertAlign w:val="baseline"/>
                <w:lang w:val="en-US" w:eastAsia="zh-CN"/>
              </w:rPr>
              <w:t>及产污节点分析</w:t>
            </w:r>
          </w:p>
          <w:p w14:paraId="167915FE">
            <w:pPr>
              <w:spacing w:line="360" w:lineRule="auto"/>
              <w:ind w:firstLine="480" w:firstLineChars="200"/>
              <w:rPr>
                <w:rFonts w:hint="eastAsia"/>
                <w:color w:val="auto"/>
                <w:sz w:val="24"/>
              </w:rPr>
            </w:pPr>
            <w:r>
              <w:rPr>
                <w:rFonts w:hint="eastAsia"/>
                <w:color w:val="auto"/>
                <w:sz w:val="24"/>
              </w:rPr>
              <w:t>本项目为房地产开发项目，运营期无生产工艺流程。</w:t>
            </w:r>
          </w:p>
          <w:p w14:paraId="45B9F0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2、</w:t>
            </w:r>
            <w:r>
              <w:rPr>
                <w:rFonts w:hint="default" w:ascii="Times New Roman" w:hAnsi="Times New Roman" w:eastAsia="宋体" w:cs="Times New Roman"/>
                <w:b/>
                <w:color w:val="auto"/>
                <w:sz w:val="24"/>
                <w:szCs w:val="24"/>
              </w:rPr>
              <w:t>污染因子分析</w:t>
            </w:r>
          </w:p>
          <w:p w14:paraId="225A4FFA">
            <w:pPr>
              <w:spacing w:line="360" w:lineRule="auto"/>
              <w:ind w:firstLine="480" w:firstLineChars="200"/>
              <w:outlineLvl w:val="0"/>
              <w:rPr>
                <w:rFonts w:ascii="Times New Roman" w:hAnsi="Times New Roman" w:cs="Times New Roman"/>
                <w:color w:val="auto"/>
                <w:sz w:val="24"/>
                <w:szCs w:val="24"/>
              </w:rPr>
            </w:pPr>
            <w:bookmarkStart w:id="46" w:name="_Toc22507"/>
            <w:r>
              <w:rPr>
                <w:rFonts w:ascii="Times New Roman" w:hAnsi="Times New Roman" w:cs="Times New Roman"/>
                <w:color w:val="auto"/>
                <w:sz w:val="24"/>
                <w:szCs w:val="24"/>
              </w:rPr>
              <w:t>本项目营运期产生的主要污染有废气、废水和固体废弃物、噪声。</w:t>
            </w:r>
            <w:bookmarkEnd w:id="46"/>
          </w:p>
          <w:p w14:paraId="1574735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0"/>
              <w:rPr>
                <w:rFonts w:ascii="Times New Roman" w:hAnsi="Times New Roman" w:cs="Times New Roman"/>
                <w:color w:val="auto"/>
                <w:sz w:val="24"/>
                <w:szCs w:val="24"/>
              </w:rPr>
            </w:pPr>
            <w:bookmarkStart w:id="47" w:name="_Toc10162"/>
            <w:r>
              <w:rPr>
                <w:rFonts w:hint="eastAsia" w:ascii="Times New Roman" w:hAnsi="Times New Roman" w:cs="Times New Roman"/>
                <w:color w:val="auto"/>
                <w:sz w:val="24"/>
                <w:szCs w:val="24"/>
                <w:lang w:val="en-US" w:eastAsia="zh-CN"/>
              </w:rPr>
              <w:t>2.1、</w:t>
            </w:r>
            <w:r>
              <w:rPr>
                <w:rFonts w:ascii="Times New Roman" w:hAnsi="Times New Roman" w:cs="Times New Roman"/>
                <w:color w:val="auto"/>
                <w:sz w:val="24"/>
                <w:szCs w:val="24"/>
              </w:rPr>
              <w:t>废气</w:t>
            </w:r>
            <w:bookmarkEnd w:id="47"/>
          </w:p>
          <w:p w14:paraId="7AF85E2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主要是居民厨房油烟、天然气燃烧废气、地下车库车辆尾气、垃圾存放点恶臭。</w:t>
            </w:r>
          </w:p>
          <w:p w14:paraId="000FEB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2.2、</w:t>
            </w:r>
            <w:r>
              <w:rPr>
                <w:rFonts w:ascii="Times New Roman" w:hAnsi="Times New Roman" w:cs="Times New Roman"/>
                <w:color w:val="auto"/>
                <w:sz w:val="24"/>
                <w:szCs w:val="24"/>
              </w:rPr>
              <w:t>废水</w:t>
            </w:r>
          </w:p>
          <w:p w14:paraId="0A61A77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主要为商业区、住宅区、</w:t>
            </w:r>
            <w:r>
              <w:rPr>
                <w:rFonts w:hint="eastAsia" w:cs="Times New Roman"/>
                <w:color w:val="auto"/>
                <w:sz w:val="24"/>
                <w:szCs w:val="24"/>
                <w:lang w:eastAsia="zh-CN"/>
              </w:rPr>
              <w:t>配套公建设施用房的生活污水、</w:t>
            </w:r>
            <w:r>
              <w:rPr>
                <w:rFonts w:hint="eastAsia" w:ascii="Times New Roman" w:hAnsi="Times New Roman" w:cs="Times New Roman"/>
                <w:color w:val="auto"/>
                <w:sz w:val="24"/>
                <w:szCs w:val="24"/>
                <w:lang w:eastAsia="zh-CN"/>
              </w:rPr>
              <w:t>地下车库清洗</w:t>
            </w:r>
            <w:r>
              <w:rPr>
                <w:rFonts w:hint="eastAsia" w:cs="Times New Roman"/>
                <w:color w:val="auto"/>
                <w:sz w:val="24"/>
                <w:szCs w:val="24"/>
                <w:lang w:eastAsia="zh-CN"/>
              </w:rPr>
              <w:t>废</w:t>
            </w:r>
            <w:r>
              <w:rPr>
                <w:rFonts w:hint="eastAsia" w:ascii="Times New Roman" w:hAnsi="Times New Roman" w:cs="Times New Roman"/>
                <w:color w:val="auto"/>
                <w:sz w:val="24"/>
                <w:szCs w:val="24"/>
                <w:lang w:eastAsia="zh-CN"/>
              </w:rPr>
              <w:t>水</w:t>
            </w:r>
            <w:r>
              <w:rPr>
                <w:rFonts w:ascii="Times New Roman" w:hAnsi="Times New Roman" w:cs="Times New Roman"/>
                <w:color w:val="auto"/>
                <w:sz w:val="24"/>
                <w:szCs w:val="24"/>
              </w:rPr>
              <w:t>。</w:t>
            </w:r>
          </w:p>
          <w:p w14:paraId="1C58EFD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0"/>
              <w:rPr>
                <w:rFonts w:ascii="Times New Roman" w:hAnsi="Times New Roman" w:cs="Times New Roman"/>
                <w:color w:val="auto"/>
                <w:sz w:val="24"/>
                <w:szCs w:val="24"/>
              </w:rPr>
            </w:pPr>
            <w:bookmarkStart w:id="48" w:name="_Toc31578"/>
            <w:r>
              <w:rPr>
                <w:rFonts w:hint="eastAsia" w:ascii="Times New Roman" w:hAnsi="Times New Roman" w:cs="Times New Roman"/>
                <w:color w:val="auto"/>
                <w:sz w:val="24"/>
                <w:szCs w:val="24"/>
                <w:lang w:val="en-US" w:eastAsia="zh-CN"/>
              </w:rPr>
              <w:t>2.3、</w:t>
            </w:r>
            <w:r>
              <w:rPr>
                <w:rFonts w:ascii="Times New Roman" w:hAnsi="Times New Roman" w:cs="Times New Roman"/>
                <w:color w:val="auto"/>
                <w:sz w:val="24"/>
                <w:szCs w:val="24"/>
              </w:rPr>
              <w:t>噪声</w:t>
            </w:r>
            <w:bookmarkEnd w:id="48"/>
          </w:p>
          <w:p w14:paraId="64CE8AA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主要噪声源为</w:t>
            </w:r>
            <w:r>
              <w:rPr>
                <w:rFonts w:hint="eastAsia" w:cs="Times New Roman"/>
                <w:color w:val="auto"/>
                <w:sz w:val="24"/>
                <w:szCs w:val="24"/>
                <w:lang w:eastAsia="zh-CN"/>
              </w:rPr>
              <w:t>变压器、</w:t>
            </w:r>
            <w:r>
              <w:rPr>
                <w:rFonts w:ascii="Times New Roman" w:hAnsi="Times New Roman" w:cs="Times New Roman"/>
                <w:color w:val="auto"/>
                <w:sz w:val="24"/>
                <w:szCs w:val="24"/>
              </w:rPr>
              <w:t>水泵、地下车库抽排风用风机等设备</w:t>
            </w:r>
            <w:r>
              <w:rPr>
                <w:rFonts w:hint="eastAsia" w:ascii="Times New Roman" w:hAnsi="Times New Roman" w:cs="Times New Roman"/>
                <w:color w:val="auto"/>
                <w:sz w:val="24"/>
                <w:szCs w:val="24"/>
                <w:lang w:eastAsia="zh-CN"/>
              </w:rPr>
              <w:t>工作噪声</w:t>
            </w:r>
            <w:r>
              <w:rPr>
                <w:rFonts w:ascii="Times New Roman" w:hAnsi="Times New Roman" w:cs="Times New Roman"/>
                <w:color w:val="auto"/>
                <w:sz w:val="24"/>
                <w:szCs w:val="24"/>
              </w:rPr>
              <w:t>，以及车库的机动车噪声、商业区域噪声。</w:t>
            </w:r>
          </w:p>
          <w:p w14:paraId="5FD32ED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2.4、</w:t>
            </w:r>
            <w:r>
              <w:rPr>
                <w:rFonts w:ascii="Times New Roman" w:hAnsi="Times New Roman" w:cs="Times New Roman"/>
                <w:color w:val="auto"/>
                <w:sz w:val="24"/>
                <w:szCs w:val="24"/>
              </w:rPr>
              <w:t>固体废弃物</w:t>
            </w:r>
          </w:p>
          <w:p w14:paraId="0B4A6C1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主要是</w:t>
            </w:r>
            <w:r>
              <w:rPr>
                <w:rFonts w:hint="eastAsia" w:ascii="Times New Roman" w:hAnsi="Times New Roman"/>
                <w:color w:val="auto"/>
                <w:sz w:val="24"/>
              </w:rPr>
              <w:t>居民</w:t>
            </w:r>
            <w:r>
              <w:rPr>
                <w:rFonts w:ascii="Times New Roman" w:hAnsi="Times New Roman"/>
                <w:color w:val="auto"/>
                <w:sz w:val="24"/>
              </w:rPr>
              <w:t>生活垃圾</w:t>
            </w:r>
            <w:r>
              <w:rPr>
                <w:rFonts w:hint="eastAsia" w:ascii="Times New Roman" w:hAnsi="Times New Roman"/>
                <w:color w:val="auto"/>
                <w:sz w:val="24"/>
              </w:rPr>
              <w:t>、商业</w:t>
            </w:r>
            <w:r>
              <w:rPr>
                <w:rFonts w:hint="eastAsia" w:ascii="Times New Roman" w:hAnsi="Times New Roman"/>
                <w:color w:val="auto"/>
                <w:sz w:val="24"/>
                <w:lang w:eastAsia="zh-CN"/>
              </w:rPr>
              <w:t>区</w:t>
            </w:r>
            <w:r>
              <w:rPr>
                <w:rFonts w:hint="eastAsia" w:ascii="Times New Roman" w:hAnsi="Times New Roman"/>
                <w:color w:val="auto"/>
                <w:sz w:val="24"/>
              </w:rPr>
              <w:t>垃圾</w:t>
            </w:r>
            <w:r>
              <w:rPr>
                <w:rFonts w:hint="eastAsia" w:ascii="Times New Roman" w:hAnsi="Times New Roman"/>
                <w:color w:val="auto"/>
                <w:sz w:val="24"/>
                <w:lang w:eastAsia="zh-CN"/>
              </w:rPr>
              <w:t>、</w:t>
            </w:r>
            <w:r>
              <w:rPr>
                <w:rFonts w:hint="eastAsia" w:cs="Times New Roman"/>
                <w:color w:val="auto"/>
                <w:sz w:val="24"/>
                <w:szCs w:val="24"/>
                <w:lang w:eastAsia="zh-CN"/>
              </w:rPr>
              <w:t>配套公建设施用房</w:t>
            </w:r>
            <w:r>
              <w:rPr>
                <w:rFonts w:hint="eastAsia" w:ascii="Times New Roman" w:hAnsi="Times New Roman"/>
                <w:color w:val="auto"/>
                <w:sz w:val="24"/>
              </w:rPr>
              <w:t>垃圾</w:t>
            </w:r>
            <w:r>
              <w:rPr>
                <w:rFonts w:ascii="Times New Roman" w:hAnsi="Times New Roman" w:cs="Times New Roman"/>
                <w:color w:val="auto"/>
                <w:sz w:val="24"/>
                <w:szCs w:val="24"/>
              </w:rPr>
              <w:t>。</w:t>
            </w:r>
          </w:p>
          <w:p w14:paraId="418050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2" w:firstLineChars="200"/>
              <w:jc w:val="both"/>
              <w:textAlignment w:val="auto"/>
              <w:outlineLvl w:val="9"/>
              <w:rPr>
                <w:rFonts w:hint="eastAsia" w:ascii="Times New Roman" w:hAnsi="Times New Roman" w:eastAsia="宋体" w:cs="Times New Roman"/>
                <w:b/>
                <w:bCs/>
                <w:color w:val="auto"/>
                <w:sz w:val="24"/>
                <w:szCs w:val="24"/>
                <w:vertAlign w:val="baseline"/>
                <w:lang w:val="en-US" w:eastAsia="zh-CN"/>
              </w:rPr>
            </w:pPr>
            <w:r>
              <w:rPr>
                <w:rFonts w:hint="eastAsia" w:ascii="Times New Roman" w:hAnsi="Times New Roman" w:eastAsia="宋体" w:cs="Times New Roman"/>
                <w:b/>
                <w:bCs/>
                <w:color w:val="auto"/>
                <w:sz w:val="24"/>
                <w:szCs w:val="24"/>
                <w:vertAlign w:val="baseline"/>
                <w:lang w:val="en-US" w:eastAsia="zh-CN"/>
              </w:rPr>
              <w:t>3、污染源强分析</w:t>
            </w:r>
          </w:p>
          <w:p w14:paraId="09AA4E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lang w:val="en-US" w:eastAsia="zh-CN"/>
              </w:rPr>
            </w:pPr>
            <w:r>
              <w:rPr>
                <w:rFonts w:hint="eastAsia" w:ascii="Times New Roman" w:hAnsi="Times New Roman" w:cs="Times New Roman"/>
                <w:color w:val="auto"/>
                <w:sz w:val="24"/>
                <w:szCs w:val="24"/>
                <w:lang w:val="en-US" w:eastAsia="zh-CN"/>
              </w:rPr>
              <w:t>3.1运营期废气</w:t>
            </w:r>
          </w:p>
          <w:p w14:paraId="0A321E8A">
            <w:pPr>
              <w:spacing w:line="360" w:lineRule="auto"/>
              <w:ind w:firstLine="480"/>
              <w:rPr>
                <w:rFonts w:ascii="Times New Roman" w:hAnsi="Times New Roman" w:cs="Times New Roman"/>
                <w:color w:val="auto"/>
                <w:sz w:val="24"/>
                <w:szCs w:val="24"/>
              </w:rPr>
            </w:pPr>
            <w:r>
              <w:rPr>
                <w:rFonts w:ascii="Times New Roman" w:hAnsi="Times New Roman" w:cs="Times New Roman"/>
                <w:color w:val="auto"/>
                <w:sz w:val="24"/>
                <w:szCs w:val="24"/>
              </w:rPr>
              <w:t>营运期废气污染源主要为居民产生的厨房油烟废气、天然气燃烧废气、汽车排放的汽车尾气、垃圾收集点恶臭等。</w:t>
            </w:r>
          </w:p>
          <w:p w14:paraId="285DA1C4">
            <w:pPr>
              <w:pStyle w:val="5"/>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cs="Times New Roman"/>
                <w:color w:val="auto"/>
                <w:sz w:val="24"/>
                <w:szCs w:val="24"/>
              </w:rPr>
            </w:pPr>
            <w:r>
              <w:rPr>
                <w:rFonts w:hint="default" w:ascii="Times New Roman" w:hAnsi="Times New Roman" w:cs="Times New Roman"/>
                <w:bCs/>
                <w:color w:val="auto"/>
                <w:sz w:val="24"/>
                <w:szCs w:val="24"/>
              </w:rPr>
              <w:t>居民</w:t>
            </w:r>
            <w:r>
              <w:rPr>
                <w:rFonts w:ascii="Times New Roman" w:hAnsi="Times New Roman" w:cs="Times New Roman"/>
                <w:color w:val="auto"/>
                <w:sz w:val="24"/>
                <w:szCs w:val="24"/>
              </w:rPr>
              <w:t>厨房油烟</w:t>
            </w:r>
          </w:p>
          <w:p w14:paraId="2E6A6C58">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根据本地区居民饮食习惯，每户食用油用量约为0.15kg/天，烹饪过程中挥发至空气中的油烟为食用油的3%，</w:t>
            </w:r>
            <w:r>
              <w:rPr>
                <w:rFonts w:hint="eastAsia" w:cs="Times New Roman"/>
                <w:bCs/>
                <w:color w:val="auto"/>
                <w:sz w:val="24"/>
                <w:szCs w:val="24"/>
                <w:lang w:eastAsia="zh-CN"/>
              </w:rPr>
              <w:t>则</w:t>
            </w:r>
            <w:r>
              <w:rPr>
                <w:rFonts w:hint="default" w:ascii="Times New Roman" w:hAnsi="Times New Roman" w:cs="Times New Roman"/>
                <w:bCs/>
                <w:color w:val="auto"/>
                <w:sz w:val="24"/>
                <w:szCs w:val="24"/>
              </w:rPr>
              <w:t>项目产生的油烟每户每天约为0.0045kg，总户数</w:t>
            </w:r>
            <w:r>
              <w:rPr>
                <w:rFonts w:hint="eastAsia" w:cs="Times New Roman"/>
                <w:bCs/>
                <w:color w:val="auto"/>
                <w:sz w:val="24"/>
                <w:szCs w:val="24"/>
                <w:lang w:eastAsia="zh-CN"/>
              </w:rPr>
              <w:t>为</w:t>
            </w:r>
            <w:r>
              <w:rPr>
                <w:rFonts w:hint="eastAsia" w:cs="Times New Roman"/>
                <w:bCs/>
                <w:color w:val="auto"/>
                <w:sz w:val="24"/>
                <w:szCs w:val="24"/>
                <w:lang w:val="en-US" w:eastAsia="zh-CN"/>
              </w:rPr>
              <w:t>660</w:t>
            </w:r>
            <w:r>
              <w:rPr>
                <w:rFonts w:hint="default" w:ascii="Times New Roman" w:hAnsi="Times New Roman" w:cs="Times New Roman"/>
                <w:bCs/>
                <w:color w:val="auto"/>
                <w:sz w:val="24"/>
                <w:szCs w:val="24"/>
              </w:rPr>
              <w:t>户，</w:t>
            </w:r>
            <w:r>
              <w:rPr>
                <w:rFonts w:hint="eastAsia" w:cs="Times New Roman"/>
                <w:bCs/>
                <w:color w:val="auto"/>
                <w:sz w:val="24"/>
                <w:szCs w:val="24"/>
                <w:lang w:eastAsia="zh-CN"/>
              </w:rPr>
              <w:t>一年按</w:t>
            </w:r>
            <w:r>
              <w:rPr>
                <w:rFonts w:hint="eastAsia" w:cs="Times New Roman"/>
                <w:bCs/>
                <w:color w:val="auto"/>
                <w:sz w:val="24"/>
                <w:szCs w:val="24"/>
                <w:lang w:val="en-US" w:eastAsia="zh-CN"/>
              </w:rPr>
              <w:t>365天计，则</w:t>
            </w:r>
            <w:r>
              <w:rPr>
                <w:rFonts w:hint="default" w:ascii="Times New Roman" w:hAnsi="Times New Roman" w:cs="Times New Roman"/>
                <w:bCs/>
                <w:color w:val="auto"/>
                <w:sz w:val="24"/>
                <w:szCs w:val="24"/>
              </w:rPr>
              <w:t>居民烹饪油烟年产生总量约为</w:t>
            </w:r>
            <w:r>
              <w:rPr>
                <w:rFonts w:hint="eastAsia" w:cs="Times New Roman"/>
                <w:bCs/>
                <w:color w:val="auto"/>
                <w:sz w:val="24"/>
                <w:szCs w:val="24"/>
                <w:lang w:val="en-US" w:eastAsia="zh-CN"/>
              </w:rPr>
              <w:t>1.084</w:t>
            </w:r>
            <w:r>
              <w:rPr>
                <w:rFonts w:hint="default" w:ascii="Times New Roman" w:hAnsi="Times New Roman" w:cs="Times New Roman"/>
                <w:bCs/>
                <w:color w:val="auto"/>
                <w:sz w:val="24"/>
                <w:szCs w:val="24"/>
              </w:rPr>
              <w:t>t。拟建项目在厨房内设计了内置排油烟道，并预留了油烟净化器的安装位置，产生的油烟净化后经内置式排油烟道引至各楼栋屋顶排放。</w:t>
            </w:r>
            <w:r>
              <w:rPr>
                <w:rFonts w:hAnsi="宋体"/>
                <w:color w:val="auto"/>
                <w:sz w:val="24"/>
              </w:rPr>
              <w:t>一般居民均采用家用抽油烟机，油烟平均去除率按</w:t>
            </w:r>
            <w:r>
              <w:rPr>
                <w:color w:val="auto"/>
                <w:sz w:val="24"/>
              </w:rPr>
              <w:t>80%</w:t>
            </w:r>
            <w:r>
              <w:rPr>
                <w:rFonts w:hAnsi="宋体"/>
                <w:color w:val="auto"/>
                <w:sz w:val="24"/>
              </w:rPr>
              <w:t>计，经过油烟器净化处理后排放量为</w:t>
            </w:r>
            <w:r>
              <w:rPr>
                <w:rFonts w:hint="eastAsia" w:hAnsi="宋体"/>
                <w:color w:val="auto"/>
                <w:sz w:val="24"/>
                <w:lang w:val="en-US" w:eastAsia="zh-CN"/>
              </w:rPr>
              <w:t>0.2168</w:t>
            </w:r>
            <w:r>
              <w:rPr>
                <w:color w:val="auto"/>
                <w:sz w:val="24"/>
              </w:rPr>
              <w:t>t/a</w:t>
            </w:r>
            <w:r>
              <w:rPr>
                <w:rFonts w:hAnsi="宋体"/>
                <w:color w:val="auto"/>
                <w:sz w:val="24"/>
              </w:rPr>
              <w:t>。</w:t>
            </w:r>
          </w:p>
          <w:p w14:paraId="78D0A6A9">
            <w:pPr>
              <w:pStyle w:val="9"/>
              <w:spacing w:line="360" w:lineRule="auto"/>
              <w:ind w:firstLine="480" w:firstLineChars="200"/>
              <w:rPr>
                <w:rFonts w:hint="eastAsia" w:ascii="Times New Roman" w:hAnsi="Times New Roman"/>
                <w:color w:val="auto"/>
                <w:kern w:val="0"/>
                <w:sz w:val="24"/>
                <w:szCs w:val="24"/>
                <w:lang w:val="en-US" w:eastAsia="zh-CN"/>
              </w:rPr>
            </w:pPr>
            <w:r>
              <w:rPr>
                <w:rFonts w:hint="eastAsia" w:ascii="Times New Roman" w:hAnsi="Times New Roman"/>
                <w:color w:val="auto"/>
                <w:kern w:val="0"/>
                <w:sz w:val="24"/>
                <w:szCs w:val="24"/>
                <w:lang w:val="en-US" w:eastAsia="zh-CN"/>
              </w:rPr>
              <w:t>（2）天然气废气</w:t>
            </w:r>
          </w:p>
          <w:p w14:paraId="2DD22AD1">
            <w:pPr>
              <w:pStyle w:val="9"/>
              <w:spacing w:line="360" w:lineRule="auto"/>
              <w:ind w:firstLine="480" w:firstLineChars="200"/>
              <w:rPr>
                <w:rFonts w:hint="eastAsia" w:ascii="Times New Roman" w:hAnsi="宋体"/>
                <w:color w:val="auto"/>
                <w:sz w:val="24"/>
                <w:lang w:val="en-US" w:eastAsia="zh-CN"/>
              </w:rPr>
            </w:pPr>
            <w:r>
              <w:rPr>
                <w:rFonts w:ascii="Times New Roman" w:hAnsi="宋体"/>
                <w:color w:val="auto"/>
                <w:kern w:val="0"/>
                <w:sz w:val="24"/>
                <w:szCs w:val="24"/>
                <w:lang w:val="en-US" w:eastAsia="zh-CN"/>
              </w:rPr>
              <w:t>本项目建成后住宅居民采用天然气为燃料，居民人均用气量</w:t>
            </w:r>
            <w:r>
              <w:rPr>
                <w:rFonts w:ascii="Times New Roman" w:hAnsi="宋体"/>
                <w:color w:val="auto"/>
                <w:sz w:val="24"/>
                <w:lang w:val="en-US" w:eastAsia="zh-CN"/>
              </w:rPr>
              <w:t>按</w:t>
            </w:r>
            <w:r>
              <w:rPr>
                <w:rFonts w:ascii="Times New Roman" w:hAnsi="Times New Roman"/>
                <w:color w:val="auto"/>
                <w:sz w:val="24"/>
                <w:lang w:val="en-US" w:eastAsia="zh-CN"/>
              </w:rPr>
              <w:t>0.35m</w:t>
            </w:r>
            <w:r>
              <w:rPr>
                <w:rFonts w:ascii="Times New Roman" w:hAnsi="Times New Roman"/>
                <w:color w:val="auto"/>
                <w:sz w:val="24"/>
                <w:vertAlign w:val="superscript"/>
                <w:lang w:val="en-US" w:eastAsia="zh-CN"/>
              </w:rPr>
              <w:t>3</w:t>
            </w:r>
            <w:r>
              <w:rPr>
                <w:rFonts w:ascii="Times New Roman" w:hAnsi="Times New Roman"/>
                <w:color w:val="auto"/>
                <w:sz w:val="24"/>
                <w:lang w:val="en-US" w:eastAsia="zh-CN"/>
              </w:rPr>
              <w:t>/d</w:t>
            </w:r>
            <w:r>
              <w:rPr>
                <w:rFonts w:ascii="Times New Roman" w:hAnsi="宋体"/>
                <w:color w:val="auto"/>
                <w:sz w:val="24"/>
                <w:lang w:val="en-US" w:eastAsia="zh-CN"/>
              </w:rPr>
              <w:t>计，用气人口按</w:t>
            </w:r>
            <w:r>
              <w:rPr>
                <w:rFonts w:hint="eastAsia" w:ascii="Times New Roman" w:hAnsi="宋体"/>
                <w:color w:val="auto"/>
                <w:sz w:val="24"/>
                <w:lang w:val="en-US" w:eastAsia="zh-CN"/>
              </w:rPr>
              <w:t>2112</w:t>
            </w:r>
            <w:r>
              <w:rPr>
                <w:rFonts w:ascii="Times New Roman" w:hAnsi="宋体"/>
                <w:color w:val="auto"/>
                <w:sz w:val="24"/>
                <w:lang w:val="en-US" w:eastAsia="zh-CN"/>
              </w:rPr>
              <w:t>人计，日用气量为</w:t>
            </w:r>
            <w:r>
              <w:rPr>
                <w:rFonts w:hint="eastAsia" w:ascii="Times New Roman" w:hAnsi="宋体"/>
                <w:color w:val="auto"/>
                <w:sz w:val="24"/>
                <w:lang w:val="en-US" w:eastAsia="zh-CN"/>
              </w:rPr>
              <w:t>739.2</w:t>
            </w:r>
            <w:r>
              <w:rPr>
                <w:rFonts w:ascii="Times New Roman" w:hAnsi="Times New Roman"/>
                <w:color w:val="auto"/>
                <w:sz w:val="24"/>
                <w:lang w:val="en-US" w:eastAsia="zh-CN"/>
              </w:rPr>
              <w:t>m</w:t>
            </w:r>
            <w:r>
              <w:rPr>
                <w:rFonts w:ascii="Times New Roman" w:hAnsi="Times New Roman"/>
                <w:color w:val="auto"/>
                <w:sz w:val="24"/>
                <w:vertAlign w:val="superscript"/>
                <w:lang w:val="en-US" w:eastAsia="zh-CN"/>
              </w:rPr>
              <w:t>3</w:t>
            </w:r>
            <w:r>
              <w:rPr>
                <w:rFonts w:ascii="Times New Roman" w:hAnsi="Times New Roman"/>
                <w:color w:val="auto"/>
                <w:sz w:val="24"/>
                <w:lang w:val="en-US" w:eastAsia="zh-CN"/>
              </w:rPr>
              <w:t>/d</w:t>
            </w:r>
            <w:r>
              <w:rPr>
                <w:rFonts w:ascii="Times New Roman" w:hAnsi="宋体"/>
                <w:color w:val="auto"/>
                <w:sz w:val="24"/>
                <w:lang w:val="en-US" w:eastAsia="zh-CN"/>
              </w:rPr>
              <w:t>，并考虑</w:t>
            </w:r>
            <w:r>
              <w:rPr>
                <w:rFonts w:ascii="Times New Roman" w:hAnsi="Times New Roman"/>
                <w:color w:val="auto"/>
                <w:sz w:val="24"/>
                <w:lang w:val="en-US" w:eastAsia="zh-CN"/>
              </w:rPr>
              <w:t>10%</w:t>
            </w:r>
            <w:r>
              <w:rPr>
                <w:rFonts w:ascii="Times New Roman" w:hAnsi="宋体"/>
                <w:color w:val="auto"/>
                <w:sz w:val="24"/>
                <w:lang w:val="en-US" w:eastAsia="zh-CN"/>
              </w:rPr>
              <w:t>的不可预见用气量，则全年用气量约为</w:t>
            </w:r>
            <w:r>
              <w:rPr>
                <w:rFonts w:hint="eastAsia" w:ascii="Times New Roman" w:hAnsi="宋体"/>
                <w:color w:val="auto"/>
                <w:sz w:val="24"/>
                <w:lang w:val="en-US" w:eastAsia="zh-CN"/>
              </w:rPr>
              <w:t>296788.8</w:t>
            </w:r>
            <w:r>
              <w:rPr>
                <w:rFonts w:ascii="Times New Roman" w:hAnsi="Times New Roman"/>
                <w:color w:val="auto"/>
                <w:sz w:val="24"/>
                <w:lang w:val="en-US" w:eastAsia="zh-CN"/>
              </w:rPr>
              <w:t>m</w:t>
            </w:r>
            <w:r>
              <w:rPr>
                <w:rFonts w:ascii="Times New Roman" w:hAnsi="Times New Roman"/>
                <w:color w:val="auto"/>
                <w:sz w:val="24"/>
                <w:vertAlign w:val="superscript"/>
                <w:lang w:val="en-US" w:eastAsia="zh-CN"/>
              </w:rPr>
              <w:t>3</w:t>
            </w:r>
            <w:r>
              <w:rPr>
                <w:rFonts w:ascii="Times New Roman" w:hAnsi="Times New Roman"/>
                <w:color w:val="auto"/>
                <w:sz w:val="24"/>
                <w:lang w:val="en-US" w:eastAsia="zh-CN"/>
              </w:rPr>
              <w:t>/a</w:t>
            </w:r>
            <w:r>
              <w:rPr>
                <w:rFonts w:hint="eastAsia" w:ascii="Times New Roman" w:hAnsi="Times New Roman"/>
                <w:color w:val="auto"/>
                <w:sz w:val="24"/>
                <w:lang w:val="en-US" w:eastAsia="zh-CN"/>
              </w:rPr>
              <w:t>（一年按365天计）</w:t>
            </w:r>
            <w:r>
              <w:rPr>
                <w:rFonts w:ascii="Times New Roman" w:hAnsi="宋体"/>
                <w:color w:val="auto"/>
                <w:sz w:val="24"/>
                <w:lang w:val="en-US" w:eastAsia="zh-CN"/>
              </w:rPr>
              <w:t>。</w:t>
            </w:r>
            <w:r>
              <w:rPr>
                <w:rFonts w:hint="eastAsia" w:ascii="Times New Roman" w:hAnsi="宋体"/>
                <w:color w:val="auto"/>
                <w:sz w:val="24"/>
                <w:lang w:val="en-US" w:eastAsia="zh-CN"/>
              </w:rPr>
              <w:t>根据《环境影响评价工程师职业资格登记培训教材—社会区域》，燃烧1000m</w:t>
            </w:r>
            <w:r>
              <w:rPr>
                <w:rFonts w:hint="eastAsia" w:ascii="Times New Roman" w:hAnsi="宋体"/>
                <w:color w:val="auto"/>
                <w:sz w:val="24"/>
                <w:vertAlign w:val="superscript"/>
                <w:lang w:val="en-US" w:eastAsia="zh-CN"/>
              </w:rPr>
              <w:t>3</w:t>
            </w:r>
            <w:r>
              <w:rPr>
                <w:rFonts w:hint="eastAsia" w:ascii="Times New Roman" w:hAnsi="宋体"/>
                <w:color w:val="auto"/>
                <w:sz w:val="24"/>
                <w:lang w:val="en-US" w:eastAsia="zh-CN"/>
              </w:rPr>
              <w:t>天然气产生TSP：0.14kg、SO</w:t>
            </w:r>
            <w:r>
              <w:rPr>
                <w:rFonts w:hint="eastAsia" w:ascii="Times New Roman" w:hAnsi="宋体"/>
                <w:color w:val="auto"/>
                <w:sz w:val="24"/>
                <w:vertAlign w:val="subscript"/>
                <w:lang w:val="en-US" w:eastAsia="zh-CN"/>
              </w:rPr>
              <w:t>2</w:t>
            </w:r>
            <w:r>
              <w:rPr>
                <w:rFonts w:hint="eastAsia" w:ascii="Times New Roman" w:hAnsi="宋体"/>
                <w:color w:val="auto"/>
                <w:sz w:val="24"/>
                <w:lang w:val="en-US" w:eastAsia="zh-CN"/>
              </w:rPr>
              <w:t>：0.18kg、NO</w:t>
            </w:r>
            <w:r>
              <w:rPr>
                <w:rFonts w:hint="eastAsia" w:ascii="Times New Roman" w:hAnsi="宋体"/>
                <w:color w:val="auto"/>
                <w:sz w:val="24"/>
                <w:vertAlign w:val="subscript"/>
                <w:lang w:val="en-US" w:eastAsia="zh-CN"/>
              </w:rPr>
              <w:t>X</w:t>
            </w:r>
            <w:r>
              <w:rPr>
                <w:rFonts w:hint="eastAsia" w:ascii="Times New Roman" w:hAnsi="宋体"/>
                <w:color w:val="auto"/>
                <w:sz w:val="24"/>
                <w:lang w:val="en-US" w:eastAsia="zh-CN"/>
              </w:rPr>
              <w:t>：1.76kg。则本项目天然气燃烧废气产生情况为TSP：41.55kg/a、SO</w:t>
            </w:r>
            <w:r>
              <w:rPr>
                <w:rFonts w:hint="eastAsia" w:ascii="Times New Roman" w:hAnsi="宋体"/>
                <w:color w:val="auto"/>
                <w:sz w:val="24"/>
                <w:vertAlign w:val="subscript"/>
                <w:lang w:val="en-US" w:eastAsia="zh-CN"/>
              </w:rPr>
              <w:t>2</w:t>
            </w:r>
            <w:r>
              <w:rPr>
                <w:rFonts w:hint="eastAsia" w:ascii="Times New Roman" w:hAnsi="宋体"/>
                <w:color w:val="auto"/>
                <w:sz w:val="24"/>
                <w:lang w:val="en-US" w:eastAsia="zh-CN"/>
              </w:rPr>
              <w:t>：53.42kg/a、NO</w:t>
            </w:r>
            <w:r>
              <w:rPr>
                <w:rFonts w:hint="eastAsia" w:ascii="Times New Roman" w:hAnsi="宋体"/>
                <w:color w:val="auto"/>
                <w:sz w:val="24"/>
                <w:vertAlign w:val="subscript"/>
                <w:lang w:val="en-US" w:eastAsia="zh-CN"/>
              </w:rPr>
              <w:t>X</w:t>
            </w:r>
            <w:r>
              <w:rPr>
                <w:rFonts w:hint="eastAsia" w:ascii="Times New Roman" w:hAnsi="宋体"/>
                <w:color w:val="auto"/>
                <w:sz w:val="24"/>
                <w:lang w:val="en-US" w:eastAsia="zh-CN"/>
              </w:rPr>
              <w:t>：522.35kg/a。</w:t>
            </w:r>
          </w:p>
          <w:p w14:paraId="1E75F41F">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cs="Times New Roman"/>
                <w:color w:val="auto"/>
                <w:sz w:val="24"/>
                <w:szCs w:val="24"/>
              </w:rPr>
            </w:pPr>
            <w:r>
              <w:rPr>
                <w:rFonts w:hint="eastAsia" w:cs="Times New Roman"/>
                <w:color w:val="auto"/>
                <w:sz w:val="24"/>
                <w:szCs w:val="24"/>
                <w:lang w:eastAsia="zh-CN"/>
              </w:rPr>
              <w:t>（</w:t>
            </w:r>
            <w:r>
              <w:rPr>
                <w:rFonts w:hint="eastAsia" w:cs="Times New Roman"/>
                <w:color w:val="auto"/>
                <w:sz w:val="24"/>
                <w:szCs w:val="24"/>
                <w:lang w:val="en-US" w:eastAsia="zh-CN"/>
              </w:rPr>
              <w:t>3</w:t>
            </w:r>
            <w:r>
              <w:rPr>
                <w:rFonts w:hint="eastAsia" w:cs="Times New Roman"/>
                <w:color w:val="auto"/>
                <w:sz w:val="24"/>
                <w:szCs w:val="24"/>
                <w:lang w:eastAsia="zh-CN"/>
              </w:rPr>
              <w:t>）</w:t>
            </w:r>
            <w:r>
              <w:rPr>
                <w:rFonts w:ascii="Times New Roman" w:hAnsi="Times New Roman" w:cs="Times New Roman"/>
                <w:color w:val="auto"/>
                <w:sz w:val="24"/>
                <w:szCs w:val="24"/>
              </w:rPr>
              <w:t>地下车库车辆尾气</w:t>
            </w:r>
          </w:p>
          <w:p w14:paraId="798BF06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bCs/>
                <w:color w:val="auto"/>
                <w:sz w:val="24"/>
                <w:szCs w:val="24"/>
              </w:rPr>
            </w:pPr>
            <w:r>
              <w:rPr>
                <w:rFonts w:hint="eastAsia" w:hAnsi="宋体"/>
                <w:bCs/>
                <w:color w:val="auto"/>
                <w:sz w:val="24"/>
                <w:szCs w:val="24"/>
              </w:rPr>
              <w:t>项目拟设置</w:t>
            </w:r>
            <w:r>
              <w:rPr>
                <w:rFonts w:hint="eastAsia" w:hAnsi="宋体"/>
                <w:bCs/>
                <w:color w:val="auto"/>
                <w:sz w:val="24"/>
                <w:szCs w:val="24"/>
                <w:lang w:val="en-US" w:eastAsia="zh-CN"/>
              </w:rPr>
              <w:t>339</w:t>
            </w:r>
            <w:r>
              <w:rPr>
                <w:rFonts w:hint="eastAsia" w:hAnsi="宋体"/>
                <w:bCs/>
                <w:color w:val="auto"/>
                <w:sz w:val="24"/>
                <w:szCs w:val="24"/>
              </w:rPr>
              <w:t>个机动车停车位，其中地下停车位</w:t>
            </w:r>
            <w:r>
              <w:rPr>
                <w:rFonts w:hint="eastAsia" w:hAnsi="宋体"/>
                <w:bCs/>
                <w:color w:val="auto"/>
                <w:sz w:val="24"/>
                <w:szCs w:val="24"/>
                <w:lang w:val="en-US" w:eastAsia="zh-CN"/>
              </w:rPr>
              <w:t>273</w:t>
            </w:r>
            <w:r>
              <w:rPr>
                <w:rFonts w:hint="eastAsia" w:hAnsi="宋体"/>
                <w:bCs/>
                <w:color w:val="auto"/>
                <w:sz w:val="24"/>
                <w:szCs w:val="24"/>
              </w:rPr>
              <w:t>个，地上停车位</w:t>
            </w:r>
            <w:r>
              <w:rPr>
                <w:rFonts w:hint="eastAsia" w:hAnsi="宋体"/>
                <w:bCs/>
                <w:color w:val="auto"/>
                <w:sz w:val="24"/>
                <w:szCs w:val="24"/>
                <w:lang w:val="en-US" w:eastAsia="zh-CN"/>
              </w:rPr>
              <w:t>66</w:t>
            </w:r>
            <w:r>
              <w:rPr>
                <w:rFonts w:hint="eastAsia" w:hAnsi="宋体"/>
                <w:bCs/>
                <w:color w:val="auto"/>
                <w:sz w:val="24"/>
                <w:szCs w:val="24"/>
              </w:rPr>
              <w:t>个。</w:t>
            </w:r>
            <w:r>
              <w:rPr>
                <w:rFonts w:hint="eastAsia" w:hAnsi="宋体"/>
                <w:bCs/>
                <w:color w:val="auto"/>
                <w:sz w:val="24"/>
                <w:szCs w:val="24"/>
                <w:lang w:eastAsia="zh-CN"/>
              </w:rPr>
              <w:t>由于地面上通风良好，利用自然通风可使汽车尾气很快扩散。因此</w:t>
            </w:r>
            <w:r>
              <w:rPr>
                <w:rFonts w:hint="eastAsia" w:hAnsi="宋体"/>
                <w:bCs/>
                <w:color w:val="auto"/>
                <w:sz w:val="24"/>
                <w:szCs w:val="24"/>
              </w:rPr>
              <w:t>本评价</w:t>
            </w:r>
            <w:r>
              <w:rPr>
                <w:rFonts w:hint="eastAsia" w:hAnsi="宋体"/>
                <w:bCs/>
                <w:color w:val="auto"/>
                <w:sz w:val="24"/>
                <w:szCs w:val="24"/>
                <w:lang w:eastAsia="zh-CN"/>
              </w:rPr>
              <w:t>只</w:t>
            </w:r>
            <w:r>
              <w:rPr>
                <w:rFonts w:hint="eastAsia" w:hAnsi="宋体"/>
                <w:bCs/>
                <w:color w:val="auto"/>
                <w:sz w:val="24"/>
                <w:szCs w:val="24"/>
              </w:rPr>
              <w:t>对位于停车库汽车尾气污染源源强进行预测如下：</w:t>
            </w:r>
          </w:p>
          <w:p w14:paraId="6593437A">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①汽车尾气污染物</w:t>
            </w:r>
          </w:p>
          <w:p w14:paraId="2B9BC24A">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汽车尾气主要是指汽车进出行驶时，汽车怠速及慢速（≤5km/h）状态下的尾气排放，包括排气管尾气、曲轴箱漏气及油箱和化油箱等燃料系统的泄漏等。汽车废气的排放量与车型、车况和车辆数等有关，参照《环境保护实用数据手册》，小型车（轿车、轻卡、小面包车等）废气中主要污染因子为CO、非甲烷总烃、NO</w:t>
            </w:r>
            <w:r>
              <w:rPr>
                <w:rFonts w:hint="eastAsia" w:hAnsi="宋体"/>
                <w:bCs/>
                <w:color w:val="auto"/>
                <w:sz w:val="24"/>
                <w:szCs w:val="24"/>
                <w:vertAlign w:val="subscript"/>
              </w:rPr>
              <w:t>2</w:t>
            </w:r>
            <w:r>
              <w:rPr>
                <w:rFonts w:hint="eastAsia" w:hAnsi="宋体"/>
                <w:bCs/>
                <w:color w:val="auto"/>
                <w:sz w:val="24"/>
                <w:szCs w:val="24"/>
              </w:rPr>
              <w:t>等。</w:t>
            </w:r>
          </w:p>
          <w:p w14:paraId="0FBF82AF">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②车流量及汽车进出行驶时间</w:t>
            </w:r>
          </w:p>
          <w:p w14:paraId="723A896B">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根据本地区工作习惯，居民出行在上午7~8时及下午6~7时左右，早晚各1小时内，停车场内车流量达到最高峰，高峰时段车流量可达</w:t>
            </w:r>
            <w:r>
              <w:rPr>
                <w:rFonts w:hint="eastAsia" w:hAnsi="宋体"/>
                <w:bCs/>
                <w:color w:val="auto"/>
                <w:sz w:val="24"/>
                <w:szCs w:val="24"/>
                <w:lang w:eastAsia="zh-CN"/>
              </w:rPr>
              <w:t>地下</w:t>
            </w:r>
            <w:r>
              <w:rPr>
                <w:rFonts w:hint="eastAsia" w:hAnsi="宋体"/>
                <w:bCs/>
                <w:color w:val="auto"/>
                <w:sz w:val="24"/>
                <w:szCs w:val="24"/>
              </w:rPr>
              <w:t>停车量的90％，地下停车场约</w:t>
            </w:r>
            <w:r>
              <w:rPr>
                <w:rFonts w:hint="eastAsia" w:hAnsi="宋体"/>
                <w:bCs/>
                <w:color w:val="auto"/>
                <w:sz w:val="24"/>
                <w:szCs w:val="24"/>
                <w:lang w:val="en-US" w:eastAsia="zh-CN"/>
              </w:rPr>
              <w:t>246</w:t>
            </w:r>
            <w:r>
              <w:rPr>
                <w:rFonts w:hint="eastAsia" w:hAnsi="宋体"/>
                <w:bCs/>
                <w:color w:val="auto"/>
                <w:sz w:val="24"/>
                <w:szCs w:val="24"/>
              </w:rPr>
              <w:t>辆次/h。</w:t>
            </w:r>
          </w:p>
          <w:p w14:paraId="04908433">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根据项目停车位的设置和相关调查，进出停车场的车辆运行速度小于5km/h。车辆平均运行时间约为1.5分钟，其中怠速情况下0.5分钟，慢速行驶情况1分钟。</w:t>
            </w:r>
          </w:p>
          <w:p w14:paraId="1D8137E4">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③汽车耗油量及废气污染物</w:t>
            </w:r>
          </w:p>
          <w:p w14:paraId="002D5662">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汽车耗油量与汽车状态有关，根据统计资料及类比调查，车辆进停车场（车速小于5公里/小时）平均耗油量为0.02L/min，即0.015kg/min。同时在相同的耗油量的情况下，汽车尾气污染物排放量还与空燃比有关（空燃比指汽车发动机工作时，空气与燃油的体积比）。当空燃比较大时（大于14.5时），燃油完全燃烧，产生二氧化碳和水，当空燃比较低时（小于14.5时），燃油不充分燃烧，将产生CO、NO</w:t>
            </w:r>
            <w:r>
              <w:rPr>
                <w:rFonts w:hint="eastAsia" w:hAnsi="宋体"/>
                <w:bCs/>
                <w:color w:val="auto"/>
                <w:sz w:val="24"/>
                <w:szCs w:val="24"/>
                <w:vertAlign w:val="subscript"/>
              </w:rPr>
              <w:t>2</w:t>
            </w:r>
            <w:r>
              <w:rPr>
                <w:rFonts w:hint="eastAsia" w:hAnsi="宋体"/>
                <w:bCs/>
                <w:color w:val="auto"/>
                <w:sz w:val="24"/>
                <w:szCs w:val="24"/>
              </w:rPr>
              <w:t>及THC等污染物。据调查，当汽车进出停车场时，平均空燃比约为12。</w:t>
            </w:r>
          </w:p>
          <w:p w14:paraId="64E80B96">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④汽车尾气污染物排放浓度</w:t>
            </w:r>
          </w:p>
          <w:p w14:paraId="5C938245">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为贯彻《中华人民共和国大气污染防治法》，防治环境污染，我国先后出台了《确定点燃式发动机在用汽车简易工况法排气污染物排放限值的原则和方法》</w:t>
            </w:r>
            <w:r>
              <w:rPr>
                <w:rFonts w:hint="eastAsia" w:hAnsi="宋体"/>
                <w:bCs/>
                <w:color w:val="auto"/>
                <w:sz w:val="24"/>
                <w:szCs w:val="24"/>
                <w:lang w:eastAsia="zh-CN"/>
              </w:rPr>
              <w:t>（</w:t>
            </w:r>
            <w:r>
              <w:rPr>
                <w:rFonts w:hint="eastAsia" w:hAnsi="宋体"/>
                <w:bCs/>
                <w:color w:val="auto"/>
                <w:sz w:val="24"/>
                <w:szCs w:val="24"/>
              </w:rPr>
              <w:t>HJ/T 240-2005</w:t>
            </w:r>
            <w:r>
              <w:rPr>
                <w:rFonts w:hint="eastAsia" w:hAnsi="宋体"/>
                <w:bCs/>
                <w:color w:val="auto"/>
                <w:sz w:val="24"/>
                <w:szCs w:val="24"/>
                <w:lang w:eastAsia="zh-CN"/>
              </w:rPr>
              <w:t>）</w:t>
            </w:r>
            <w:r>
              <w:rPr>
                <w:rFonts w:hint="eastAsia" w:hAnsi="宋体"/>
                <w:bCs/>
                <w:color w:val="auto"/>
                <w:sz w:val="24"/>
                <w:szCs w:val="24"/>
              </w:rPr>
              <w:t>、《点燃式发动汽车污染物排放限值及测量方法（双怠速及简易工况法）》</w:t>
            </w:r>
            <w:r>
              <w:rPr>
                <w:rFonts w:hint="eastAsia" w:hAnsi="宋体"/>
                <w:bCs/>
                <w:color w:val="auto"/>
                <w:sz w:val="24"/>
                <w:szCs w:val="24"/>
                <w:lang w:eastAsia="zh-CN"/>
              </w:rPr>
              <w:t>（</w:t>
            </w:r>
            <w:r>
              <w:rPr>
                <w:rFonts w:hint="eastAsia" w:hAnsi="宋体"/>
                <w:bCs/>
                <w:color w:val="auto"/>
                <w:sz w:val="24"/>
                <w:szCs w:val="24"/>
              </w:rPr>
              <w:t>GB18285-2005</w:t>
            </w:r>
            <w:r>
              <w:rPr>
                <w:rFonts w:hint="eastAsia" w:hAnsi="宋体"/>
                <w:bCs/>
                <w:color w:val="auto"/>
                <w:sz w:val="24"/>
                <w:szCs w:val="24"/>
                <w:lang w:eastAsia="zh-CN"/>
              </w:rPr>
              <w:t>）</w:t>
            </w:r>
            <w:r>
              <w:rPr>
                <w:rFonts w:hint="eastAsia" w:hAnsi="宋体"/>
                <w:bCs/>
                <w:color w:val="auto"/>
                <w:sz w:val="24"/>
                <w:szCs w:val="24"/>
              </w:rPr>
              <w:t>，规定了点燃式发动汽车在怠速和稳态工况下排气污染物排放限值。</w:t>
            </w:r>
          </w:p>
          <w:p w14:paraId="63A7C0AA">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怠速情况：怠速工况指发动机无负荷运转状态。即离合器处于接合位置、变速器处于空挡位置（对于自动变速箱的车影处于“停车”或“P”档位）。怠速监测只能反映车辆怠速状态下空负荷排放情况，主要产生CO和THC，产生少量或不产生NO</w:t>
            </w:r>
            <w:r>
              <w:rPr>
                <w:rFonts w:hint="eastAsia" w:hAnsi="宋体"/>
                <w:bCs/>
                <w:color w:val="auto"/>
                <w:sz w:val="24"/>
                <w:szCs w:val="24"/>
                <w:vertAlign w:val="subscript"/>
              </w:rPr>
              <w:t>2</w:t>
            </w:r>
            <w:r>
              <w:rPr>
                <w:rFonts w:hint="eastAsia" w:hAnsi="宋体"/>
                <w:bCs/>
                <w:color w:val="auto"/>
                <w:sz w:val="24"/>
                <w:szCs w:val="24"/>
              </w:rPr>
              <w:t>。预计本项目建成后，车库内的车大部分均为2005年以后生产的轻型汽车，因此，本评价采用GB18285-2005中2005年7月1日起生产的第一类轻型汽车的污染物产生系数。</w:t>
            </w:r>
          </w:p>
          <w:p w14:paraId="25D13114">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稳态情况：采用GB18285-2005中稳态工况下各重量轻型汽车的排放限值的均值。汽车在怠速与慢速行驶时所排放的各种污染物浓度见表5-</w:t>
            </w:r>
            <w:r>
              <w:rPr>
                <w:rFonts w:hint="eastAsia" w:hAnsi="宋体"/>
                <w:bCs/>
                <w:color w:val="auto"/>
                <w:sz w:val="24"/>
                <w:szCs w:val="24"/>
                <w:lang w:val="en-US" w:eastAsia="zh-CN"/>
              </w:rPr>
              <w:t>4</w:t>
            </w:r>
            <w:r>
              <w:rPr>
                <w:rFonts w:hint="eastAsia" w:hAnsi="宋体"/>
                <w:bCs/>
                <w:color w:val="auto"/>
                <w:sz w:val="24"/>
                <w:szCs w:val="24"/>
              </w:rPr>
              <w:t>。</w:t>
            </w:r>
          </w:p>
          <w:p w14:paraId="55F7A797">
            <w:pPr>
              <w:spacing w:line="360" w:lineRule="auto"/>
              <w:jc w:val="center"/>
              <w:rPr>
                <w:b/>
                <w:bCs/>
                <w:color w:val="auto"/>
                <w:sz w:val="21"/>
                <w:szCs w:val="21"/>
              </w:rPr>
            </w:pPr>
            <w:r>
              <w:rPr>
                <w:rFonts w:hAnsi="宋体"/>
                <w:b/>
                <w:bCs/>
                <w:color w:val="auto"/>
                <w:sz w:val="21"/>
                <w:szCs w:val="21"/>
              </w:rPr>
              <w:t>表</w:t>
            </w:r>
            <w:r>
              <w:rPr>
                <w:b/>
                <w:bCs/>
                <w:color w:val="auto"/>
                <w:sz w:val="21"/>
                <w:szCs w:val="21"/>
              </w:rPr>
              <w:t>5-</w:t>
            </w:r>
            <w:r>
              <w:rPr>
                <w:rFonts w:hint="eastAsia"/>
                <w:b/>
                <w:bCs/>
                <w:color w:val="auto"/>
                <w:sz w:val="21"/>
                <w:szCs w:val="21"/>
                <w:lang w:val="en-US" w:eastAsia="zh-CN"/>
              </w:rPr>
              <w:t>3</w:t>
            </w:r>
            <w:r>
              <w:rPr>
                <w:b/>
                <w:bCs/>
                <w:color w:val="auto"/>
                <w:sz w:val="21"/>
                <w:szCs w:val="21"/>
              </w:rPr>
              <w:t xml:space="preserve"> </w:t>
            </w:r>
            <w:r>
              <w:rPr>
                <w:rFonts w:hAnsi="宋体"/>
                <w:b/>
                <w:bCs/>
                <w:color w:val="auto"/>
                <w:sz w:val="21"/>
                <w:szCs w:val="21"/>
              </w:rPr>
              <w:t>不同状态下污染物排放浓度</w:t>
            </w:r>
          </w:p>
          <w:tbl>
            <w:tblPr>
              <w:tblStyle w:val="15"/>
              <w:tblW w:w="8531"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1848"/>
              <w:gridCol w:w="1739"/>
              <w:gridCol w:w="1739"/>
              <w:gridCol w:w="1607"/>
              <w:gridCol w:w="1598"/>
            </w:tblGrid>
            <w:tr w14:paraId="18FCA19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848" w:type="dxa"/>
                  <w:vMerge w:val="restart"/>
                  <w:tcBorders>
                    <w:tl2br w:val="nil"/>
                    <w:tr2bl w:val="nil"/>
                  </w:tcBorders>
                  <w:vAlign w:val="center"/>
                </w:tcPr>
                <w:p w14:paraId="30F2EBC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工况</w:t>
                  </w:r>
                </w:p>
              </w:tc>
              <w:tc>
                <w:tcPr>
                  <w:tcW w:w="1739" w:type="dxa"/>
                  <w:tcBorders>
                    <w:tl2br w:val="nil"/>
                    <w:tr2bl w:val="nil"/>
                  </w:tcBorders>
                  <w:vAlign w:val="center"/>
                </w:tcPr>
                <w:p w14:paraId="2ACB33E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CO</w:t>
                  </w:r>
                </w:p>
              </w:tc>
              <w:tc>
                <w:tcPr>
                  <w:tcW w:w="1739" w:type="dxa"/>
                  <w:tcBorders>
                    <w:tl2br w:val="nil"/>
                    <w:tr2bl w:val="nil"/>
                  </w:tcBorders>
                  <w:vAlign w:val="center"/>
                </w:tcPr>
                <w:p w14:paraId="2CA4CB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非甲烷总烃</w:t>
                  </w:r>
                </w:p>
              </w:tc>
              <w:tc>
                <w:tcPr>
                  <w:tcW w:w="1607" w:type="dxa"/>
                  <w:tcBorders>
                    <w:tl2br w:val="nil"/>
                    <w:tr2bl w:val="nil"/>
                  </w:tcBorders>
                  <w:vAlign w:val="center"/>
                </w:tcPr>
                <w:p w14:paraId="404524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NO</w:t>
                  </w:r>
                  <w:r>
                    <w:rPr>
                      <w:color w:val="auto"/>
                      <w:sz w:val="21"/>
                      <w:szCs w:val="21"/>
                      <w:vertAlign w:val="subscript"/>
                    </w:rPr>
                    <w:t>2</w:t>
                  </w:r>
                </w:p>
              </w:tc>
              <w:tc>
                <w:tcPr>
                  <w:tcW w:w="1598" w:type="dxa"/>
                  <w:tcBorders>
                    <w:tl2br w:val="nil"/>
                    <w:tr2bl w:val="nil"/>
                  </w:tcBorders>
                  <w:vAlign w:val="center"/>
                </w:tcPr>
                <w:p w14:paraId="4BB7DAC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color w:val="auto"/>
                      <w:sz w:val="21"/>
                      <w:szCs w:val="21"/>
                      <w:lang w:eastAsia="zh-CN"/>
                    </w:rPr>
                  </w:pPr>
                  <w:r>
                    <w:rPr>
                      <w:rFonts w:hint="eastAsia"/>
                      <w:color w:val="auto"/>
                      <w:sz w:val="21"/>
                      <w:szCs w:val="21"/>
                      <w:lang w:eastAsia="zh-CN"/>
                    </w:rPr>
                    <w:t>备注</w:t>
                  </w:r>
                </w:p>
              </w:tc>
            </w:tr>
            <w:tr w14:paraId="4443507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848" w:type="dxa"/>
                  <w:vMerge w:val="continue"/>
                  <w:tcBorders>
                    <w:tl2br w:val="nil"/>
                    <w:tr2bl w:val="nil"/>
                  </w:tcBorders>
                  <w:vAlign w:val="center"/>
                </w:tcPr>
                <w:p w14:paraId="2BEC02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p>
              </w:tc>
              <w:tc>
                <w:tcPr>
                  <w:tcW w:w="1739" w:type="dxa"/>
                  <w:tcBorders>
                    <w:tl2br w:val="nil"/>
                    <w:tr2bl w:val="nil"/>
                  </w:tcBorders>
                  <w:vAlign w:val="center"/>
                </w:tcPr>
                <w:p w14:paraId="1279A53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浓度（</w:t>
                  </w:r>
                  <w:r>
                    <w:rPr>
                      <w:color w:val="auto"/>
                      <w:sz w:val="21"/>
                      <w:szCs w:val="21"/>
                    </w:rPr>
                    <w:t>%</w:t>
                  </w:r>
                  <w:r>
                    <w:rPr>
                      <w:rFonts w:hAnsi="宋体"/>
                      <w:color w:val="auto"/>
                      <w:sz w:val="21"/>
                      <w:szCs w:val="21"/>
                    </w:rPr>
                    <w:t>）</w:t>
                  </w:r>
                </w:p>
              </w:tc>
              <w:tc>
                <w:tcPr>
                  <w:tcW w:w="1739" w:type="dxa"/>
                  <w:tcBorders>
                    <w:tl2br w:val="nil"/>
                    <w:tr2bl w:val="nil"/>
                  </w:tcBorders>
                  <w:vAlign w:val="center"/>
                </w:tcPr>
                <w:p w14:paraId="33A946F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浓度（</w:t>
                  </w:r>
                  <w:r>
                    <w:rPr>
                      <w:color w:val="auto"/>
                      <w:sz w:val="21"/>
                      <w:szCs w:val="21"/>
                    </w:rPr>
                    <w:t>ppm</w:t>
                  </w:r>
                  <w:r>
                    <w:rPr>
                      <w:rFonts w:hAnsi="宋体"/>
                      <w:color w:val="auto"/>
                      <w:sz w:val="21"/>
                      <w:szCs w:val="21"/>
                    </w:rPr>
                    <w:t>）</w:t>
                  </w:r>
                </w:p>
              </w:tc>
              <w:tc>
                <w:tcPr>
                  <w:tcW w:w="1607" w:type="dxa"/>
                  <w:tcBorders>
                    <w:tl2br w:val="nil"/>
                    <w:tr2bl w:val="nil"/>
                  </w:tcBorders>
                  <w:vAlign w:val="center"/>
                </w:tcPr>
                <w:p w14:paraId="15C5C36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浓度（</w:t>
                  </w:r>
                  <w:r>
                    <w:rPr>
                      <w:color w:val="auto"/>
                      <w:sz w:val="21"/>
                      <w:szCs w:val="21"/>
                    </w:rPr>
                    <w:t>ppm</w:t>
                  </w:r>
                  <w:r>
                    <w:rPr>
                      <w:rFonts w:hAnsi="宋体"/>
                      <w:color w:val="auto"/>
                      <w:sz w:val="21"/>
                      <w:szCs w:val="21"/>
                    </w:rPr>
                    <w:t>）</w:t>
                  </w:r>
                </w:p>
              </w:tc>
              <w:tc>
                <w:tcPr>
                  <w:tcW w:w="1598" w:type="dxa"/>
                  <w:tcBorders>
                    <w:tl2br w:val="nil"/>
                    <w:tr2bl w:val="nil"/>
                  </w:tcBorders>
                  <w:vAlign w:val="center"/>
                </w:tcPr>
                <w:p w14:paraId="5A26047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Ansi="宋体" w:eastAsia="宋体"/>
                      <w:color w:val="auto"/>
                      <w:sz w:val="21"/>
                      <w:szCs w:val="21"/>
                      <w:lang w:eastAsia="zh-CN"/>
                    </w:rPr>
                  </w:pPr>
                  <w:r>
                    <w:rPr>
                      <w:rFonts w:hint="eastAsia" w:hAnsi="宋体"/>
                      <w:color w:val="auto"/>
                      <w:sz w:val="21"/>
                      <w:szCs w:val="21"/>
                      <w:lang w:eastAsia="zh-CN"/>
                    </w:rPr>
                    <w:t>容积比</w:t>
                  </w:r>
                </w:p>
              </w:tc>
            </w:tr>
            <w:tr w14:paraId="29C1FAC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848" w:type="dxa"/>
                  <w:tcBorders>
                    <w:tl2br w:val="nil"/>
                    <w:tr2bl w:val="nil"/>
                  </w:tcBorders>
                  <w:vAlign w:val="center"/>
                </w:tcPr>
                <w:p w14:paraId="7A4FD38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怠速</w:t>
                  </w:r>
                </w:p>
              </w:tc>
              <w:tc>
                <w:tcPr>
                  <w:tcW w:w="1739" w:type="dxa"/>
                  <w:tcBorders>
                    <w:tl2br w:val="nil"/>
                    <w:tr2bl w:val="nil"/>
                  </w:tcBorders>
                  <w:vAlign w:val="center"/>
                </w:tcPr>
                <w:p w14:paraId="3215321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0.5</w:t>
                  </w:r>
                </w:p>
              </w:tc>
              <w:tc>
                <w:tcPr>
                  <w:tcW w:w="1739" w:type="dxa"/>
                  <w:tcBorders>
                    <w:tl2br w:val="nil"/>
                    <w:tr2bl w:val="nil"/>
                  </w:tcBorders>
                  <w:vAlign w:val="center"/>
                </w:tcPr>
                <w:p w14:paraId="3AFAE5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100</w:t>
                  </w:r>
                </w:p>
              </w:tc>
              <w:tc>
                <w:tcPr>
                  <w:tcW w:w="1607" w:type="dxa"/>
                  <w:tcBorders>
                    <w:tl2br w:val="nil"/>
                    <w:tr2bl w:val="nil"/>
                  </w:tcBorders>
                  <w:vAlign w:val="center"/>
                </w:tcPr>
                <w:p w14:paraId="1D73D8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w:t>
                  </w:r>
                </w:p>
              </w:tc>
              <w:tc>
                <w:tcPr>
                  <w:tcW w:w="1598" w:type="dxa"/>
                  <w:tcBorders>
                    <w:tl2br w:val="nil"/>
                    <w:tr2bl w:val="nil"/>
                  </w:tcBorders>
                  <w:vAlign w:val="center"/>
                </w:tcPr>
                <w:p w14:paraId="6EBFF54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int="eastAsia" w:hAnsi="宋体"/>
                      <w:color w:val="auto"/>
                      <w:sz w:val="21"/>
                      <w:szCs w:val="21"/>
                      <w:lang w:eastAsia="zh-CN"/>
                    </w:rPr>
                    <w:t>容积比</w:t>
                  </w:r>
                </w:p>
              </w:tc>
            </w:tr>
            <w:tr w14:paraId="350DCC1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848" w:type="dxa"/>
                  <w:tcBorders>
                    <w:tl2br w:val="nil"/>
                    <w:tr2bl w:val="nil"/>
                  </w:tcBorders>
                  <w:vAlign w:val="center"/>
                </w:tcPr>
                <w:p w14:paraId="465B074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慢速行驶</w:t>
                  </w:r>
                </w:p>
              </w:tc>
              <w:tc>
                <w:tcPr>
                  <w:tcW w:w="1739" w:type="dxa"/>
                  <w:tcBorders>
                    <w:tl2br w:val="nil"/>
                    <w:tr2bl w:val="nil"/>
                  </w:tcBorders>
                  <w:vAlign w:val="center"/>
                </w:tcPr>
                <w:p w14:paraId="700901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1.5</w:t>
                  </w:r>
                </w:p>
              </w:tc>
              <w:tc>
                <w:tcPr>
                  <w:tcW w:w="1739" w:type="dxa"/>
                  <w:tcBorders>
                    <w:tl2br w:val="nil"/>
                    <w:tr2bl w:val="nil"/>
                  </w:tcBorders>
                  <w:vAlign w:val="center"/>
                </w:tcPr>
                <w:p w14:paraId="25D5B1C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158</w:t>
                  </w:r>
                </w:p>
              </w:tc>
              <w:tc>
                <w:tcPr>
                  <w:tcW w:w="1607" w:type="dxa"/>
                  <w:tcBorders>
                    <w:tl2br w:val="nil"/>
                    <w:tr2bl w:val="nil"/>
                  </w:tcBorders>
                  <w:vAlign w:val="center"/>
                </w:tcPr>
                <w:p w14:paraId="55805CF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2735</w:t>
                  </w:r>
                </w:p>
              </w:tc>
              <w:tc>
                <w:tcPr>
                  <w:tcW w:w="1598" w:type="dxa"/>
                  <w:tcBorders>
                    <w:tl2br w:val="nil"/>
                    <w:tr2bl w:val="nil"/>
                  </w:tcBorders>
                  <w:vAlign w:val="center"/>
                </w:tcPr>
                <w:p w14:paraId="1F5FF8B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int="eastAsia" w:hAnsi="宋体"/>
                      <w:color w:val="auto"/>
                      <w:sz w:val="21"/>
                      <w:szCs w:val="21"/>
                      <w:lang w:eastAsia="zh-CN"/>
                    </w:rPr>
                    <w:t>容积比</w:t>
                  </w:r>
                </w:p>
              </w:tc>
            </w:tr>
          </w:tbl>
          <w:p w14:paraId="20A0FDA3">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⑤汽车废气中污染物源强</w:t>
            </w:r>
          </w:p>
          <w:p w14:paraId="4886DF57">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汽车废气污染物排放按以下计算公式：</w:t>
            </w:r>
          </w:p>
          <w:p w14:paraId="74439E00">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汽车废气排放量：D = Q T (k +1)A /1.29</w:t>
            </w:r>
          </w:p>
          <w:p w14:paraId="230A7410">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式中：D——废气排放量，m</w:t>
            </w:r>
            <w:r>
              <w:rPr>
                <w:rFonts w:hint="eastAsia" w:hAnsi="宋体"/>
                <w:bCs/>
                <w:color w:val="auto"/>
                <w:sz w:val="24"/>
                <w:szCs w:val="24"/>
                <w:vertAlign w:val="superscript"/>
              </w:rPr>
              <w:t>3</w:t>
            </w:r>
            <w:r>
              <w:rPr>
                <w:rFonts w:hint="eastAsia" w:hAnsi="宋体"/>
                <w:bCs/>
                <w:color w:val="auto"/>
                <w:sz w:val="24"/>
                <w:szCs w:val="24"/>
              </w:rPr>
              <w:t>/h；</w:t>
            </w:r>
          </w:p>
          <w:p w14:paraId="7981BA08">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Q——汽车车流量，v/h；</w:t>
            </w:r>
          </w:p>
          <w:p w14:paraId="23B38E51">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T——车辆在停车场运行时间，min，怠速0.5，慢速1.0；</w:t>
            </w:r>
          </w:p>
          <w:p w14:paraId="6DA7A82D">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K——空燃比，12；</w:t>
            </w:r>
          </w:p>
          <w:p w14:paraId="654D13C4">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A——燃油耗量，kg/min，0.015。</w:t>
            </w:r>
          </w:p>
          <w:p w14:paraId="761D3441">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污染物排放量：G = DCf</w:t>
            </w:r>
          </w:p>
          <w:p w14:paraId="377CD342">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式中：G——污染物排放量，kg/h；</w:t>
            </w:r>
          </w:p>
          <w:p w14:paraId="0EEA7560">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C——污染物的排放浓度，容积比；</w:t>
            </w:r>
          </w:p>
          <w:p w14:paraId="6061F9D2">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f ——质量与容积换算系数，CO 1.25，NO</w:t>
            </w:r>
            <w:r>
              <w:rPr>
                <w:rFonts w:hint="eastAsia" w:hAnsi="宋体"/>
                <w:bCs/>
                <w:color w:val="auto"/>
                <w:sz w:val="24"/>
                <w:szCs w:val="24"/>
                <w:vertAlign w:val="subscript"/>
              </w:rPr>
              <w:t>2</w:t>
            </w:r>
            <w:r>
              <w:rPr>
                <w:rFonts w:hint="eastAsia" w:hAnsi="宋体"/>
                <w:bCs/>
                <w:color w:val="auto"/>
                <w:sz w:val="24"/>
                <w:szCs w:val="24"/>
              </w:rPr>
              <w:t xml:space="preserve"> 2.05，THC 3.21。</w:t>
            </w:r>
          </w:p>
          <w:p w14:paraId="6B01DD25">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废气污染物排放浓度：Co=G*100000/（N*V）</w:t>
            </w:r>
          </w:p>
          <w:p w14:paraId="153BAB05">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Co——污染物浓度，mg/m</w:t>
            </w:r>
            <w:r>
              <w:rPr>
                <w:rFonts w:hint="eastAsia" w:hAnsi="宋体"/>
                <w:bCs/>
                <w:color w:val="auto"/>
                <w:sz w:val="24"/>
                <w:szCs w:val="24"/>
                <w:vertAlign w:val="superscript"/>
              </w:rPr>
              <w:t>3</w:t>
            </w:r>
            <w:r>
              <w:rPr>
                <w:rFonts w:hint="eastAsia" w:hAnsi="宋体"/>
                <w:bCs/>
                <w:color w:val="auto"/>
                <w:sz w:val="24"/>
                <w:szCs w:val="24"/>
              </w:rPr>
              <w:t>；</w:t>
            </w:r>
          </w:p>
          <w:p w14:paraId="35397CBF">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G——污染物排放量，kg/h；</w:t>
            </w:r>
          </w:p>
          <w:p w14:paraId="28F9AAB4">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N——换气次数，次/h，10；</w:t>
            </w:r>
          </w:p>
          <w:p w14:paraId="31D3B0EF">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V——地下停车场容积，m</w:t>
            </w:r>
            <w:r>
              <w:rPr>
                <w:rFonts w:hint="eastAsia" w:hAnsi="宋体"/>
                <w:bCs/>
                <w:color w:val="auto"/>
                <w:sz w:val="24"/>
                <w:szCs w:val="24"/>
                <w:vertAlign w:val="superscript"/>
              </w:rPr>
              <w:t>3</w:t>
            </w:r>
            <w:r>
              <w:rPr>
                <w:rFonts w:hint="eastAsia" w:hAnsi="宋体"/>
                <w:bCs/>
                <w:color w:val="auto"/>
                <w:sz w:val="24"/>
                <w:szCs w:val="24"/>
              </w:rPr>
              <w:t>。</w:t>
            </w:r>
          </w:p>
          <w:p w14:paraId="25B855CF">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由此可计算得到停车场废气排放源强，如表5-</w:t>
            </w:r>
            <w:r>
              <w:rPr>
                <w:rFonts w:hint="eastAsia" w:hAnsi="宋体"/>
                <w:bCs/>
                <w:color w:val="auto"/>
                <w:sz w:val="24"/>
                <w:szCs w:val="24"/>
                <w:lang w:val="en-US" w:eastAsia="zh-CN"/>
              </w:rPr>
              <w:t>4</w:t>
            </w:r>
            <w:r>
              <w:rPr>
                <w:rFonts w:hint="eastAsia" w:hAnsi="宋体"/>
                <w:bCs/>
                <w:color w:val="auto"/>
                <w:sz w:val="24"/>
                <w:szCs w:val="24"/>
              </w:rPr>
              <w:t>所示。</w:t>
            </w:r>
          </w:p>
          <w:p w14:paraId="44576535">
            <w:pPr>
              <w:spacing w:line="360" w:lineRule="auto"/>
              <w:jc w:val="center"/>
              <w:rPr>
                <w:b/>
                <w:color w:val="auto"/>
                <w:sz w:val="21"/>
                <w:szCs w:val="21"/>
              </w:rPr>
            </w:pPr>
            <w:r>
              <w:rPr>
                <w:rFonts w:hAnsi="宋体"/>
                <w:b/>
                <w:color w:val="auto"/>
                <w:sz w:val="21"/>
                <w:szCs w:val="21"/>
              </w:rPr>
              <w:t>表</w:t>
            </w:r>
            <w:r>
              <w:rPr>
                <w:b/>
                <w:color w:val="auto"/>
                <w:sz w:val="21"/>
                <w:szCs w:val="21"/>
              </w:rPr>
              <w:t>5-</w:t>
            </w:r>
            <w:r>
              <w:rPr>
                <w:rFonts w:hint="eastAsia"/>
                <w:b/>
                <w:color w:val="auto"/>
                <w:sz w:val="21"/>
                <w:szCs w:val="21"/>
                <w:lang w:val="en-US" w:eastAsia="zh-CN"/>
              </w:rPr>
              <w:t>4</w:t>
            </w:r>
            <w:r>
              <w:rPr>
                <w:b/>
                <w:color w:val="auto"/>
                <w:sz w:val="21"/>
                <w:szCs w:val="21"/>
              </w:rPr>
              <w:t xml:space="preserve"> </w:t>
            </w:r>
            <w:r>
              <w:rPr>
                <w:rFonts w:hAnsi="宋体"/>
                <w:b/>
                <w:color w:val="auto"/>
                <w:sz w:val="21"/>
                <w:szCs w:val="21"/>
              </w:rPr>
              <w:t>项目地下停车场废气产排一览表</w:t>
            </w:r>
          </w:p>
          <w:tbl>
            <w:tblPr>
              <w:tblStyle w:val="15"/>
              <w:tblW w:w="8504" w:type="dxa"/>
              <w:jc w:val="center"/>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94"/>
              <w:gridCol w:w="1797"/>
              <w:gridCol w:w="1357"/>
              <w:gridCol w:w="1"/>
              <w:gridCol w:w="1750"/>
              <w:gridCol w:w="1405"/>
            </w:tblGrid>
            <w:tr w14:paraId="3A59D7B9">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4" w:type="dxa"/>
                  <w:vMerge w:val="restart"/>
                  <w:vAlign w:val="center"/>
                </w:tcPr>
                <w:p w14:paraId="16F324F0">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污染物</w:t>
                  </w:r>
                </w:p>
              </w:tc>
              <w:tc>
                <w:tcPr>
                  <w:tcW w:w="3155" w:type="dxa"/>
                  <w:gridSpan w:val="3"/>
                  <w:vAlign w:val="center"/>
                </w:tcPr>
                <w:p w14:paraId="1CB056A2">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产生</w:t>
                  </w:r>
                  <w:r>
                    <w:rPr>
                      <w:rFonts w:hint="eastAsia" w:cs="Times New Roman"/>
                      <w:color w:val="auto"/>
                      <w:sz w:val="21"/>
                      <w:szCs w:val="21"/>
                      <w:lang w:val="en-US" w:eastAsia="zh-CN"/>
                    </w:rPr>
                    <w:t>51.43</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3</w:t>
                  </w:r>
                  <w:r>
                    <w:rPr>
                      <w:rFonts w:hint="default" w:ascii="Times New Roman" w:hAnsi="Times New Roman" w:eastAsia="宋体" w:cs="Times New Roman"/>
                      <w:color w:val="auto"/>
                      <w:sz w:val="21"/>
                      <w:szCs w:val="21"/>
                    </w:rPr>
                    <w:t>/h</w:t>
                  </w:r>
                </w:p>
              </w:tc>
              <w:tc>
                <w:tcPr>
                  <w:tcW w:w="3155" w:type="dxa"/>
                  <w:gridSpan w:val="2"/>
                  <w:vAlign w:val="center"/>
                </w:tcPr>
                <w:p w14:paraId="19CB1F7F">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排放</w:t>
                  </w:r>
                  <w:r>
                    <w:rPr>
                      <w:rFonts w:hint="eastAsia" w:cs="Times New Roman"/>
                      <w:color w:val="auto"/>
                      <w:sz w:val="21"/>
                      <w:szCs w:val="21"/>
                      <w:lang w:val="en-US" w:eastAsia="zh-CN"/>
                    </w:rPr>
                    <w:t>51.43</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3</w:t>
                  </w:r>
                  <w:r>
                    <w:rPr>
                      <w:rFonts w:hint="default" w:ascii="Times New Roman" w:hAnsi="Times New Roman" w:eastAsia="宋体" w:cs="Times New Roman"/>
                      <w:color w:val="auto"/>
                      <w:sz w:val="21"/>
                      <w:szCs w:val="21"/>
                    </w:rPr>
                    <w:t>/h</w:t>
                  </w:r>
                </w:p>
              </w:tc>
            </w:tr>
            <w:tr w14:paraId="21609AB4">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4" w:type="dxa"/>
                  <w:vMerge w:val="continue"/>
                  <w:vAlign w:val="center"/>
                </w:tcPr>
                <w:p w14:paraId="4FA17FBC">
                  <w:pPr>
                    <w:jc w:val="center"/>
                    <w:rPr>
                      <w:rFonts w:hint="default" w:ascii="Times New Roman" w:hAnsi="Times New Roman" w:eastAsia="宋体" w:cs="Times New Roman"/>
                      <w:color w:val="auto"/>
                      <w:sz w:val="21"/>
                      <w:szCs w:val="21"/>
                    </w:rPr>
                  </w:pPr>
                </w:p>
              </w:tc>
              <w:tc>
                <w:tcPr>
                  <w:tcW w:w="1797" w:type="dxa"/>
                  <w:vAlign w:val="center"/>
                </w:tcPr>
                <w:p w14:paraId="62285954">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产生浓度</w:t>
                  </w:r>
                  <w:r>
                    <w:rPr>
                      <w:rFonts w:hint="eastAsia" w:hAnsi="宋体"/>
                      <w:bCs/>
                      <w:color w:val="auto"/>
                      <w:sz w:val="24"/>
                      <w:szCs w:val="24"/>
                    </w:rPr>
                    <w:t>mg/m</w:t>
                  </w:r>
                  <w:r>
                    <w:rPr>
                      <w:rFonts w:hint="eastAsia" w:hAnsi="宋体"/>
                      <w:bCs/>
                      <w:color w:val="auto"/>
                      <w:sz w:val="24"/>
                      <w:szCs w:val="24"/>
                      <w:vertAlign w:val="superscript"/>
                    </w:rPr>
                    <w:t>3</w:t>
                  </w:r>
                </w:p>
              </w:tc>
              <w:tc>
                <w:tcPr>
                  <w:tcW w:w="1357" w:type="dxa"/>
                  <w:vAlign w:val="center"/>
                </w:tcPr>
                <w:p w14:paraId="62EBC16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产生量</w:t>
                  </w:r>
                  <w:r>
                    <w:rPr>
                      <w:rFonts w:hint="eastAsia" w:hAnsi="宋体"/>
                      <w:bCs/>
                      <w:color w:val="auto"/>
                      <w:sz w:val="24"/>
                      <w:szCs w:val="24"/>
                    </w:rPr>
                    <w:t>kg/h</w:t>
                  </w:r>
                </w:p>
              </w:tc>
              <w:tc>
                <w:tcPr>
                  <w:tcW w:w="1751" w:type="dxa"/>
                  <w:gridSpan w:val="2"/>
                  <w:vAlign w:val="center"/>
                </w:tcPr>
                <w:p w14:paraId="1A15D62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排放浓度</w:t>
                  </w:r>
                  <w:r>
                    <w:rPr>
                      <w:rFonts w:hint="eastAsia" w:hAnsi="宋体"/>
                      <w:bCs/>
                      <w:color w:val="auto"/>
                      <w:sz w:val="24"/>
                      <w:szCs w:val="24"/>
                    </w:rPr>
                    <w:t>mg/m</w:t>
                  </w:r>
                  <w:r>
                    <w:rPr>
                      <w:rFonts w:hint="eastAsia" w:hAnsi="宋体"/>
                      <w:bCs/>
                      <w:color w:val="auto"/>
                      <w:sz w:val="24"/>
                      <w:szCs w:val="24"/>
                      <w:vertAlign w:val="superscript"/>
                    </w:rPr>
                    <w:t>3</w:t>
                  </w:r>
                </w:p>
              </w:tc>
              <w:tc>
                <w:tcPr>
                  <w:tcW w:w="1405" w:type="dxa"/>
                  <w:vAlign w:val="center"/>
                </w:tcPr>
                <w:p w14:paraId="3358BA01">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排放量</w:t>
                  </w:r>
                  <w:r>
                    <w:rPr>
                      <w:rFonts w:hint="eastAsia" w:hAnsi="宋体"/>
                      <w:bCs/>
                      <w:color w:val="auto"/>
                      <w:sz w:val="24"/>
                      <w:szCs w:val="24"/>
                    </w:rPr>
                    <w:t>kg/h</w:t>
                  </w:r>
                </w:p>
              </w:tc>
            </w:tr>
            <w:tr w14:paraId="4FBC9306">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4" w:type="dxa"/>
                  <w:vAlign w:val="center"/>
                </w:tcPr>
                <w:p w14:paraId="445B5B93">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CO</w:t>
                  </w:r>
                </w:p>
              </w:tc>
              <w:tc>
                <w:tcPr>
                  <w:tcW w:w="1797" w:type="dxa"/>
                  <w:vAlign w:val="center"/>
                </w:tcPr>
                <w:p w14:paraId="2E88425B">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0.59</w:t>
                  </w:r>
                </w:p>
              </w:tc>
              <w:tc>
                <w:tcPr>
                  <w:tcW w:w="1357" w:type="dxa"/>
                  <w:vAlign w:val="center"/>
                </w:tcPr>
                <w:p w14:paraId="0EB84FAD">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1.29</w:t>
                  </w:r>
                </w:p>
              </w:tc>
              <w:tc>
                <w:tcPr>
                  <w:tcW w:w="1751" w:type="dxa"/>
                  <w:gridSpan w:val="2"/>
                  <w:vAlign w:val="center"/>
                </w:tcPr>
                <w:p w14:paraId="4DF482E3">
                  <w:pPr>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0.59</w:t>
                  </w:r>
                </w:p>
              </w:tc>
              <w:tc>
                <w:tcPr>
                  <w:tcW w:w="1405" w:type="dxa"/>
                  <w:vAlign w:val="center"/>
                </w:tcPr>
                <w:p w14:paraId="1D395F49">
                  <w:pPr>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1.29</w:t>
                  </w:r>
                </w:p>
              </w:tc>
            </w:tr>
            <w:tr w14:paraId="5F66967E">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4" w:type="dxa"/>
                  <w:vAlign w:val="center"/>
                </w:tcPr>
                <w:p w14:paraId="69B77427">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非甲烷总烃</w:t>
                  </w:r>
                </w:p>
              </w:tc>
              <w:tc>
                <w:tcPr>
                  <w:tcW w:w="1797" w:type="dxa"/>
                  <w:vAlign w:val="center"/>
                </w:tcPr>
                <w:p w14:paraId="5CBAEE94">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0.14</w:t>
                  </w:r>
                </w:p>
              </w:tc>
              <w:tc>
                <w:tcPr>
                  <w:tcW w:w="1357" w:type="dxa"/>
                  <w:vAlign w:val="center"/>
                </w:tcPr>
                <w:p w14:paraId="57D31EB1">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0.30</w:t>
                  </w:r>
                </w:p>
              </w:tc>
              <w:tc>
                <w:tcPr>
                  <w:tcW w:w="1751" w:type="dxa"/>
                  <w:gridSpan w:val="2"/>
                  <w:vAlign w:val="center"/>
                </w:tcPr>
                <w:p w14:paraId="4B9C9402">
                  <w:pPr>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0.14</w:t>
                  </w:r>
                </w:p>
              </w:tc>
              <w:tc>
                <w:tcPr>
                  <w:tcW w:w="1405" w:type="dxa"/>
                  <w:vAlign w:val="center"/>
                </w:tcPr>
                <w:p w14:paraId="04D098D2">
                  <w:pPr>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0.30</w:t>
                  </w:r>
                </w:p>
              </w:tc>
            </w:tr>
            <w:tr w14:paraId="237DE520">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94" w:type="dxa"/>
                  <w:vAlign w:val="center"/>
                </w:tcPr>
                <w:p w14:paraId="7F7C36EB">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NO</w:t>
                  </w:r>
                  <w:r>
                    <w:rPr>
                      <w:rFonts w:hint="default" w:ascii="Times New Roman" w:hAnsi="Times New Roman" w:eastAsia="宋体" w:cs="Times New Roman"/>
                      <w:color w:val="auto"/>
                      <w:sz w:val="21"/>
                      <w:szCs w:val="21"/>
                      <w:vertAlign w:val="subscript"/>
                    </w:rPr>
                    <w:t>2</w:t>
                  </w:r>
                </w:p>
              </w:tc>
              <w:tc>
                <w:tcPr>
                  <w:tcW w:w="1797" w:type="dxa"/>
                  <w:vAlign w:val="center"/>
                </w:tcPr>
                <w:p w14:paraId="229A8E1E">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0.013</w:t>
                  </w:r>
                </w:p>
              </w:tc>
              <w:tc>
                <w:tcPr>
                  <w:tcW w:w="1357" w:type="dxa"/>
                  <w:vAlign w:val="center"/>
                </w:tcPr>
                <w:p w14:paraId="20FB4FEB">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0.027</w:t>
                  </w:r>
                </w:p>
              </w:tc>
              <w:tc>
                <w:tcPr>
                  <w:tcW w:w="1751" w:type="dxa"/>
                  <w:gridSpan w:val="2"/>
                  <w:vAlign w:val="center"/>
                </w:tcPr>
                <w:p w14:paraId="05E8A482">
                  <w:pPr>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0.013</w:t>
                  </w:r>
                </w:p>
              </w:tc>
              <w:tc>
                <w:tcPr>
                  <w:tcW w:w="1405" w:type="dxa"/>
                  <w:vAlign w:val="center"/>
                </w:tcPr>
                <w:p w14:paraId="4609D46D">
                  <w:pPr>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0.027</w:t>
                  </w:r>
                </w:p>
              </w:tc>
            </w:tr>
          </w:tbl>
          <w:p w14:paraId="780E9284">
            <w:pPr>
              <w:pStyle w:val="9"/>
              <w:spacing w:line="360" w:lineRule="auto"/>
              <w:ind w:firstLine="480" w:firstLineChars="200"/>
              <w:rPr>
                <w:rFonts w:hint="eastAsia" w:ascii="Times New Roman" w:hAnsi="Times New Roman"/>
                <w:color w:val="auto"/>
                <w:kern w:val="0"/>
                <w:sz w:val="24"/>
                <w:szCs w:val="24"/>
                <w:lang w:val="en-US" w:eastAsia="zh-CN"/>
              </w:rPr>
            </w:pPr>
            <w:r>
              <w:rPr>
                <w:rFonts w:hint="eastAsia" w:ascii="Times New Roman" w:hAnsi="Times New Roman"/>
                <w:color w:val="auto"/>
                <w:kern w:val="0"/>
                <w:sz w:val="24"/>
                <w:szCs w:val="24"/>
                <w:lang w:val="en-US" w:eastAsia="zh-CN"/>
              </w:rPr>
              <w:t>（4）恶臭</w:t>
            </w:r>
          </w:p>
          <w:p w14:paraId="1B69F30C">
            <w:pPr>
              <w:spacing w:line="360" w:lineRule="auto"/>
              <w:ind w:firstLine="480" w:firstLineChars="200"/>
              <w:rPr>
                <w:color w:val="auto"/>
                <w:kern w:val="0"/>
                <w:sz w:val="24"/>
              </w:rPr>
            </w:pPr>
            <w:r>
              <w:rPr>
                <w:rFonts w:hAnsi="宋体"/>
                <w:color w:val="auto"/>
                <w:kern w:val="0"/>
                <w:sz w:val="24"/>
              </w:rPr>
              <w:t>本项目营运期产生的恶臭气体主要来自垃圾</w:t>
            </w:r>
            <w:r>
              <w:rPr>
                <w:rFonts w:hint="eastAsia" w:hAnsi="宋体"/>
                <w:color w:val="auto"/>
                <w:kern w:val="0"/>
                <w:sz w:val="24"/>
                <w:lang w:eastAsia="zh-CN"/>
              </w:rPr>
              <w:t>存放点</w:t>
            </w:r>
            <w:r>
              <w:rPr>
                <w:rFonts w:hint="eastAsia" w:hAnsi="宋体"/>
                <w:color w:val="auto"/>
                <w:kern w:val="0"/>
                <w:sz w:val="24"/>
              </w:rPr>
              <w:t>。</w:t>
            </w:r>
            <w:r>
              <w:rPr>
                <w:rFonts w:hAnsi="宋体"/>
                <w:color w:val="auto"/>
                <w:kern w:val="0"/>
                <w:sz w:val="24"/>
              </w:rPr>
              <w:t>生活垃圾恶臭气体多是组分、低浓度化学物质形成的混合物，成分和含量均较难确定。根据资料调查，预测本项目使用期生活垃圾恶臭的主要成分为氨、硫化氢和甲硫醇、三甲胺等脂肪族类物质，其嗅觉阈值如下：氨，强烈刺激性气体，阈值为</w:t>
            </w:r>
            <w:r>
              <w:rPr>
                <w:color w:val="auto"/>
                <w:kern w:val="0"/>
                <w:sz w:val="24"/>
              </w:rPr>
              <w:t>0.028mg/m</w:t>
            </w:r>
            <w:r>
              <w:rPr>
                <w:color w:val="auto"/>
                <w:kern w:val="0"/>
                <w:sz w:val="24"/>
                <w:vertAlign w:val="superscript"/>
              </w:rPr>
              <w:t>3</w:t>
            </w:r>
            <w:r>
              <w:rPr>
                <w:rFonts w:hAnsi="宋体"/>
                <w:color w:val="auto"/>
                <w:kern w:val="0"/>
                <w:sz w:val="24"/>
              </w:rPr>
              <w:t>；硫化氢，臭鸡蛋味气体，阈值为</w:t>
            </w:r>
            <w:r>
              <w:rPr>
                <w:color w:val="auto"/>
                <w:kern w:val="0"/>
                <w:sz w:val="24"/>
              </w:rPr>
              <w:t>0.0076 mg/m</w:t>
            </w:r>
            <w:r>
              <w:rPr>
                <w:color w:val="auto"/>
                <w:kern w:val="0"/>
                <w:sz w:val="24"/>
                <w:vertAlign w:val="superscript"/>
              </w:rPr>
              <w:t>3</w:t>
            </w:r>
            <w:r>
              <w:rPr>
                <w:rFonts w:hAnsi="宋体"/>
                <w:color w:val="auto"/>
                <w:kern w:val="0"/>
                <w:sz w:val="24"/>
              </w:rPr>
              <w:t>；三甲胺，氨</w:t>
            </w:r>
            <w:r>
              <w:rPr>
                <w:rFonts w:hint="eastAsia" w:hAnsi="宋体"/>
                <w:color w:val="auto"/>
                <w:kern w:val="0"/>
                <w:sz w:val="24"/>
              </w:rPr>
              <w:t>、</w:t>
            </w:r>
            <w:r>
              <w:rPr>
                <w:rFonts w:hAnsi="宋体"/>
                <w:color w:val="auto"/>
                <w:kern w:val="0"/>
                <w:sz w:val="24"/>
              </w:rPr>
              <w:t>鱼腥味气体，阈为</w:t>
            </w:r>
            <w:r>
              <w:rPr>
                <w:color w:val="auto"/>
                <w:kern w:val="0"/>
                <w:sz w:val="24"/>
              </w:rPr>
              <w:t>0.0026 mg/m</w:t>
            </w:r>
            <w:r>
              <w:rPr>
                <w:color w:val="auto"/>
                <w:kern w:val="0"/>
                <w:sz w:val="24"/>
                <w:vertAlign w:val="superscript"/>
              </w:rPr>
              <w:t>3</w:t>
            </w:r>
            <w:r>
              <w:rPr>
                <w:rFonts w:hAnsi="宋体"/>
                <w:color w:val="auto"/>
                <w:kern w:val="0"/>
                <w:sz w:val="24"/>
              </w:rPr>
              <w:t>；甲硫醇，特殊臭味气体，值为</w:t>
            </w:r>
            <w:r>
              <w:rPr>
                <w:color w:val="auto"/>
                <w:kern w:val="0"/>
                <w:sz w:val="24"/>
              </w:rPr>
              <w:t>0.00021 mg/m</w:t>
            </w:r>
            <w:r>
              <w:rPr>
                <w:color w:val="auto"/>
                <w:kern w:val="0"/>
                <w:sz w:val="24"/>
                <w:vertAlign w:val="superscript"/>
              </w:rPr>
              <w:t>3</w:t>
            </w:r>
            <w:r>
              <w:rPr>
                <w:rFonts w:hAnsi="宋体"/>
                <w:color w:val="auto"/>
                <w:kern w:val="0"/>
                <w:sz w:val="24"/>
              </w:rPr>
              <w:t>。垃圾经收集至垃圾</w:t>
            </w:r>
            <w:r>
              <w:rPr>
                <w:rFonts w:hint="eastAsia" w:hAnsi="宋体"/>
                <w:color w:val="auto"/>
                <w:kern w:val="0"/>
                <w:sz w:val="24"/>
                <w:lang w:eastAsia="zh-CN"/>
              </w:rPr>
              <w:t>房</w:t>
            </w:r>
            <w:r>
              <w:rPr>
                <w:rFonts w:hAnsi="宋体"/>
                <w:color w:val="auto"/>
                <w:kern w:val="0"/>
                <w:sz w:val="24"/>
              </w:rPr>
              <w:t>再由环卫部门早晚各清运一次，统一运至市政垃圾站进行无害化处理。</w:t>
            </w:r>
          </w:p>
          <w:p w14:paraId="2D3F8259">
            <w:pPr>
              <w:pStyle w:val="5"/>
              <w:spacing w:line="360" w:lineRule="auto"/>
              <w:ind w:firstLine="480" w:firstLineChars="200"/>
              <w:rPr>
                <w:rFonts w:hint="eastAsia" w:hAnsi="宋体" w:eastAsia="宋体"/>
                <w:bCs/>
                <w:color w:val="auto"/>
                <w:sz w:val="24"/>
                <w:szCs w:val="24"/>
                <w:lang w:val="en-US" w:eastAsia="zh-CN"/>
              </w:rPr>
            </w:pPr>
            <w:r>
              <w:rPr>
                <w:rFonts w:hint="eastAsia" w:hAnsi="宋体"/>
                <w:bCs/>
                <w:color w:val="auto"/>
                <w:sz w:val="24"/>
                <w:szCs w:val="24"/>
                <w:lang w:val="en-US" w:eastAsia="zh-CN"/>
              </w:rPr>
              <w:t>3.2、运营期废水</w:t>
            </w:r>
          </w:p>
          <w:p w14:paraId="49896801">
            <w:pPr>
              <w:spacing w:line="360" w:lineRule="auto"/>
              <w:ind w:firstLine="600" w:firstLineChars="250"/>
              <w:rPr>
                <w:rFonts w:hint="eastAsia" w:cs="Times New Roman"/>
                <w:color w:val="auto"/>
                <w:sz w:val="24"/>
                <w:szCs w:val="24"/>
                <w:lang w:eastAsia="zh-CN"/>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1</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商业区</w:t>
            </w:r>
            <w:r>
              <w:rPr>
                <w:rFonts w:hint="eastAsia" w:cs="Times New Roman"/>
                <w:color w:val="auto"/>
                <w:sz w:val="24"/>
                <w:szCs w:val="24"/>
                <w:lang w:eastAsia="zh-CN"/>
              </w:rPr>
              <w:t>、</w:t>
            </w:r>
            <w:r>
              <w:rPr>
                <w:rFonts w:ascii="Times New Roman" w:hAnsi="Times New Roman" w:cs="Times New Roman"/>
                <w:color w:val="auto"/>
                <w:sz w:val="24"/>
                <w:szCs w:val="24"/>
              </w:rPr>
              <w:t>住宅区、</w:t>
            </w:r>
            <w:r>
              <w:rPr>
                <w:rFonts w:hint="eastAsia" w:cs="Times New Roman"/>
                <w:color w:val="auto"/>
                <w:sz w:val="24"/>
                <w:szCs w:val="24"/>
                <w:lang w:eastAsia="zh-CN"/>
              </w:rPr>
              <w:t>配套公建设施用房生活污水</w:t>
            </w:r>
          </w:p>
          <w:p w14:paraId="7F0054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黑体" w:cs="Times New Roman"/>
                <w:color w:val="auto"/>
                <w:kern w:val="0"/>
                <w:sz w:val="21"/>
                <w:szCs w:val="21"/>
              </w:rPr>
            </w:pPr>
            <w:r>
              <w:rPr>
                <w:rFonts w:ascii="Times New Roman" w:hAnsi="Times New Roman" w:cs="Times New Roman"/>
                <w:color w:val="auto"/>
                <w:sz w:val="24"/>
                <w:szCs w:val="24"/>
              </w:rPr>
              <w:t>商业区</w:t>
            </w:r>
            <w:r>
              <w:rPr>
                <w:rFonts w:hint="eastAsia" w:cs="Times New Roman"/>
                <w:color w:val="auto"/>
                <w:sz w:val="24"/>
                <w:szCs w:val="24"/>
                <w:lang w:eastAsia="zh-CN"/>
              </w:rPr>
              <w:t>、</w:t>
            </w:r>
            <w:r>
              <w:rPr>
                <w:rFonts w:ascii="Times New Roman" w:hAnsi="Times New Roman" w:cs="Times New Roman"/>
                <w:color w:val="auto"/>
                <w:sz w:val="24"/>
                <w:szCs w:val="24"/>
              </w:rPr>
              <w:t>住宅区、</w:t>
            </w:r>
            <w:r>
              <w:rPr>
                <w:rFonts w:hint="eastAsia" w:cs="Times New Roman"/>
                <w:color w:val="auto"/>
                <w:sz w:val="24"/>
                <w:szCs w:val="24"/>
                <w:lang w:eastAsia="zh-CN"/>
              </w:rPr>
              <w:t>配套公建设施用房</w:t>
            </w:r>
            <w:r>
              <w:rPr>
                <w:rFonts w:hint="eastAsia" w:ascii="Times New Roman" w:hAnsi="Times New Roman" w:cs="Times New Roman"/>
                <w:color w:val="auto"/>
                <w:sz w:val="24"/>
                <w:szCs w:val="24"/>
                <w:lang w:eastAsia="zh-CN"/>
              </w:rPr>
              <w:t>生活污水的总产生量为</w:t>
            </w:r>
            <w:r>
              <w:rPr>
                <w:rFonts w:hint="eastAsia" w:cs="Times New Roman"/>
                <w:color w:val="auto"/>
                <w:sz w:val="24"/>
                <w:szCs w:val="24"/>
                <w:lang w:val="en-US" w:eastAsia="zh-CN"/>
              </w:rPr>
              <w:t>98359.616</w:t>
            </w:r>
            <w:r>
              <w:rPr>
                <w:color w:val="auto"/>
                <w:sz w:val="24"/>
              </w:rPr>
              <w:t>m</w:t>
            </w:r>
            <w:r>
              <w:rPr>
                <w:color w:val="auto"/>
                <w:sz w:val="24"/>
                <w:vertAlign w:val="superscript"/>
              </w:rPr>
              <w:t>3</w:t>
            </w:r>
            <w:r>
              <w:rPr>
                <w:color w:val="auto"/>
                <w:sz w:val="24"/>
              </w:rPr>
              <w:t>/a</w:t>
            </w:r>
            <w:r>
              <w:rPr>
                <w:rFonts w:hint="eastAsia"/>
                <w:color w:val="auto"/>
                <w:sz w:val="24"/>
                <w:lang w:eastAsia="zh-CN"/>
              </w:rPr>
              <w:t>。</w:t>
            </w:r>
            <w:r>
              <w:rPr>
                <w:rFonts w:hint="eastAsia" w:ascii="Times New Roman" w:hAnsi="Times New Roman" w:eastAsia="宋体" w:cs="Times New Roman"/>
                <w:color w:val="auto"/>
                <w:sz w:val="24"/>
                <w:lang w:val="en-US" w:eastAsia="zh-CN"/>
              </w:rPr>
              <w:t>具体情况可</w:t>
            </w:r>
            <w:r>
              <w:rPr>
                <w:rFonts w:hint="eastAsia" w:ascii="Times New Roman" w:hAnsi="Times New Roman" w:eastAsia="宋体" w:cs="Times New Roman"/>
                <w:color w:val="auto"/>
                <w:sz w:val="24"/>
                <w:lang w:eastAsia="zh-CN"/>
              </w:rPr>
              <w:t>见表</w:t>
            </w:r>
            <w:r>
              <w:rPr>
                <w:rFonts w:hint="eastAsia" w:ascii="Times New Roman" w:hAnsi="Times New Roman" w:eastAsia="宋体" w:cs="Times New Roman"/>
                <w:color w:val="auto"/>
                <w:sz w:val="24"/>
                <w:lang w:val="en-US" w:eastAsia="zh-CN"/>
              </w:rPr>
              <w:t>1-3</w:t>
            </w:r>
            <w:r>
              <w:rPr>
                <w:rFonts w:hint="default" w:ascii="Times New Roman" w:hAnsi="Times New Roman" w:eastAsia="宋体" w:cs="Times New Roman"/>
                <w:color w:val="auto"/>
                <w:sz w:val="24"/>
              </w:rPr>
              <w:t>项目</w:t>
            </w:r>
            <w:r>
              <w:rPr>
                <w:rFonts w:hint="eastAsia" w:ascii="Times New Roman" w:hAnsi="Times New Roman" w:eastAsia="宋体" w:cs="Times New Roman"/>
                <w:color w:val="auto"/>
                <w:sz w:val="24"/>
                <w:lang w:eastAsia="zh-CN"/>
              </w:rPr>
              <w:t>水平衡表和</w:t>
            </w:r>
            <w:r>
              <w:rPr>
                <w:rFonts w:hint="default" w:ascii="Times New Roman" w:hAnsi="Times New Roman" w:eastAsia="宋体" w:cs="Times New Roman"/>
                <w:color w:val="auto"/>
                <w:sz w:val="24"/>
              </w:rPr>
              <w:t>图1-1</w:t>
            </w:r>
            <w:r>
              <w:rPr>
                <w:rFonts w:hint="eastAsia" w:ascii="Times New Roman" w:hAnsi="Times New Roman" w:eastAsia="宋体" w:cs="Times New Roman"/>
                <w:color w:val="auto"/>
                <w:sz w:val="24"/>
                <w:lang w:eastAsia="zh-CN"/>
              </w:rPr>
              <w:t>项目</w:t>
            </w:r>
            <w:r>
              <w:rPr>
                <w:rFonts w:hint="default" w:ascii="Times New Roman" w:hAnsi="Times New Roman" w:eastAsia="宋体" w:cs="Times New Roman"/>
                <w:color w:val="auto"/>
                <w:sz w:val="24"/>
              </w:rPr>
              <w:t>水平衡图。</w:t>
            </w:r>
            <w:r>
              <w:rPr>
                <w:rFonts w:hint="default" w:ascii="Times New Roman" w:hAnsi="Times New Roman" w:eastAsia="宋体" w:cs="Times New Roman"/>
                <w:color w:val="auto"/>
                <w:sz w:val="24"/>
                <w:szCs w:val="24"/>
              </w:rPr>
              <w:t>根据《城市污水处理厂处理设施设计计算》（化学工业出版社2004年第一版）中典型生活污水水质指标计算，</w:t>
            </w:r>
            <w:r>
              <w:rPr>
                <w:rFonts w:hint="default" w:ascii="Times New Roman" w:hAnsi="Times New Roman" w:eastAsia="宋体" w:cs="Times New Roman"/>
                <w:color w:val="auto"/>
                <w:sz w:val="24"/>
              </w:rPr>
              <w:t>生活污水的污染物的浓度和产生量分别为：</w:t>
            </w:r>
            <w:r>
              <w:rPr>
                <w:rFonts w:hint="default" w:ascii="Times New Roman" w:hAnsi="Times New Roman" w:eastAsia="宋体" w:cs="Times New Roman"/>
                <w:color w:val="auto"/>
                <w:sz w:val="24"/>
                <w:szCs w:val="24"/>
              </w:rPr>
              <w:t>COD</w:t>
            </w:r>
            <w:r>
              <w:rPr>
                <w:rFonts w:hint="default" w:ascii="Times New Roman" w:hAnsi="Times New Roman" w:eastAsia="宋体" w:cs="Times New Roman"/>
                <w:color w:val="auto"/>
                <w:sz w:val="24"/>
                <w:szCs w:val="24"/>
                <w:vertAlign w:val="subscript"/>
              </w:rPr>
              <w:t>Cr</w:t>
            </w:r>
            <w:r>
              <w:rPr>
                <w:rFonts w:hint="default" w:ascii="Times New Roman" w:hAnsi="Times New Roman" w:eastAsia="宋体" w:cs="Times New Roman"/>
                <w:color w:val="auto"/>
                <w:sz w:val="24"/>
                <w:szCs w:val="24"/>
              </w:rPr>
              <w:t>约400mg/L</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BOD</w:t>
            </w:r>
            <w:r>
              <w:rPr>
                <w:rFonts w:hint="default" w:ascii="Times New Roman" w:hAnsi="Times New Roman" w:eastAsia="宋体" w:cs="Times New Roman"/>
                <w:color w:val="auto"/>
                <w:sz w:val="24"/>
                <w:szCs w:val="24"/>
                <w:vertAlign w:val="subscript"/>
              </w:rPr>
              <w:t>5</w:t>
            </w:r>
            <w:r>
              <w:rPr>
                <w:rFonts w:hint="default" w:ascii="Times New Roman" w:hAnsi="Times New Roman" w:eastAsia="宋体" w:cs="Times New Roman"/>
                <w:color w:val="auto"/>
                <w:sz w:val="24"/>
                <w:szCs w:val="24"/>
              </w:rPr>
              <w:t>约200mg/L</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SS约220mg/L，氨氮约40mg/L</w:t>
            </w:r>
            <w:r>
              <w:rPr>
                <w:rFonts w:hint="eastAsia" w:cs="Times New Roman"/>
                <w:color w:val="auto"/>
                <w:sz w:val="24"/>
                <w:szCs w:val="24"/>
                <w:lang w:eastAsia="zh-CN"/>
              </w:rPr>
              <w:t>、动植物油</w:t>
            </w:r>
            <w:r>
              <w:rPr>
                <w:rFonts w:hint="eastAsia" w:cs="Times New Roman"/>
                <w:color w:val="auto"/>
                <w:sz w:val="24"/>
                <w:szCs w:val="24"/>
                <w:lang w:val="en-US" w:eastAsia="zh-CN"/>
              </w:rPr>
              <w:t>30</w:t>
            </w:r>
            <w:r>
              <w:rPr>
                <w:rFonts w:hint="default" w:ascii="Times New Roman" w:hAnsi="Times New Roman" w:eastAsia="宋体" w:cs="Times New Roman"/>
                <w:color w:val="auto"/>
                <w:sz w:val="24"/>
                <w:szCs w:val="24"/>
              </w:rPr>
              <w:t>mg/L。</w:t>
            </w:r>
            <w:r>
              <w:rPr>
                <w:rFonts w:hint="eastAsia" w:cs="Times New Roman"/>
                <w:color w:val="auto"/>
                <w:sz w:val="24"/>
                <w:szCs w:val="24"/>
                <w:lang w:eastAsia="zh-CN"/>
              </w:rPr>
              <w:t>生活污水经过三级化粪池处理后排入市政污水管网，</w:t>
            </w:r>
            <w:r>
              <w:rPr>
                <w:rFonts w:hint="default" w:ascii="Times New Roman" w:hAnsi="Times New Roman" w:cs="Times New Roman" w:eastAsiaTheme="minorEastAsia"/>
                <w:color w:val="auto"/>
                <w:sz w:val="24"/>
                <w:szCs w:val="24"/>
              </w:rPr>
              <w:t>三级化粪池处理</w:t>
            </w:r>
            <w:r>
              <w:rPr>
                <w:rFonts w:hint="default" w:ascii="Times New Roman" w:hAnsi="Times New Roman" w:cs="Times New Roman" w:eastAsiaTheme="minorEastAsia"/>
                <w:color w:val="auto"/>
                <w:sz w:val="24"/>
              </w:rPr>
              <w:t>效率按COD：40%、BOD</w:t>
            </w:r>
            <w:r>
              <w:rPr>
                <w:rFonts w:hint="default" w:ascii="Times New Roman" w:hAnsi="Times New Roman" w:cs="Times New Roman" w:eastAsiaTheme="minorEastAsia"/>
                <w:color w:val="auto"/>
                <w:sz w:val="24"/>
                <w:vertAlign w:val="subscript"/>
              </w:rPr>
              <w:t>5</w:t>
            </w:r>
            <w:r>
              <w:rPr>
                <w:rFonts w:hint="default" w:ascii="Times New Roman" w:hAnsi="Times New Roman" w:cs="Times New Roman" w:eastAsiaTheme="minorEastAsia"/>
                <w:color w:val="auto"/>
                <w:sz w:val="24"/>
              </w:rPr>
              <w:t>：50%、SS：60%计，经处理后</w:t>
            </w:r>
            <w:r>
              <w:rPr>
                <w:rFonts w:hint="eastAsia" w:cs="Times New Roman" w:eastAsiaTheme="minorEastAsia"/>
                <w:color w:val="auto"/>
                <w:sz w:val="24"/>
                <w:lang w:eastAsia="zh-CN"/>
              </w:rPr>
              <w:t>生活污水中污染物</w:t>
            </w:r>
            <w:r>
              <w:rPr>
                <w:rFonts w:hint="default" w:ascii="Times New Roman" w:hAnsi="Times New Roman" w:cs="Times New Roman" w:eastAsiaTheme="minorEastAsia"/>
                <w:color w:val="auto"/>
                <w:sz w:val="24"/>
              </w:rPr>
              <w:t>浓度COD：</w:t>
            </w:r>
            <w:r>
              <w:rPr>
                <w:rFonts w:hint="eastAsia" w:ascii="Times New Roman" w:hAnsi="Times New Roman" w:cs="Times New Roman" w:eastAsiaTheme="minorEastAsia"/>
                <w:color w:val="auto"/>
                <w:sz w:val="24"/>
                <w:lang w:val="en-US" w:eastAsia="zh-CN"/>
              </w:rPr>
              <w:t>240</w:t>
            </w:r>
            <w:r>
              <w:rPr>
                <w:rFonts w:hint="default" w:ascii="Times New Roman" w:hAnsi="Times New Roman" w:cs="Times New Roman" w:eastAsiaTheme="minorEastAsia"/>
                <w:color w:val="auto"/>
                <w:sz w:val="24"/>
              </w:rPr>
              <w:t>mg/L、BOD</w:t>
            </w:r>
            <w:r>
              <w:rPr>
                <w:rFonts w:hint="default" w:ascii="Times New Roman" w:hAnsi="Times New Roman" w:cs="Times New Roman" w:eastAsiaTheme="minorEastAsia"/>
                <w:color w:val="auto"/>
                <w:sz w:val="24"/>
                <w:vertAlign w:val="subscript"/>
              </w:rPr>
              <w:t>5</w:t>
            </w:r>
            <w:r>
              <w:rPr>
                <w:rFonts w:hint="default" w:ascii="Times New Roman" w:hAnsi="Times New Roman" w:cs="Times New Roman" w:eastAsiaTheme="minorEastAsia"/>
                <w:color w:val="auto"/>
                <w:sz w:val="24"/>
              </w:rPr>
              <w:t>：</w:t>
            </w:r>
            <w:r>
              <w:rPr>
                <w:rFonts w:hint="eastAsia" w:ascii="Times New Roman" w:hAnsi="Times New Roman" w:cs="Times New Roman" w:eastAsiaTheme="minorEastAsia"/>
                <w:color w:val="auto"/>
                <w:sz w:val="24"/>
                <w:lang w:val="en-US" w:eastAsia="zh-CN"/>
              </w:rPr>
              <w:t>100</w:t>
            </w:r>
            <w:r>
              <w:rPr>
                <w:rFonts w:hint="default" w:ascii="Times New Roman" w:hAnsi="Times New Roman" w:cs="Times New Roman" w:eastAsiaTheme="minorEastAsia"/>
                <w:color w:val="auto"/>
                <w:sz w:val="24"/>
              </w:rPr>
              <w:t>mg/L、SS：</w:t>
            </w:r>
            <w:r>
              <w:rPr>
                <w:rFonts w:hint="eastAsia" w:ascii="Times New Roman" w:hAnsi="Times New Roman" w:cs="Times New Roman" w:eastAsiaTheme="minorEastAsia"/>
                <w:color w:val="auto"/>
                <w:sz w:val="24"/>
                <w:lang w:val="en-US" w:eastAsia="zh-CN"/>
              </w:rPr>
              <w:t>88</w:t>
            </w:r>
            <w:r>
              <w:rPr>
                <w:rFonts w:hint="default" w:ascii="Times New Roman" w:hAnsi="Times New Roman" w:cs="Times New Roman" w:eastAsiaTheme="minorEastAsia"/>
                <w:color w:val="auto"/>
                <w:sz w:val="24"/>
              </w:rPr>
              <w:t>mg/L、氨氮：</w:t>
            </w:r>
            <w:r>
              <w:rPr>
                <w:rFonts w:hint="eastAsia" w:ascii="Times New Roman" w:hAnsi="Times New Roman" w:cs="Times New Roman" w:eastAsiaTheme="minorEastAsia"/>
                <w:color w:val="auto"/>
                <w:sz w:val="24"/>
                <w:lang w:val="en-US" w:eastAsia="zh-CN"/>
              </w:rPr>
              <w:t>40</w:t>
            </w:r>
            <w:r>
              <w:rPr>
                <w:rFonts w:hint="default" w:ascii="Times New Roman" w:hAnsi="Times New Roman" w:cs="Times New Roman" w:eastAsiaTheme="minorEastAsia"/>
                <w:color w:val="auto"/>
                <w:sz w:val="24"/>
              </w:rPr>
              <w:t>mg/L</w:t>
            </w:r>
            <w:r>
              <w:rPr>
                <w:rFonts w:hint="eastAsia" w:cs="Times New Roman" w:eastAsiaTheme="minorEastAsia"/>
                <w:color w:val="auto"/>
                <w:sz w:val="24"/>
                <w:lang w:eastAsia="zh-CN"/>
              </w:rPr>
              <w:t>、动植物油</w:t>
            </w:r>
            <w:r>
              <w:rPr>
                <w:rFonts w:hint="eastAsia" w:cs="Times New Roman"/>
                <w:color w:val="auto"/>
                <w:sz w:val="24"/>
                <w:szCs w:val="24"/>
                <w:lang w:val="en-US" w:eastAsia="zh-CN"/>
              </w:rPr>
              <w:t>30</w:t>
            </w:r>
            <w:r>
              <w:rPr>
                <w:rFonts w:hint="default" w:ascii="Times New Roman" w:hAnsi="Times New Roman" w:eastAsia="宋体" w:cs="Times New Roman"/>
                <w:color w:val="auto"/>
                <w:sz w:val="24"/>
                <w:szCs w:val="24"/>
              </w:rPr>
              <w:t>mg/L</w:t>
            </w:r>
            <w:r>
              <w:rPr>
                <w:rFonts w:hint="eastAsia" w:ascii="Times New Roman" w:hAnsi="Times New Roman" w:cs="Times New Roman" w:eastAsiaTheme="minorEastAsia"/>
                <w:color w:val="auto"/>
                <w:sz w:val="24"/>
                <w:lang w:eastAsia="zh-CN"/>
              </w:rPr>
              <w:t>。</w:t>
            </w:r>
            <w:r>
              <w:rPr>
                <w:rFonts w:hint="default" w:ascii="Times New Roman" w:hAnsi="Times New Roman" w:eastAsia="宋体" w:cs="Times New Roman"/>
                <w:color w:val="auto"/>
                <w:sz w:val="24"/>
                <w:szCs w:val="24"/>
              </w:rPr>
              <w:t>运营期</w:t>
            </w:r>
            <w:r>
              <w:rPr>
                <w:rFonts w:hint="eastAsia" w:cs="Times New Roman"/>
                <w:color w:val="auto"/>
                <w:sz w:val="24"/>
                <w:szCs w:val="24"/>
                <w:lang w:eastAsia="zh-CN"/>
              </w:rPr>
              <w:t>生活污水</w:t>
            </w:r>
            <w:r>
              <w:rPr>
                <w:rFonts w:hint="default" w:ascii="Times New Roman" w:hAnsi="Times New Roman" w:eastAsia="宋体" w:cs="Times New Roman"/>
                <w:color w:val="auto"/>
                <w:sz w:val="24"/>
                <w:szCs w:val="24"/>
              </w:rPr>
              <w:t>中各污染物产生量见表5-</w:t>
            </w: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w:t>
            </w:r>
          </w:p>
          <w:p w14:paraId="52EBD75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表5-</w:t>
            </w:r>
            <w:r>
              <w:rPr>
                <w:rFonts w:hint="default" w:ascii="Times New Roman" w:hAnsi="Times New Roman" w:eastAsia="宋体" w:cs="Times New Roman"/>
                <w:b/>
                <w:bCs/>
                <w:color w:val="auto"/>
                <w:kern w:val="0"/>
                <w:sz w:val="21"/>
                <w:szCs w:val="21"/>
                <w:lang w:val="en-US" w:eastAsia="zh-CN"/>
              </w:rPr>
              <w:t>5</w:t>
            </w:r>
            <w:r>
              <w:rPr>
                <w:rFonts w:hint="default" w:ascii="Times New Roman" w:hAnsi="Times New Roman" w:eastAsia="宋体" w:cs="Times New Roman"/>
                <w:b/>
                <w:bCs/>
                <w:color w:val="auto"/>
                <w:kern w:val="0"/>
                <w:sz w:val="21"/>
                <w:szCs w:val="21"/>
              </w:rPr>
              <w:t xml:space="preserve">  营运期</w:t>
            </w:r>
            <w:r>
              <w:rPr>
                <w:rFonts w:hint="eastAsia" w:cs="Times New Roman"/>
                <w:b/>
                <w:bCs/>
                <w:color w:val="auto"/>
                <w:kern w:val="0"/>
                <w:sz w:val="21"/>
                <w:szCs w:val="21"/>
                <w:lang w:eastAsia="zh-CN"/>
              </w:rPr>
              <w:t>生活</w:t>
            </w:r>
            <w:r>
              <w:rPr>
                <w:rFonts w:hint="default" w:ascii="Times New Roman" w:hAnsi="Times New Roman" w:eastAsia="宋体" w:cs="Times New Roman"/>
                <w:b/>
                <w:bCs/>
                <w:color w:val="auto"/>
                <w:kern w:val="0"/>
                <w:sz w:val="21"/>
                <w:szCs w:val="21"/>
              </w:rPr>
              <w:t>污水各污染物产生量</w:t>
            </w:r>
          </w:p>
          <w:tbl>
            <w:tblPr>
              <w:tblStyle w:val="15"/>
              <w:tblW w:w="8504"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1611"/>
              <w:gridCol w:w="1611"/>
              <w:gridCol w:w="1"/>
              <w:gridCol w:w="1610"/>
              <w:gridCol w:w="1614"/>
            </w:tblGrid>
            <w:tr w14:paraId="6F3E052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vMerge w:val="restart"/>
                  <w:tcBorders>
                    <w:tl2br w:val="nil"/>
                    <w:tr2bl w:val="nil"/>
                  </w:tcBorders>
                  <w:vAlign w:val="center"/>
                </w:tcPr>
                <w:p w14:paraId="78161256">
                  <w:pPr>
                    <w:jc w:val="center"/>
                    <w:rPr>
                      <w:rFonts w:hint="eastAsia" w:ascii="Times New Roman" w:hAnsi="Times New Roman" w:cs="Times New Roman"/>
                      <w:color w:val="auto"/>
                      <w:sz w:val="21"/>
                      <w:szCs w:val="21"/>
                      <w:lang w:eastAsia="zh-CN"/>
                    </w:rPr>
                  </w:pPr>
                  <w:r>
                    <w:rPr>
                      <w:rFonts w:hint="default" w:ascii="Times New Roman" w:hAnsi="Times New Roman" w:cs="Times New Roman"/>
                      <w:color w:val="auto"/>
                      <w:sz w:val="21"/>
                      <w:szCs w:val="21"/>
                    </w:rPr>
                    <w:t>生活污水</w:t>
                  </w:r>
                  <w:r>
                    <w:rPr>
                      <w:rFonts w:hint="eastAsia" w:ascii="Times New Roman" w:hAnsi="Times New Roman" w:cs="Times New Roman"/>
                      <w:color w:val="auto"/>
                      <w:sz w:val="21"/>
                      <w:szCs w:val="21"/>
                      <w:lang w:eastAsia="zh-CN"/>
                    </w:rPr>
                    <w:t>中</w:t>
                  </w:r>
                </w:p>
                <w:p w14:paraId="7535AA0F">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eastAsia="zh-CN"/>
                    </w:rPr>
                    <w:t>主要污染物</w:t>
                  </w:r>
                </w:p>
              </w:tc>
              <w:tc>
                <w:tcPr>
                  <w:tcW w:w="3223" w:type="dxa"/>
                  <w:gridSpan w:val="3"/>
                  <w:tcBorders>
                    <w:tl2br w:val="nil"/>
                    <w:tr2bl w:val="nil"/>
                  </w:tcBorders>
                  <w:vAlign w:val="center"/>
                </w:tcPr>
                <w:p w14:paraId="2049D216">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产生</w:t>
                  </w:r>
                  <w:r>
                    <w:rPr>
                      <w:rFonts w:hint="eastAsia" w:cs="Times New Roman"/>
                      <w:color w:val="auto"/>
                      <w:sz w:val="21"/>
                      <w:szCs w:val="21"/>
                      <w:lang w:eastAsia="zh-CN"/>
                    </w:rPr>
                    <w:t>量</w:t>
                  </w:r>
                </w:p>
                <w:p w14:paraId="08BC2799">
                  <w:pPr>
                    <w:jc w:val="center"/>
                    <w:rPr>
                      <w:rFonts w:hint="default" w:ascii="Times New Roman" w:hAnsi="Times New Roman" w:cs="Times New Roman"/>
                      <w:color w:val="auto"/>
                      <w:sz w:val="21"/>
                      <w:szCs w:val="21"/>
                    </w:rPr>
                  </w:pPr>
                  <w:r>
                    <w:rPr>
                      <w:rFonts w:hint="eastAsia" w:cs="Times New Roman"/>
                      <w:color w:val="auto"/>
                      <w:sz w:val="21"/>
                      <w:szCs w:val="21"/>
                      <w:lang w:val="en-US" w:eastAsia="zh-CN"/>
                    </w:rPr>
                    <w:t>98359.616</w:t>
                  </w:r>
                  <w:r>
                    <w:rPr>
                      <w:rFonts w:hint="default" w:ascii="Times New Roman" w:hAnsi="Times New Roman" w:cs="Times New Roman"/>
                      <w:color w:val="auto"/>
                      <w:sz w:val="21"/>
                      <w:szCs w:val="21"/>
                    </w:rPr>
                    <w:t>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/a</w:t>
                  </w:r>
                </w:p>
              </w:tc>
              <w:tc>
                <w:tcPr>
                  <w:tcW w:w="3224" w:type="dxa"/>
                  <w:gridSpan w:val="2"/>
                  <w:tcBorders>
                    <w:tl2br w:val="nil"/>
                    <w:tr2bl w:val="nil"/>
                  </w:tcBorders>
                  <w:vAlign w:val="center"/>
                </w:tcPr>
                <w:p w14:paraId="47A74235">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排放</w:t>
                  </w:r>
                  <w:r>
                    <w:rPr>
                      <w:rFonts w:hint="eastAsia" w:cs="Times New Roman"/>
                      <w:color w:val="auto"/>
                      <w:sz w:val="21"/>
                      <w:szCs w:val="21"/>
                      <w:lang w:eastAsia="zh-CN"/>
                    </w:rPr>
                    <w:t>量</w:t>
                  </w:r>
                </w:p>
                <w:p w14:paraId="5DF0AD0B">
                  <w:pPr>
                    <w:jc w:val="center"/>
                    <w:rPr>
                      <w:rFonts w:hint="default" w:ascii="Times New Roman" w:hAnsi="Times New Roman" w:cs="Times New Roman"/>
                      <w:color w:val="auto"/>
                      <w:sz w:val="21"/>
                      <w:szCs w:val="21"/>
                    </w:rPr>
                  </w:pPr>
                  <w:r>
                    <w:rPr>
                      <w:rFonts w:hint="eastAsia" w:cs="Times New Roman"/>
                      <w:color w:val="auto"/>
                      <w:sz w:val="21"/>
                      <w:szCs w:val="21"/>
                      <w:lang w:val="en-US" w:eastAsia="zh-CN"/>
                    </w:rPr>
                    <w:t>98359.616</w:t>
                  </w:r>
                  <w:r>
                    <w:rPr>
                      <w:rFonts w:hint="default" w:ascii="Times New Roman" w:hAnsi="Times New Roman" w:cs="Times New Roman"/>
                      <w:color w:val="auto"/>
                      <w:sz w:val="21"/>
                      <w:szCs w:val="21"/>
                    </w:rPr>
                    <w:t>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/a</w:t>
                  </w:r>
                </w:p>
              </w:tc>
            </w:tr>
            <w:tr w14:paraId="76BD40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vMerge w:val="continue"/>
                  <w:tcBorders>
                    <w:tl2br w:val="nil"/>
                    <w:tr2bl w:val="nil"/>
                  </w:tcBorders>
                  <w:vAlign w:val="center"/>
                </w:tcPr>
                <w:p w14:paraId="5BE8E00D">
                  <w:pPr>
                    <w:jc w:val="center"/>
                    <w:rPr>
                      <w:rFonts w:hint="default" w:ascii="Times New Roman" w:hAnsi="Times New Roman" w:cs="Times New Roman"/>
                      <w:color w:val="auto"/>
                      <w:sz w:val="21"/>
                      <w:szCs w:val="21"/>
                    </w:rPr>
                  </w:pPr>
                </w:p>
              </w:tc>
              <w:tc>
                <w:tcPr>
                  <w:tcW w:w="1611" w:type="dxa"/>
                  <w:tcBorders>
                    <w:tl2br w:val="nil"/>
                    <w:tr2bl w:val="nil"/>
                  </w:tcBorders>
                  <w:vAlign w:val="center"/>
                </w:tcPr>
                <w:p w14:paraId="341BF6E2">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mg/L</w:t>
                  </w:r>
                </w:p>
              </w:tc>
              <w:tc>
                <w:tcPr>
                  <w:tcW w:w="1611" w:type="dxa"/>
                  <w:tcBorders>
                    <w:tl2br w:val="nil"/>
                    <w:tr2bl w:val="nil"/>
                  </w:tcBorders>
                  <w:vAlign w:val="center"/>
                </w:tcPr>
                <w:p w14:paraId="73B85989">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t/a</w:t>
                  </w:r>
                </w:p>
              </w:tc>
              <w:tc>
                <w:tcPr>
                  <w:tcW w:w="1611" w:type="dxa"/>
                  <w:gridSpan w:val="2"/>
                  <w:tcBorders>
                    <w:tl2br w:val="nil"/>
                    <w:tr2bl w:val="nil"/>
                  </w:tcBorders>
                  <w:vAlign w:val="center"/>
                </w:tcPr>
                <w:p w14:paraId="2C3B54AD">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mg/L</w:t>
                  </w:r>
                </w:p>
              </w:tc>
              <w:tc>
                <w:tcPr>
                  <w:tcW w:w="1614" w:type="dxa"/>
                  <w:tcBorders>
                    <w:tl2br w:val="nil"/>
                    <w:tr2bl w:val="nil"/>
                  </w:tcBorders>
                  <w:vAlign w:val="center"/>
                </w:tcPr>
                <w:p w14:paraId="2673CA67">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t/a</w:t>
                  </w:r>
                </w:p>
              </w:tc>
            </w:tr>
            <w:tr w14:paraId="5245AD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tcBorders>
                    <w:tl2br w:val="nil"/>
                    <w:tr2bl w:val="nil"/>
                  </w:tcBorders>
                  <w:vAlign w:val="center"/>
                </w:tcPr>
                <w:p w14:paraId="5BD29C5E">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CODcr</w:t>
                  </w:r>
                </w:p>
              </w:tc>
              <w:tc>
                <w:tcPr>
                  <w:tcW w:w="1611" w:type="dxa"/>
                  <w:tcBorders>
                    <w:tl2br w:val="nil"/>
                    <w:tr2bl w:val="nil"/>
                  </w:tcBorders>
                  <w:vAlign w:val="center"/>
                </w:tcPr>
                <w:p w14:paraId="2D7FBEAC">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4</w:t>
                  </w:r>
                  <w:r>
                    <w:rPr>
                      <w:rFonts w:hint="default" w:ascii="Times New Roman" w:hAnsi="Times New Roman" w:cs="Times New Roman"/>
                      <w:color w:val="auto"/>
                      <w:sz w:val="21"/>
                      <w:szCs w:val="21"/>
                    </w:rPr>
                    <w:t>00</w:t>
                  </w:r>
                </w:p>
              </w:tc>
              <w:tc>
                <w:tcPr>
                  <w:tcW w:w="1611" w:type="dxa"/>
                  <w:tcBorders>
                    <w:tl2br w:val="nil"/>
                    <w:tr2bl w:val="nil"/>
                  </w:tcBorders>
                  <w:vAlign w:val="center"/>
                </w:tcPr>
                <w:p w14:paraId="40AFE0B1">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39.34</w:t>
                  </w:r>
                </w:p>
              </w:tc>
              <w:tc>
                <w:tcPr>
                  <w:tcW w:w="1611" w:type="dxa"/>
                  <w:gridSpan w:val="2"/>
                  <w:tcBorders>
                    <w:tl2br w:val="nil"/>
                    <w:tr2bl w:val="nil"/>
                  </w:tcBorders>
                  <w:vAlign w:val="center"/>
                </w:tcPr>
                <w:p w14:paraId="113D3C89">
                  <w:pPr>
                    <w:jc w:val="center"/>
                    <w:rPr>
                      <w:rFonts w:hint="default" w:ascii="Times New Roman" w:hAnsi="Times New Roman" w:cs="Times New Roman"/>
                      <w:color w:val="auto"/>
                      <w:sz w:val="21"/>
                      <w:szCs w:val="21"/>
                    </w:rPr>
                  </w:pPr>
                  <w:r>
                    <w:rPr>
                      <w:rFonts w:hint="eastAsia" w:cs="Times New Roman"/>
                      <w:color w:val="auto"/>
                      <w:sz w:val="21"/>
                      <w:szCs w:val="21"/>
                      <w:lang w:val="en-US" w:eastAsia="zh-CN"/>
                    </w:rPr>
                    <w:t>240</w:t>
                  </w:r>
                </w:p>
              </w:tc>
              <w:tc>
                <w:tcPr>
                  <w:tcW w:w="1614" w:type="dxa"/>
                  <w:tcBorders>
                    <w:tl2br w:val="nil"/>
                    <w:tr2bl w:val="nil"/>
                  </w:tcBorders>
                  <w:vAlign w:val="center"/>
                </w:tcPr>
                <w:p w14:paraId="6B46B50F">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23.61</w:t>
                  </w:r>
                </w:p>
              </w:tc>
            </w:tr>
            <w:tr w14:paraId="381CF1B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tcBorders>
                    <w:tl2br w:val="nil"/>
                    <w:tr2bl w:val="nil"/>
                  </w:tcBorders>
                  <w:vAlign w:val="center"/>
                </w:tcPr>
                <w:p w14:paraId="7DF80DD2">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BOD</w:t>
                  </w:r>
                  <w:r>
                    <w:rPr>
                      <w:rFonts w:hint="default" w:ascii="Times New Roman" w:hAnsi="Times New Roman" w:cs="Times New Roman"/>
                      <w:color w:val="auto"/>
                      <w:sz w:val="21"/>
                      <w:szCs w:val="21"/>
                      <w:vertAlign w:val="subscript"/>
                    </w:rPr>
                    <w:t>5</w:t>
                  </w:r>
                </w:p>
              </w:tc>
              <w:tc>
                <w:tcPr>
                  <w:tcW w:w="1611" w:type="dxa"/>
                  <w:tcBorders>
                    <w:tl2br w:val="nil"/>
                    <w:tr2bl w:val="nil"/>
                  </w:tcBorders>
                  <w:vAlign w:val="center"/>
                </w:tcPr>
                <w:p w14:paraId="449BC475">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w:t>
                  </w:r>
                  <w:r>
                    <w:rPr>
                      <w:rFonts w:hint="eastAsia" w:ascii="Times New Roman" w:hAnsi="Times New Roman" w:cs="Times New Roman"/>
                      <w:color w:val="auto"/>
                      <w:sz w:val="21"/>
                      <w:szCs w:val="21"/>
                      <w:lang w:val="en-US" w:eastAsia="zh-CN"/>
                    </w:rPr>
                    <w:t>0</w:t>
                  </w:r>
                </w:p>
              </w:tc>
              <w:tc>
                <w:tcPr>
                  <w:tcW w:w="1611" w:type="dxa"/>
                  <w:tcBorders>
                    <w:tl2br w:val="nil"/>
                    <w:tr2bl w:val="nil"/>
                  </w:tcBorders>
                  <w:vAlign w:val="center"/>
                </w:tcPr>
                <w:p w14:paraId="05BADB30">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19.67</w:t>
                  </w:r>
                </w:p>
              </w:tc>
              <w:tc>
                <w:tcPr>
                  <w:tcW w:w="1611" w:type="dxa"/>
                  <w:gridSpan w:val="2"/>
                  <w:tcBorders>
                    <w:tl2br w:val="nil"/>
                    <w:tr2bl w:val="nil"/>
                  </w:tcBorders>
                  <w:vAlign w:val="center"/>
                </w:tcPr>
                <w:p w14:paraId="20339F6E">
                  <w:pPr>
                    <w:jc w:val="center"/>
                    <w:rPr>
                      <w:rFonts w:hint="default" w:ascii="Times New Roman" w:hAnsi="Times New Roman" w:cs="Times New Roman"/>
                      <w:color w:val="auto"/>
                      <w:sz w:val="21"/>
                      <w:szCs w:val="21"/>
                    </w:rPr>
                  </w:pPr>
                  <w:r>
                    <w:rPr>
                      <w:rFonts w:hint="eastAsia" w:cs="Times New Roman"/>
                      <w:color w:val="auto"/>
                      <w:sz w:val="21"/>
                      <w:szCs w:val="21"/>
                      <w:lang w:val="en-US" w:eastAsia="zh-CN"/>
                    </w:rPr>
                    <w:t>1</w:t>
                  </w:r>
                  <w:r>
                    <w:rPr>
                      <w:rFonts w:hint="default" w:ascii="Times New Roman" w:hAnsi="Times New Roman" w:cs="Times New Roman"/>
                      <w:color w:val="auto"/>
                      <w:sz w:val="21"/>
                      <w:szCs w:val="21"/>
                    </w:rPr>
                    <w:t>0</w:t>
                  </w:r>
                  <w:r>
                    <w:rPr>
                      <w:rFonts w:hint="eastAsia" w:ascii="Times New Roman" w:hAnsi="Times New Roman" w:cs="Times New Roman"/>
                      <w:color w:val="auto"/>
                      <w:sz w:val="21"/>
                      <w:szCs w:val="21"/>
                      <w:lang w:val="en-US" w:eastAsia="zh-CN"/>
                    </w:rPr>
                    <w:t>0</w:t>
                  </w:r>
                </w:p>
              </w:tc>
              <w:tc>
                <w:tcPr>
                  <w:tcW w:w="1614" w:type="dxa"/>
                  <w:tcBorders>
                    <w:tl2br w:val="nil"/>
                    <w:tr2bl w:val="nil"/>
                  </w:tcBorders>
                  <w:vAlign w:val="center"/>
                </w:tcPr>
                <w:p w14:paraId="4B0AE008">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9.84</w:t>
                  </w:r>
                </w:p>
              </w:tc>
            </w:tr>
            <w:tr w14:paraId="3F98E58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tcBorders>
                    <w:tl2br w:val="nil"/>
                    <w:tr2bl w:val="nil"/>
                  </w:tcBorders>
                  <w:vAlign w:val="center"/>
                </w:tcPr>
                <w:p w14:paraId="14671A09">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SS</w:t>
                  </w:r>
                </w:p>
              </w:tc>
              <w:tc>
                <w:tcPr>
                  <w:tcW w:w="1611" w:type="dxa"/>
                  <w:tcBorders>
                    <w:tl2br w:val="nil"/>
                    <w:tr2bl w:val="nil"/>
                  </w:tcBorders>
                  <w:vAlign w:val="center"/>
                </w:tcPr>
                <w:p w14:paraId="4CD853BB">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r>
                    <w:rPr>
                      <w:rFonts w:hint="eastAsia" w:ascii="Times New Roman" w:hAnsi="Times New Roman" w:cs="Times New Roman"/>
                      <w:color w:val="auto"/>
                      <w:sz w:val="21"/>
                      <w:szCs w:val="21"/>
                      <w:lang w:val="en-US" w:eastAsia="zh-CN"/>
                    </w:rPr>
                    <w:t>2</w:t>
                  </w:r>
                  <w:r>
                    <w:rPr>
                      <w:rFonts w:hint="default" w:ascii="Times New Roman" w:hAnsi="Times New Roman" w:cs="Times New Roman"/>
                      <w:color w:val="auto"/>
                      <w:sz w:val="21"/>
                      <w:szCs w:val="21"/>
                    </w:rPr>
                    <w:t>0</w:t>
                  </w:r>
                </w:p>
              </w:tc>
              <w:tc>
                <w:tcPr>
                  <w:tcW w:w="1611" w:type="dxa"/>
                  <w:tcBorders>
                    <w:tl2br w:val="nil"/>
                    <w:tr2bl w:val="nil"/>
                  </w:tcBorders>
                  <w:vAlign w:val="center"/>
                </w:tcPr>
                <w:p w14:paraId="00F2F625">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21.64</w:t>
                  </w:r>
                </w:p>
              </w:tc>
              <w:tc>
                <w:tcPr>
                  <w:tcW w:w="1611" w:type="dxa"/>
                  <w:gridSpan w:val="2"/>
                  <w:tcBorders>
                    <w:tl2br w:val="nil"/>
                    <w:tr2bl w:val="nil"/>
                  </w:tcBorders>
                  <w:vAlign w:val="center"/>
                </w:tcPr>
                <w:p w14:paraId="27B9FDB3">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88</w:t>
                  </w:r>
                </w:p>
              </w:tc>
              <w:tc>
                <w:tcPr>
                  <w:tcW w:w="1614" w:type="dxa"/>
                  <w:tcBorders>
                    <w:tl2br w:val="nil"/>
                    <w:tr2bl w:val="nil"/>
                  </w:tcBorders>
                  <w:vAlign w:val="center"/>
                </w:tcPr>
                <w:p w14:paraId="7A980603">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8.66</w:t>
                  </w:r>
                </w:p>
              </w:tc>
            </w:tr>
            <w:tr w14:paraId="6C02C72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tcBorders>
                    <w:tl2br w:val="nil"/>
                    <w:tr2bl w:val="nil"/>
                  </w:tcBorders>
                  <w:vAlign w:val="center"/>
                </w:tcPr>
                <w:p w14:paraId="57931BF0">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NH</w:t>
                  </w:r>
                  <w:r>
                    <w:rPr>
                      <w:rFonts w:hint="default" w:ascii="Times New Roman" w:hAnsi="Times New Roman" w:cs="Times New Roman"/>
                      <w:color w:val="auto"/>
                      <w:sz w:val="21"/>
                      <w:szCs w:val="21"/>
                      <w:vertAlign w:val="subscript"/>
                    </w:rPr>
                    <w:t>3</w:t>
                  </w:r>
                  <w:r>
                    <w:rPr>
                      <w:rFonts w:hint="default" w:ascii="Times New Roman" w:hAnsi="Times New Roman" w:cs="Times New Roman"/>
                      <w:color w:val="auto"/>
                      <w:sz w:val="21"/>
                      <w:szCs w:val="21"/>
                    </w:rPr>
                    <w:t>-N</w:t>
                  </w:r>
                </w:p>
              </w:tc>
              <w:tc>
                <w:tcPr>
                  <w:tcW w:w="1611" w:type="dxa"/>
                  <w:tcBorders>
                    <w:tl2br w:val="nil"/>
                    <w:tr2bl w:val="nil"/>
                  </w:tcBorders>
                  <w:vAlign w:val="center"/>
                </w:tcPr>
                <w:p w14:paraId="5B716C0F">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4</w:t>
                  </w:r>
                  <w:r>
                    <w:rPr>
                      <w:rFonts w:hint="default" w:ascii="Times New Roman" w:hAnsi="Times New Roman" w:cs="Times New Roman"/>
                      <w:color w:val="auto"/>
                      <w:sz w:val="21"/>
                      <w:szCs w:val="21"/>
                    </w:rPr>
                    <w:t>0</w:t>
                  </w:r>
                </w:p>
              </w:tc>
              <w:tc>
                <w:tcPr>
                  <w:tcW w:w="1611" w:type="dxa"/>
                  <w:tcBorders>
                    <w:tl2br w:val="nil"/>
                    <w:tr2bl w:val="nil"/>
                  </w:tcBorders>
                  <w:vAlign w:val="center"/>
                </w:tcPr>
                <w:p w14:paraId="1FCA22E6">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3.93</w:t>
                  </w:r>
                </w:p>
              </w:tc>
              <w:tc>
                <w:tcPr>
                  <w:tcW w:w="1611" w:type="dxa"/>
                  <w:gridSpan w:val="2"/>
                  <w:tcBorders>
                    <w:tl2br w:val="nil"/>
                    <w:tr2bl w:val="nil"/>
                  </w:tcBorders>
                  <w:vAlign w:val="center"/>
                </w:tcPr>
                <w:p w14:paraId="00C3E414">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4</w:t>
                  </w:r>
                  <w:r>
                    <w:rPr>
                      <w:rFonts w:hint="default" w:ascii="Times New Roman" w:hAnsi="Times New Roman" w:cs="Times New Roman"/>
                      <w:color w:val="auto"/>
                      <w:sz w:val="21"/>
                      <w:szCs w:val="21"/>
                    </w:rPr>
                    <w:t>0</w:t>
                  </w:r>
                </w:p>
              </w:tc>
              <w:tc>
                <w:tcPr>
                  <w:tcW w:w="1614" w:type="dxa"/>
                  <w:tcBorders>
                    <w:tl2br w:val="nil"/>
                    <w:tr2bl w:val="nil"/>
                  </w:tcBorders>
                  <w:vAlign w:val="center"/>
                </w:tcPr>
                <w:p w14:paraId="490F0250">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3.93</w:t>
                  </w:r>
                </w:p>
              </w:tc>
            </w:tr>
            <w:tr w14:paraId="60E01E7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tcBorders>
                    <w:tl2br w:val="nil"/>
                    <w:tr2bl w:val="nil"/>
                  </w:tcBorders>
                  <w:vAlign w:val="center"/>
                </w:tcPr>
                <w:p w14:paraId="36F8BD4B">
                  <w:pPr>
                    <w:jc w:val="center"/>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动植物油</w:t>
                  </w:r>
                </w:p>
              </w:tc>
              <w:tc>
                <w:tcPr>
                  <w:tcW w:w="1611" w:type="dxa"/>
                  <w:tcBorders>
                    <w:tl2br w:val="nil"/>
                    <w:tr2bl w:val="nil"/>
                  </w:tcBorders>
                  <w:vAlign w:val="center"/>
                </w:tcPr>
                <w:p w14:paraId="7D6C3091">
                  <w:pPr>
                    <w:jc w:val="center"/>
                    <w:rPr>
                      <w:rFonts w:hint="eastAsia" w:ascii="Times New Roman" w:hAnsi="Times New Roman" w:cs="Times New Roman"/>
                      <w:color w:val="auto"/>
                      <w:sz w:val="21"/>
                      <w:szCs w:val="21"/>
                      <w:lang w:val="en-US" w:eastAsia="zh-CN"/>
                    </w:rPr>
                  </w:pPr>
                  <w:r>
                    <w:rPr>
                      <w:rFonts w:hint="eastAsia" w:cs="Times New Roman"/>
                      <w:color w:val="auto"/>
                      <w:sz w:val="21"/>
                      <w:szCs w:val="21"/>
                      <w:lang w:val="en-US" w:eastAsia="zh-CN"/>
                    </w:rPr>
                    <w:t>30</w:t>
                  </w:r>
                </w:p>
              </w:tc>
              <w:tc>
                <w:tcPr>
                  <w:tcW w:w="1611" w:type="dxa"/>
                  <w:tcBorders>
                    <w:tl2br w:val="nil"/>
                    <w:tr2bl w:val="nil"/>
                  </w:tcBorders>
                  <w:vAlign w:val="center"/>
                </w:tcPr>
                <w:p w14:paraId="149862FA">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2.95</w:t>
                  </w:r>
                </w:p>
              </w:tc>
              <w:tc>
                <w:tcPr>
                  <w:tcW w:w="1611" w:type="dxa"/>
                  <w:gridSpan w:val="2"/>
                  <w:tcBorders>
                    <w:tl2br w:val="nil"/>
                    <w:tr2bl w:val="nil"/>
                  </w:tcBorders>
                  <w:vAlign w:val="center"/>
                </w:tcPr>
                <w:p w14:paraId="55A53044">
                  <w:pPr>
                    <w:jc w:val="center"/>
                    <w:rPr>
                      <w:rFonts w:hint="eastAsia" w:ascii="Times New Roman" w:hAnsi="Times New Roman" w:cs="Times New Roman"/>
                      <w:color w:val="auto"/>
                      <w:sz w:val="21"/>
                      <w:szCs w:val="21"/>
                      <w:lang w:val="en-US" w:eastAsia="zh-CN"/>
                    </w:rPr>
                  </w:pPr>
                  <w:r>
                    <w:rPr>
                      <w:rFonts w:hint="eastAsia" w:cs="Times New Roman"/>
                      <w:color w:val="auto"/>
                      <w:sz w:val="21"/>
                      <w:szCs w:val="21"/>
                      <w:lang w:val="en-US" w:eastAsia="zh-CN"/>
                    </w:rPr>
                    <w:t>30</w:t>
                  </w:r>
                </w:p>
              </w:tc>
              <w:tc>
                <w:tcPr>
                  <w:tcW w:w="1614" w:type="dxa"/>
                  <w:tcBorders>
                    <w:tl2br w:val="nil"/>
                    <w:tr2bl w:val="nil"/>
                  </w:tcBorders>
                  <w:vAlign w:val="center"/>
                </w:tcPr>
                <w:p w14:paraId="2B47A08F">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2.95</w:t>
                  </w:r>
                </w:p>
              </w:tc>
            </w:tr>
          </w:tbl>
          <w:p w14:paraId="657ACA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rFonts w:hint="eastAsia"/>
                <w:color w:val="auto"/>
                <w:sz w:val="24"/>
                <w:lang w:eastAsia="zh-CN"/>
              </w:rPr>
              <w:t>（</w:t>
            </w:r>
            <w:r>
              <w:rPr>
                <w:rFonts w:hint="eastAsia"/>
                <w:color w:val="auto"/>
                <w:sz w:val="24"/>
                <w:lang w:val="en-US" w:eastAsia="zh-CN"/>
              </w:rPr>
              <w:t>2</w:t>
            </w:r>
            <w:r>
              <w:rPr>
                <w:rFonts w:hint="eastAsia"/>
                <w:color w:val="auto"/>
                <w:sz w:val="24"/>
                <w:lang w:eastAsia="zh-CN"/>
              </w:rPr>
              <w:t>）</w:t>
            </w:r>
            <w:r>
              <w:rPr>
                <w:rFonts w:hint="eastAsia"/>
                <w:color w:val="auto"/>
                <w:sz w:val="24"/>
              </w:rPr>
              <w:t>地下</w:t>
            </w:r>
            <w:r>
              <w:rPr>
                <w:rFonts w:hint="eastAsia"/>
                <w:color w:val="auto"/>
                <w:sz w:val="24"/>
                <w:lang w:eastAsia="zh-CN"/>
              </w:rPr>
              <w:t>车库</w:t>
            </w:r>
            <w:r>
              <w:rPr>
                <w:color w:val="auto"/>
                <w:sz w:val="24"/>
              </w:rPr>
              <w:t>冲洗废水</w:t>
            </w:r>
          </w:p>
          <w:p w14:paraId="5E43059E">
            <w:pPr>
              <w:spacing w:line="360" w:lineRule="auto"/>
              <w:ind w:firstLine="460" w:firstLineChars="200"/>
              <w:rPr>
                <w:color w:val="auto"/>
                <w:spacing w:val="-5"/>
                <w:sz w:val="24"/>
                <w:szCs w:val="24"/>
              </w:rPr>
            </w:pPr>
            <w:r>
              <w:rPr>
                <w:color w:val="auto"/>
                <w:spacing w:val="-5"/>
                <w:sz w:val="24"/>
              </w:rPr>
              <w:t>项目</w:t>
            </w:r>
            <w:r>
              <w:rPr>
                <w:rFonts w:hint="eastAsia"/>
                <w:color w:val="auto"/>
                <w:spacing w:val="-5"/>
                <w:sz w:val="24"/>
              </w:rPr>
              <w:t>地下室</w:t>
            </w:r>
            <w:r>
              <w:rPr>
                <w:color w:val="auto"/>
                <w:spacing w:val="-5"/>
                <w:sz w:val="24"/>
              </w:rPr>
              <w:t>地面冲洗废水的产生量</w:t>
            </w:r>
            <w:r>
              <w:rPr>
                <w:rFonts w:hint="eastAsia"/>
                <w:color w:val="auto"/>
                <w:spacing w:val="-5"/>
                <w:sz w:val="24"/>
                <w:lang w:eastAsia="zh-CN"/>
              </w:rPr>
              <w:t>为</w:t>
            </w:r>
            <w:r>
              <w:rPr>
                <w:rFonts w:hint="eastAsia"/>
                <w:color w:val="auto"/>
                <w:spacing w:val="-5"/>
                <w:sz w:val="24"/>
                <w:lang w:val="en-US" w:eastAsia="zh-CN"/>
              </w:rPr>
              <w:t>109.2</w:t>
            </w:r>
            <w:r>
              <w:rPr>
                <w:color w:val="auto"/>
                <w:spacing w:val="-5"/>
                <w:sz w:val="24"/>
              </w:rPr>
              <w:t>m</w:t>
            </w:r>
            <w:r>
              <w:rPr>
                <w:color w:val="auto"/>
                <w:spacing w:val="-5"/>
                <w:sz w:val="24"/>
                <w:vertAlign w:val="superscript"/>
              </w:rPr>
              <w:t>3</w:t>
            </w:r>
            <w:r>
              <w:rPr>
                <w:color w:val="auto"/>
                <w:spacing w:val="-5"/>
                <w:sz w:val="24"/>
              </w:rPr>
              <w:t>/a</w:t>
            </w:r>
            <w:r>
              <w:rPr>
                <w:rFonts w:hint="eastAsia"/>
                <w:color w:val="auto"/>
                <w:spacing w:val="-5"/>
                <w:sz w:val="24"/>
              </w:rPr>
              <w:t>。</w:t>
            </w:r>
            <w:r>
              <w:rPr>
                <w:rFonts w:hint="eastAsia"/>
                <w:color w:val="auto"/>
                <w:spacing w:val="-5"/>
                <w:sz w:val="24"/>
                <w:szCs w:val="24"/>
                <w:lang w:eastAsia="zh-CN"/>
              </w:rPr>
              <w:t>冲洗废水在经过隔油沉沙池后与其他废水一起</w:t>
            </w:r>
            <w:r>
              <w:rPr>
                <w:rFonts w:hint="eastAsia" w:cs="Times New Roman"/>
                <w:color w:val="auto"/>
                <w:spacing w:val="-5"/>
                <w:sz w:val="24"/>
                <w:szCs w:val="24"/>
                <w:lang w:eastAsia="zh-CN"/>
              </w:rPr>
              <w:t>经过三级化粪池处理后排入市政污水管网。</w:t>
            </w:r>
            <w:r>
              <w:rPr>
                <w:color w:val="auto"/>
                <w:spacing w:val="-5"/>
                <w:sz w:val="24"/>
              </w:rPr>
              <w:t>类比同类型项目，</w:t>
            </w:r>
            <w:r>
              <w:rPr>
                <w:rFonts w:hint="eastAsia"/>
                <w:color w:val="auto"/>
                <w:spacing w:val="-5"/>
                <w:sz w:val="24"/>
                <w:lang w:eastAsia="zh-CN"/>
              </w:rPr>
              <w:t>冲洗</w:t>
            </w:r>
            <w:r>
              <w:rPr>
                <w:color w:val="auto"/>
                <w:spacing w:val="-5"/>
                <w:sz w:val="24"/>
              </w:rPr>
              <w:t>废水</w:t>
            </w:r>
            <w:r>
              <w:rPr>
                <w:rFonts w:hint="eastAsia"/>
                <w:color w:val="auto"/>
                <w:spacing w:val="-5"/>
                <w:sz w:val="24"/>
                <w:lang w:eastAsia="zh-CN"/>
              </w:rPr>
              <w:t>经过隔油沉砂池后</w:t>
            </w:r>
            <w:r>
              <w:rPr>
                <w:color w:val="auto"/>
                <w:spacing w:val="-5"/>
                <w:sz w:val="24"/>
              </w:rPr>
              <w:t>污染物的浓度分别为：</w:t>
            </w:r>
            <w:r>
              <w:rPr>
                <w:color w:val="auto"/>
                <w:spacing w:val="-5"/>
                <w:sz w:val="24"/>
                <w:szCs w:val="24"/>
              </w:rPr>
              <w:t>COD</w:t>
            </w:r>
            <w:r>
              <w:rPr>
                <w:color w:val="auto"/>
                <w:spacing w:val="-5"/>
                <w:sz w:val="24"/>
                <w:szCs w:val="24"/>
                <w:vertAlign w:val="subscript"/>
              </w:rPr>
              <w:t>Cr</w:t>
            </w:r>
            <w:r>
              <w:rPr>
                <w:color w:val="auto"/>
                <w:spacing w:val="-5"/>
                <w:sz w:val="24"/>
                <w:szCs w:val="24"/>
              </w:rPr>
              <w:t>约</w:t>
            </w:r>
            <w:r>
              <w:rPr>
                <w:rFonts w:hint="eastAsia"/>
                <w:color w:val="auto"/>
                <w:spacing w:val="-5"/>
                <w:sz w:val="24"/>
                <w:szCs w:val="24"/>
              </w:rPr>
              <w:t>35</w:t>
            </w:r>
            <w:r>
              <w:rPr>
                <w:color w:val="auto"/>
                <w:spacing w:val="-5"/>
                <w:sz w:val="24"/>
                <w:szCs w:val="24"/>
              </w:rPr>
              <w:t>0mg/L、</w:t>
            </w:r>
            <w:r>
              <w:rPr>
                <w:rFonts w:hint="eastAsia"/>
                <w:color w:val="auto"/>
                <w:spacing w:val="-5"/>
                <w:sz w:val="24"/>
                <w:szCs w:val="24"/>
              </w:rPr>
              <w:t>石油类</w:t>
            </w:r>
            <w:r>
              <w:rPr>
                <w:color w:val="auto"/>
                <w:spacing w:val="-5"/>
                <w:sz w:val="24"/>
                <w:szCs w:val="24"/>
              </w:rPr>
              <w:t>约50mg/L、SS约</w:t>
            </w:r>
            <w:r>
              <w:rPr>
                <w:rFonts w:hint="eastAsia"/>
                <w:color w:val="auto"/>
                <w:spacing w:val="-5"/>
                <w:sz w:val="24"/>
                <w:szCs w:val="24"/>
              </w:rPr>
              <w:t>35</w:t>
            </w:r>
            <w:r>
              <w:rPr>
                <w:color w:val="auto"/>
                <w:spacing w:val="-5"/>
                <w:sz w:val="24"/>
                <w:szCs w:val="24"/>
              </w:rPr>
              <w:t>0mg/L</w:t>
            </w:r>
            <w:r>
              <w:rPr>
                <w:rFonts w:hint="eastAsia"/>
                <w:color w:val="auto"/>
                <w:spacing w:val="-5"/>
                <w:sz w:val="24"/>
                <w:szCs w:val="24"/>
                <w:lang w:eastAsia="zh-CN"/>
              </w:rPr>
              <w:t>。</w:t>
            </w:r>
            <w:r>
              <w:rPr>
                <w:rFonts w:hint="default" w:ascii="Times New Roman" w:hAnsi="Times New Roman" w:cs="Times New Roman" w:eastAsiaTheme="minorEastAsia"/>
                <w:color w:val="auto"/>
                <w:spacing w:val="-5"/>
                <w:sz w:val="24"/>
                <w:szCs w:val="24"/>
              </w:rPr>
              <w:t>三级化粪池处理</w:t>
            </w:r>
            <w:r>
              <w:rPr>
                <w:rFonts w:hint="default" w:ascii="Times New Roman" w:hAnsi="Times New Roman" w:cs="Times New Roman" w:eastAsiaTheme="minorEastAsia"/>
                <w:color w:val="auto"/>
                <w:spacing w:val="-5"/>
                <w:sz w:val="24"/>
              </w:rPr>
              <w:t>效率按COD：40%、SS：60%计，经处理后出水浓度COD：</w:t>
            </w:r>
            <w:r>
              <w:rPr>
                <w:rFonts w:hint="eastAsia" w:ascii="Times New Roman" w:hAnsi="Times New Roman" w:cs="Times New Roman" w:eastAsiaTheme="minorEastAsia"/>
                <w:color w:val="auto"/>
                <w:spacing w:val="-5"/>
                <w:sz w:val="24"/>
                <w:lang w:val="en-US" w:eastAsia="zh-CN"/>
              </w:rPr>
              <w:t>210</w:t>
            </w:r>
            <w:r>
              <w:rPr>
                <w:rFonts w:hint="default" w:ascii="Times New Roman" w:hAnsi="Times New Roman" w:cs="Times New Roman" w:eastAsiaTheme="minorEastAsia"/>
                <w:color w:val="auto"/>
                <w:spacing w:val="-5"/>
                <w:sz w:val="24"/>
              </w:rPr>
              <w:t>mg/L、</w:t>
            </w:r>
            <w:r>
              <w:rPr>
                <w:rFonts w:hint="eastAsia" w:ascii="Times New Roman" w:hAnsi="Times New Roman" w:cs="Times New Roman" w:eastAsiaTheme="minorEastAsia"/>
                <w:color w:val="auto"/>
                <w:spacing w:val="-5"/>
                <w:sz w:val="24"/>
                <w:lang w:eastAsia="zh-CN"/>
              </w:rPr>
              <w:t>石油类</w:t>
            </w:r>
            <w:r>
              <w:rPr>
                <w:color w:val="auto"/>
                <w:spacing w:val="-5"/>
                <w:sz w:val="24"/>
                <w:szCs w:val="24"/>
              </w:rPr>
              <w:t>约50mg/L</w:t>
            </w:r>
            <w:r>
              <w:rPr>
                <w:rFonts w:hint="eastAsia" w:ascii="Times New Roman" w:hAnsi="Times New Roman" w:cs="Times New Roman" w:eastAsiaTheme="minorEastAsia"/>
                <w:color w:val="auto"/>
                <w:spacing w:val="-5"/>
                <w:sz w:val="24"/>
                <w:lang w:eastAsia="zh-CN"/>
              </w:rPr>
              <w:t>、</w:t>
            </w:r>
            <w:r>
              <w:rPr>
                <w:rFonts w:hint="default" w:ascii="Times New Roman" w:hAnsi="Times New Roman" w:cs="Times New Roman" w:eastAsiaTheme="minorEastAsia"/>
                <w:color w:val="auto"/>
                <w:spacing w:val="-5"/>
                <w:sz w:val="24"/>
              </w:rPr>
              <w:t>SS：</w:t>
            </w:r>
            <w:r>
              <w:rPr>
                <w:rFonts w:hint="eastAsia" w:ascii="Times New Roman" w:hAnsi="Times New Roman" w:cs="Times New Roman" w:eastAsiaTheme="minorEastAsia"/>
                <w:color w:val="auto"/>
                <w:spacing w:val="-5"/>
                <w:sz w:val="24"/>
                <w:lang w:val="en-US" w:eastAsia="zh-CN"/>
              </w:rPr>
              <w:t>140</w:t>
            </w:r>
            <w:r>
              <w:rPr>
                <w:rFonts w:hint="default" w:ascii="Times New Roman" w:hAnsi="Times New Roman" w:cs="Times New Roman" w:eastAsiaTheme="minorEastAsia"/>
                <w:color w:val="auto"/>
                <w:spacing w:val="-5"/>
                <w:sz w:val="24"/>
              </w:rPr>
              <w:t>mg/L</w:t>
            </w:r>
            <w:r>
              <w:rPr>
                <w:rFonts w:hint="eastAsia" w:ascii="Times New Roman" w:hAnsi="Times New Roman" w:cs="Times New Roman" w:eastAsiaTheme="minorEastAsia"/>
                <w:color w:val="auto"/>
                <w:spacing w:val="-5"/>
                <w:sz w:val="24"/>
                <w:lang w:eastAsia="zh-CN"/>
              </w:rPr>
              <w:t>。</w:t>
            </w:r>
            <w:r>
              <w:rPr>
                <w:color w:val="auto"/>
                <w:spacing w:val="-5"/>
                <w:sz w:val="24"/>
                <w:szCs w:val="24"/>
              </w:rPr>
              <w:t>运营期废水中各污染物产生量见表5-</w:t>
            </w:r>
            <w:r>
              <w:rPr>
                <w:rFonts w:hint="eastAsia"/>
                <w:color w:val="auto"/>
                <w:spacing w:val="-5"/>
                <w:sz w:val="24"/>
                <w:szCs w:val="24"/>
                <w:lang w:val="en-US" w:eastAsia="zh-CN"/>
              </w:rPr>
              <w:t>7</w:t>
            </w:r>
            <w:r>
              <w:rPr>
                <w:color w:val="auto"/>
                <w:spacing w:val="-5"/>
                <w:sz w:val="24"/>
                <w:szCs w:val="24"/>
              </w:rPr>
              <w:t>。</w:t>
            </w:r>
          </w:p>
          <w:p w14:paraId="4EF56A7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表5-</w:t>
            </w:r>
            <w:r>
              <w:rPr>
                <w:rFonts w:hint="eastAsia" w:cs="Times New Roman"/>
                <w:b/>
                <w:bCs/>
                <w:color w:val="auto"/>
                <w:kern w:val="0"/>
                <w:sz w:val="21"/>
                <w:szCs w:val="21"/>
                <w:lang w:val="en-US" w:eastAsia="zh-CN"/>
              </w:rPr>
              <w:t>6</w:t>
            </w:r>
            <w:r>
              <w:rPr>
                <w:rFonts w:hint="default" w:ascii="Times New Roman" w:hAnsi="Times New Roman" w:eastAsia="宋体" w:cs="Times New Roman"/>
                <w:b/>
                <w:bCs/>
                <w:color w:val="auto"/>
                <w:kern w:val="0"/>
                <w:sz w:val="21"/>
                <w:szCs w:val="21"/>
              </w:rPr>
              <w:t xml:space="preserve"> </w:t>
            </w:r>
            <w:r>
              <w:rPr>
                <w:rFonts w:hint="eastAsia" w:cs="Times New Roman"/>
                <w:b/>
                <w:bCs/>
                <w:color w:val="auto"/>
                <w:kern w:val="0"/>
                <w:sz w:val="21"/>
                <w:szCs w:val="21"/>
                <w:lang w:val="en-US" w:eastAsia="zh-CN"/>
              </w:rPr>
              <w:t xml:space="preserve"> </w:t>
            </w:r>
            <w:r>
              <w:rPr>
                <w:rFonts w:hint="default" w:ascii="Times New Roman" w:hAnsi="Times New Roman" w:eastAsia="宋体" w:cs="Times New Roman"/>
                <w:b/>
                <w:bCs/>
                <w:color w:val="auto"/>
                <w:kern w:val="0"/>
                <w:sz w:val="21"/>
                <w:szCs w:val="21"/>
                <w:lang w:eastAsia="zh-CN"/>
              </w:rPr>
              <w:t>车库冲洗废水</w:t>
            </w:r>
            <w:r>
              <w:rPr>
                <w:rFonts w:hint="default" w:ascii="Times New Roman" w:hAnsi="Times New Roman" w:eastAsia="宋体" w:cs="Times New Roman"/>
                <w:b/>
                <w:bCs/>
                <w:color w:val="auto"/>
                <w:kern w:val="0"/>
                <w:sz w:val="21"/>
                <w:szCs w:val="21"/>
              </w:rPr>
              <w:t>各污染物产生量</w:t>
            </w:r>
          </w:p>
          <w:tbl>
            <w:tblPr>
              <w:tblStyle w:val="15"/>
              <w:tblW w:w="8504"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1611"/>
              <w:gridCol w:w="1611"/>
              <w:gridCol w:w="1"/>
              <w:gridCol w:w="1610"/>
              <w:gridCol w:w="1614"/>
            </w:tblGrid>
            <w:tr w14:paraId="40D174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vMerge w:val="restart"/>
                  <w:tcBorders>
                    <w:tl2br w:val="nil"/>
                    <w:tr2bl w:val="nil"/>
                  </w:tcBorders>
                  <w:vAlign w:val="center"/>
                </w:tcPr>
                <w:p w14:paraId="29BA4991">
                  <w:pPr>
                    <w:jc w:val="center"/>
                    <w:rPr>
                      <w:rFonts w:hint="eastAsia"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车库冲洗废水中</w:t>
                  </w:r>
                </w:p>
                <w:p w14:paraId="57E636E5">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eastAsia="zh-CN"/>
                    </w:rPr>
                    <w:t>主要污染物</w:t>
                  </w:r>
                </w:p>
              </w:tc>
              <w:tc>
                <w:tcPr>
                  <w:tcW w:w="3223" w:type="dxa"/>
                  <w:gridSpan w:val="3"/>
                  <w:tcBorders>
                    <w:tl2br w:val="nil"/>
                    <w:tr2bl w:val="nil"/>
                  </w:tcBorders>
                  <w:vAlign w:val="center"/>
                </w:tcPr>
                <w:p w14:paraId="1397DF63">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产生</w:t>
                  </w:r>
                  <w:r>
                    <w:rPr>
                      <w:rFonts w:hint="eastAsia" w:cs="Times New Roman"/>
                      <w:color w:val="auto"/>
                      <w:sz w:val="21"/>
                      <w:szCs w:val="21"/>
                      <w:lang w:eastAsia="zh-CN"/>
                    </w:rPr>
                    <w:t>量</w:t>
                  </w:r>
                </w:p>
                <w:p w14:paraId="2846E512">
                  <w:pPr>
                    <w:jc w:val="center"/>
                    <w:rPr>
                      <w:rFonts w:hint="default" w:ascii="Times New Roman" w:hAnsi="Times New Roman" w:cs="Times New Roman"/>
                      <w:color w:val="auto"/>
                      <w:sz w:val="21"/>
                      <w:szCs w:val="21"/>
                    </w:rPr>
                  </w:pPr>
                  <w:r>
                    <w:rPr>
                      <w:rFonts w:hint="eastAsia"/>
                      <w:color w:val="auto"/>
                      <w:spacing w:val="-5"/>
                      <w:sz w:val="21"/>
                      <w:szCs w:val="21"/>
                      <w:lang w:val="en-US" w:eastAsia="zh-CN"/>
                    </w:rPr>
                    <w:t>109.2</w:t>
                  </w:r>
                  <w:r>
                    <w:rPr>
                      <w:rFonts w:hint="default" w:ascii="Times New Roman" w:hAnsi="Times New Roman" w:cs="Times New Roman"/>
                      <w:color w:val="auto"/>
                      <w:sz w:val="21"/>
                      <w:szCs w:val="21"/>
                    </w:rPr>
                    <w:t>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/a</w:t>
                  </w:r>
                </w:p>
              </w:tc>
              <w:tc>
                <w:tcPr>
                  <w:tcW w:w="3224" w:type="dxa"/>
                  <w:gridSpan w:val="2"/>
                  <w:tcBorders>
                    <w:tl2br w:val="nil"/>
                    <w:tr2bl w:val="nil"/>
                  </w:tcBorders>
                  <w:vAlign w:val="center"/>
                </w:tcPr>
                <w:p w14:paraId="1BBE015F">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排放</w:t>
                  </w:r>
                  <w:r>
                    <w:rPr>
                      <w:rFonts w:hint="eastAsia" w:cs="Times New Roman"/>
                      <w:color w:val="auto"/>
                      <w:sz w:val="21"/>
                      <w:szCs w:val="21"/>
                      <w:lang w:eastAsia="zh-CN"/>
                    </w:rPr>
                    <w:t>量</w:t>
                  </w:r>
                </w:p>
                <w:p w14:paraId="2908BFA3">
                  <w:pPr>
                    <w:jc w:val="center"/>
                    <w:rPr>
                      <w:rFonts w:hint="default" w:ascii="Times New Roman" w:hAnsi="Times New Roman" w:cs="Times New Roman"/>
                      <w:color w:val="auto"/>
                      <w:sz w:val="21"/>
                      <w:szCs w:val="21"/>
                    </w:rPr>
                  </w:pPr>
                  <w:r>
                    <w:rPr>
                      <w:rFonts w:hint="eastAsia"/>
                      <w:color w:val="auto"/>
                      <w:spacing w:val="-5"/>
                      <w:sz w:val="21"/>
                      <w:szCs w:val="21"/>
                      <w:lang w:val="en-US" w:eastAsia="zh-CN"/>
                    </w:rPr>
                    <w:t>109.2</w:t>
                  </w:r>
                  <w:r>
                    <w:rPr>
                      <w:rFonts w:hint="default" w:ascii="Times New Roman" w:hAnsi="Times New Roman" w:cs="Times New Roman"/>
                      <w:color w:val="auto"/>
                      <w:sz w:val="21"/>
                      <w:szCs w:val="21"/>
                    </w:rPr>
                    <w:t>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/a</w:t>
                  </w:r>
                </w:p>
              </w:tc>
            </w:tr>
            <w:tr w14:paraId="5F5EE4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vMerge w:val="continue"/>
                  <w:tcBorders>
                    <w:tl2br w:val="nil"/>
                    <w:tr2bl w:val="nil"/>
                  </w:tcBorders>
                  <w:vAlign w:val="center"/>
                </w:tcPr>
                <w:p w14:paraId="2D9CDB01">
                  <w:pPr>
                    <w:jc w:val="center"/>
                    <w:rPr>
                      <w:rFonts w:hint="default" w:ascii="Times New Roman" w:hAnsi="Times New Roman" w:cs="Times New Roman"/>
                      <w:color w:val="auto"/>
                      <w:sz w:val="21"/>
                      <w:szCs w:val="21"/>
                    </w:rPr>
                  </w:pPr>
                </w:p>
              </w:tc>
              <w:tc>
                <w:tcPr>
                  <w:tcW w:w="1611" w:type="dxa"/>
                  <w:tcBorders>
                    <w:tl2br w:val="nil"/>
                    <w:tr2bl w:val="nil"/>
                  </w:tcBorders>
                  <w:vAlign w:val="center"/>
                </w:tcPr>
                <w:p w14:paraId="25FF9F87">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mg/L</w:t>
                  </w:r>
                </w:p>
              </w:tc>
              <w:tc>
                <w:tcPr>
                  <w:tcW w:w="1611" w:type="dxa"/>
                  <w:tcBorders>
                    <w:tl2br w:val="nil"/>
                    <w:tr2bl w:val="nil"/>
                  </w:tcBorders>
                  <w:vAlign w:val="center"/>
                </w:tcPr>
                <w:p w14:paraId="29D65308">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t/a</w:t>
                  </w:r>
                </w:p>
              </w:tc>
              <w:tc>
                <w:tcPr>
                  <w:tcW w:w="1611" w:type="dxa"/>
                  <w:gridSpan w:val="2"/>
                  <w:tcBorders>
                    <w:tl2br w:val="nil"/>
                    <w:tr2bl w:val="nil"/>
                  </w:tcBorders>
                  <w:vAlign w:val="center"/>
                </w:tcPr>
                <w:p w14:paraId="29FC58E7">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mg/L</w:t>
                  </w:r>
                </w:p>
              </w:tc>
              <w:tc>
                <w:tcPr>
                  <w:tcW w:w="1614" w:type="dxa"/>
                  <w:tcBorders>
                    <w:tl2br w:val="nil"/>
                    <w:tr2bl w:val="nil"/>
                  </w:tcBorders>
                  <w:vAlign w:val="center"/>
                </w:tcPr>
                <w:p w14:paraId="4C406700">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t/a</w:t>
                  </w:r>
                </w:p>
              </w:tc>
            </w:tr>
            <w:tr w14:paraId="0B8E9F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tcBorders>
                    <w:tl2br w:val="nil"/>
                    <w:tr2bl w:val="nil"/>
                  </w:tcBorders>
                  <w:vAlign w:val="center"/>
                </w:tcPr>
                <w:p w14:paraId="4920679D">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CODcr</w:t>
                  </w:r>
                </w:p>
              </w:tc>
              <w:tc>
                <w:tcPr>
                  <w:tcW w:w="1611" w:type="dxa"/>
                  <w:tcBorders>
                    <w:tl2br w:val="nil"/>
                    <w:tr2bl w:val="nil"/>
                  </w:tcBorders>
                  <w:vAlign w:val="center"/>
                </w:tcPr>
                <w:p w14:paraId="23D1B8A4">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350</w:t>
                  </w:r>
                </w:p>
              </w:tc>
              <w:tc>
                <w:tcPr>
                  <w:tcW w:w="1611" w:type="dxa"/>
                  <w:tcBorders>
                    <w:tl2br w:val="nil"/>
                    <w:tr2bl w:val="nil"/>
                  </w:tcBorders>
                  <w:vAlign w:val="center"/>
                </w:tcPr>
                <w:p w14:paraId="45DF8848">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0.038</w:t>
                  </w:r>
                </w:p>
              </w:tc>
              <w:tc>
                <w:tcPr>
                  <w:tcW w:w="1611" w:type="dxa"/>
                  <w:gridSpan w:val="2"/>
                  <w:tcBorders>
                    <w:tl2br w:val="nil"/>
                    <w:tr2bl w:val="nil"/>
                  </w:tcBorders>
                  <w:vAlign w:val="center"/>
                </w:tcPr>
                <w:p w14:paraId="2194B72F">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210</w:t>
                  </w:r>
                </w:p>
              </w:tc>
              <w:tc>
                <w:tcPr>
                  <w:tcW w:w="1614" w:type="dxa"/>
                  <w:tcBorders>
                    <w:tl2br w:val="nil"/>
                    <w:tr2bl w:val="nil"/>
                  </w:tcBorders>
                  <w:vAlign w:val="center"/>
                </w:tcPr>
                <w:p w14:paraId="18F15933">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0.023</w:t>
                  </w:r>
                </w:p>
              </w:tc>
            </w:tr>
            <w:tr w14:paraId="3882683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tcBorders>
                    <w:tl2br w:val="nil"/>
                    <w:tr2bl w:val="nil"/>
                  </w:tcBorders>
                  <w:vAlign w:val="center"/>
                </w:tcPr>
                <w:p w14:paraId="07A70070">
                  <w:pPr>
                    <w:jc w:val="center"/>
                    <w:rPr>
                      <w:rFonts w:hint="eastAsia" w:ascii="Times New Roman" w:hAnsi="Times New Roman" w:eastAsia="宋体" w:cs="Times New Roman"/>
                      <w:color w:val="auto"/>
                      <w:sz w:val="21"/>
                      <w:szCs w:val="21"/>
                      <w:lang w:eastAsia="zh-CN"/>
                    </w:rPr>
                  </w:pPr>
                  <w:r>
                    <w:rPr>
                      <w:rFonts w:hint="eastAsia" w:ascii="Times New Roman" w:hAnsi="Times New Roman" w:cs="Times New Roman"/>
                      <w:color w:val="auto"/>
                      <w:sz w:val="21"/>
                      <w:szCs w:val="21"/>
                      <w:lang w:eastAsia="zh-CN"/>
                    </w:rPr>
                    <w:t>石油类</w:t>
                  </w:r>
                </w:p>
              </w:tc>
              <w:tc>
                <w:tcPr>
                  <w:tcW w:w="1611" w:type="dxa"/>
                  <w:tcBorders>
                    <w:tl2br w:val="nil"/>
                    <w:tr2bl w:val="nil"/>
                  </w:tcBorders>
                  <w:vAlign w:val="center"/>
                </w:tcPr>
                <w:p w14:paraId="53AD1994">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50</w:t>
                  </w:r>
                </w:p>
              </w:tc>
              <w:tc>
                <w:tcPr>
                  <w:tcW w:w="1611" w:type="dxa"/>
                  <w:tcBorders>
                    <w:tl2br w:val="nil"/>
                    <w:tr2bl w:val="nil"/>
                  </w:tcBorders>
                  <w:vAlign w:val="center"/>
                </w:tcPr>
                <w:p w14:paraId="1472CE9A">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0.0055</w:t>
                  </w:r>
                </w:p>
              </w:tc>
              <w:tc>
                <w:tcPr>
                  <w:tcW w:w="1611" w:type="dxa"/>
                  <w:gridSpan w:val="2"/>
                  <w:tcBorders>
                    <w:tl2br w:val="nil"/>
                    <w:tr2bl w:val="nil"/>
                  </w:tcBorders>
                  <w:vAlign w:val="center"/>
                </w:tcPr>
                <w:p w14:paraId="65C5C274">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50</w:t>
                  </w:r>
                </w:p>
              </w:tc>
              <w:tc>
                <w:tcPr>
                  <w:tcW w:w="1614" w:type="dxa"/>
                  <w:tcBorders>
                    <w:tl2br w:val="nil"/>
                    <w:tr2bl w:val="nil"/>
                  </w:tcBorders>
                  <w:vAlign w:val="center"/>
                </w:tcPr>
                <w:p w14:paraId="666BC5A4">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0.0055</w:t>
                  </w:r>
                </w:p>
              </w:tc>
            </w:tr>
            <w:tr w14:paraId="686253A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7" w:type="dxa"/>
                  <w:tcBorders>
                    <w:tl2br w:val="nil"/>
                    <w:tr2bl w:val="nil"/>
                  </w:tcBorders>
                  <w:vAlign w:val="center"/>
                </w:tcPr>
                <w:p w14:paraId="58C71774">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SS</w:t>
                  </w:r>
                </w:p>
              </w:tc>
              <w:tc>
                <w:tcPr>
                  <w:tcW w:w="1611" w:type="dxa"/>
                  <w:tcBorders>
                    <w:tl2br w:val="nil"/>
                    <w:tr2bl w:val="nil"/>
                  </w:tcBorders>
                  <w:vAlign w:val="center"/>
                </w:tcPr>
                <w:p w14:paraId="494481DE">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350</w:t>
                  </w:r>
                </w:p>
              </w:tc>
              <w:tc>
                <w:tcPr>
                  <w:tcW w:w="1611" w:type="dxa"/>
                  <w:tcBorders>
                    <w:tl2br w:val="nil"/>
                    <w:tr2bl w:val="nil"/>
                  </w:tcBorders>
                  <w:vAlign w:val="center"/>
                </w:tcPr>
                <w:p w14:paraId="524AC0BB">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0.038</w:t>
                  </w:r>
                </w:p>
              </w:tc>
              <w:tc>
                <w:tcPr>
                  <w:tcW w:w="1611" w:type="dxa"/>
                  <w:gridSpan w:val="2"/>
                  <w:tcBorders>
                    <w:tl2br w:val="nil"/>
                    <w:tr2bl w:val="nil"/>
                  </w:tcBorders>
                  <w:vAlign w:val="center"/>
                </w:tcPr>
                <w:p w14:paraId="432A784C">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140</w:t>
                  </w:r>
                </w:p>
              </w:tc>
              <w:tc>
                <w:tcPr>
                  <w:tcW w:w="1614" w:type="dxa"/>
                  <w:tcBorders>
                    <w:tl2br w:val="nil"/>
                    <w:tr2bl w:val="nil"/>
                  </w:tcBorders>
                  <w:vAlign w:val="center"/>
                </w:tcPr>
                <w:p w14:paraId="2DA53AAF">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0.015</w:t>
                  </w:r>
                </w:p>
              </w:tc>
            </w:tr>
          </w:tbl>
          <w:p w14:paraId="659F1471">
            <w:pPr>
              <w:spacing w:line="360" w:lineRule="auto"/>
              <w:ind w:firstLine="600" w:firstLineChars="25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根据现场踏勘和查阅资料可知，葛店开发区污水处理厂于2009年12月8日由市环保局组织环保工程竣工验收，并于2010年元月后由开发区供排水公司负责运行至今，服务范围为葛店科技新城。本项目位于葛店科技新城内，已覆盖污水管网，项目</w:t>
            </w:r>
            <w:r>
              <w:rPr>
                <w:rFonts w:hint="eastAsia" w:cs="Times New Roman"/>
                <w:color w:val="auto"/>
                <w:sz w:val="24"/>
                <w:szCs w:val="24"/>
                <w:lang w:val="en-US" w:eastAsia="zh-CN"/>
              </w:rPr>
              <w:t>的</w:t>
            </w:r>
            <w:r>
              <w:rPr>
                <w:rFonts w:hint="eastAsia"/>
                <w:color w:val="auto"/>
                <w:sz w:val="24"/>
                <w:lang w:eastAsia="zh-CN"/>
              </w:rPr>
              <w:t>地下车库清洗废水经过隔油沉沙池处理后，与</w:t>
            </w:r>
            <w:r>
              <w:rPr>
                <w:rFonts w:ascii="Times New Roman" w:hAnsi="Times New Roman" w:cs="Times New Roman"/>
                <w:color w:val="auto"/>
                <w:sz w:val="24"/>
                <w:szCs w:val="24"/>
              </w:rPr>
              <w:t>商业区</w:t>
            </w:r>
            <w:r>
              <w:rPr>
                <w:rFonts w:hint="eastAsia" w:cs="Times New Roman"/>
                <w:color w:val="auto"/>
                <w:sz w:val="24"/>
                <w:szCs w:val="24"/>
                <w:lang w:eastAsia="zh-CN"/>
              </w:rPr>
              <w:t>、</w:t>
            </w:r>
            <w:r>
              <w:rPr>
                <w:rFonts w:ascii="Times New Roman" w:hAnsi="Times New Roman" w:cs="Times New Roman"/>
                <w:color w:val="auto"/>
                <w:sz w:val="24"/>
                <w:szCs w:val="24"/>
              </w:rPr>
              <w:t>住宅区、</w:t>
            </w:r>
            <w:r>
              <w:rPr>
                <w:rFonts w:hint="eastAsia" w:cs="Times New Roman"/>
                <w:color w:val="auto"/>
                <w:sz w:val="24"/>
                <w:szCs w:val="24"/>
                <w:lang w:eastAsia="zh-CN"/>
              </w:rPr>
              <w:t>配套公建设施用房生活污水一起通过三级化粪池处理后，通过项目总排口排入市政污水管网，再</w:t>
            </w:r>
            <w:r>
              <w:rPr>
                <w:rFonts w:hint="eastAsia" w:ascii="Times New Roman" w:hAnsi="Times New Roman" w:cs="Times New Roman"/>
                <w:color w:val="auto"/>
                <w:sz w:val="24"/>
                <w:szCs w:val="24"/>
                <w:lang w:val="en-US" w:eastAsia="zh-CN"/>
              </w:rPr>
              <w:t>依托葛店污水处理厂处理具有可行性，</w:t>
            </w:r>
            <w:r>
              <w:rPr>
                <w:rFonts w:hint="eastAsia" w:cs="Times New Roman"/>
                <w:color w:val="auto"/>
                <w:sz w:val="24"/>
                <w:szCs w:val="24"/>
                <w:lang w:val="en-US" w:eastAsia="zh-CN"/>
              </w:rPr>
              <w:t>最后污水</w:t>
            </w:r>
            <w:r>
              <w:rPr>
                <w:rFonts w:hint="eastAsia" w:ascii="Times New Roman" w:hAnsi="Times New Roman" w:cs="Times New Roman"/>
                <w:color w:val="auto"/>
                <w:sz w:val="24"/>
                <w:szCs w:val="24"/>
                <w:lang w:val="en-US" w:eastAsia="zh-CN"/>
              </w:rPr>
              <w:t>处理后尾水排入长江。</w:t>
            </w:r>
          </w:p>
          <w:p w14:paraId="7F0F2BCB">
            <w:pPr>
              <w:spacing w:line="360" w:lineRule="auto"/>
              <w:ind w:firstLine="480" w:firstLineChars="20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3.3、运营期噪声</w:t>
            </w:r>
          </w:p>
          <w:p w14:paraId="2CA5B0FE">
            <w:pPr>
              <w:spacing w:line="360" w:lineRule="auto"/>
              <w:ind w:firstLine="480" w:firstLineChars="200"/>
              <w:rPr>
                <w:color w:val="auto"/>
                <w:sz w:val="24"/>
                <w:szCs w:val="24"/>
              </w:rPr>
            </w:pPr>
            <w:r>
              <w:rPr>
                <w:rFonts w:hint="eastAsia" w:hAnsi="宋体"/>
                <w:color w:val="auto"/>
                <w:sz w:val="24"/>
                <w:szCs w:val="24"/>
                <w:lang w:eastAsia="zh-CN"/>
              </w:rPr>
              <w:t>（</w:t>
            </w:r>
            <w:r>
              <w:rPr>
                <w:rFonts w:hint="eastAsia" w:hAnsi="宋体"/>
                <w:color w:val="auto"/>
                <w:sz w:val="24"/>
                <w:szCs w:val="24"/>
                <w:lang w:val="en-US" w:eastAsia="zh-CN"/>
              </w:rPr>
              <w:t>1</w:t>
            </w:r>
            <w:r>
              <w:rPr>
                <w:rFonts w:hint="eastAsia" w:hAnsi="宋体"/>
                <w:color w:val="auto"/>
                <w:sz w:val="24"/>
                <w:szCs w:val="24"/>
                <w:lang w:eastAsia="zh-CN"/>
              </w:rPr>
              <w:t>）</w:t>
            </w:r>
            <w:r>
              <w:rPr>
                <w:rFonts w:hAnsi="宋体"/>
                <w:color w:val="auto"/>
                <w:sz w:val="24"/>
                <w:szCs w:val="24"/>
              </w:rPr>
              <w:t>商业活动噪声</w:t>
            </w:r>
          </w:p>
          <w:p w14:paraId="686BC53E">
            <w:pPr>
              <w:spacing w:line="360" w:lineRule="auto"/>
              <w:ind w:firstLine="480" w:firstLineChars="200"/>
              <w:rPr>
                <w:color w:val="auto"/>
                <w:sz w:val="24"/>
                <w:szCs w:val="24"/>
              </w:rPr>
            </w:pPr>
            <w:r>
              <w:rPr>
                <w:rFonts w:hAnsi="宋体"/>
                <w:color w:val="auto"/>
                <w:sz w:val="24"/>
                <w:szCs w:val="24"/>
              </w:rPr>
              <w:t>项目建成后，随着各商业裙楼铺面投入使用，区域来往人员大量增加，居住区、商业场所将产生各种社会生活噪声。商业场所由于人流量较大，主要为人群喧哗声或音乐、喇叭声以及装卸货物时的嘈杂声等，商业场所营运期噪声值一般在</w:t>
            </w:r>
            <w:r>
              <w:rPr>
                <w:color w:val="auto"/>
                <w:sz w:val="24"/>
                <w:szCs w:val="24"/>
              </w:rPr>
              <w:t>65</w:t>
            </w:r>
            <w:r>
              <w:rPr>
                <w:rFonts w:hAnsi="宋体"/>
                <w:color w:val="auto"/>
                <w:sz w:val="24"/>
                <w:szCs w:val="24"/>
              </w:rPr>
              <w:t>～</w:t>
            </w:r>
            <w:r>
              <w:rPr>
                <w:color w:val="auto"/>
                <w:sz w:val="24"/>
                <w:szCs w:val="24"/>
              </w:rPr>
              <w:t>80dB(A)</w:t>
            </w:r>
            <w:r>
              <w:rPr>
                <w:rFonts w:hAnsi="宋体"/>
                <w:color w:val="auto"/>
                <w:sz w:val="24"/>
                <w:szCs w:val="24"/>
              </w:rPr>
              <w:t>之间。</w:t>
            </w:r>
          </w:p>
          <w:p w14:paraId="49423C23">
            <w:pPr>
              <w:spacing w:line="360" w:lineRule="auto"/>
              <w:ind w:firstLine="480" w:firstLineChars="200"/>
              <w:rPr>
                <w:color w:val="auto"/>
                <w:sz w:val="24"/>
                <w:szCs w:val="24"/>
              </w:rPr>
            </w:pPr>
            <w:r>
              <w:rPr>
                <w:rFonts w:hint="eastAsia" w:hAnsi="宋体"/>
                <w:color w:val="auto"/>
                <w:sz w:val="24"/>
                <w:szCs w:val="24"/>
                <w:lang w:eastAsia="zh-CN"/>
              </w:rPr>
              <w:t>（</w:t>
            </w:r>
            <w:r>
              <w:rPr>
                <w:rFonts w:hint="eastAsia" w:hAnsi="宋体"/>
                <w:color w:val="auto"/>
                <w:sz w:val="24"/>
                <w:szCs w:val="24"/>
                <w:lang w:val="en-US" w:eastAsia="zh-CN"/>
              </w:rPr>
              <w:t>2</w:t>
            </w:r>
            <w:r>
              <w:rPr>
                <w:rFonts w:hint="eastAsia" w:hAnsi="宋体"/>
                <w:color w:val="auto"/>
                <w:sz w:val="24"/>
                <w:szCs w:val="24"/>
                <w:lang w:eastAsia="zh-CN"/>
              </w:rPr>
              <w:t>）</w:t>
            </w:r>
            <w:r>
              <w:rPr>
                <w:rFonts w:hAnsi="宋体"/>
                <w:color w:val="auto"/>
                <w:sz w:val="24"/>
                <w:szCs w:val="24"/>
              </w:rPr>
              <w:t>机动车噪声</w:t>
            </w:r>
          </w:p>
          <w:p w14:paraId="6ADB37C5">
            <w:pPr>
              <w:spacing w:line="360" w:lineRule="auto"/>
              <w:ind w:firstLine="480" w:firstLineChars="200"/>
              <w:rPr>
                <w:rFonts w:hAnsi="宋体"/>
                <w:color w:val="auto"/>
                <w:sz w:val="24"/>
                <w:szCs w:val="24"/>
              </w:rPr>
            </w:pPr>
            <w:r>
              <w:rPr>
                <w:rFonts w:hAnsi="宋体"/>
                <w:color w:val="auto"/>
                <w:sz w:val="24"/>
                <w:szCs w:val="24"/>
              </w:rPr>
              <w:t>车辆进出停车场过程中会带来噪声影响。根据类比调查分析，机动车噪声值在</w:t>
            </w:r>
            <w:r>
              <w:rPr>
                <w:color w:val="auto"/>
                <w:sz w:val="24"/>
                <w:szCs w:val="24"/>
              </w:rPr>
              <w:t>6</w:t>
            </w:r>
            <w:r>
              <w:rPr>
                <w:rFonts w:hint="eastAsia"/>
                <w:color w:val="auto"/>
                <w:sz w:val="24"/>
                <w:szCs w:val="24"/>
              </w:rPr>
              <w:t>0</w:t>
            </w:r>
            <w:r>
              <w:rPr>
                <w:rFonts w:hAnsi="宋体"/>
                <w:color w:val="auto"/>
                <w:sz w:val="24"/>
                <w:szCs w:val="24"/>
              </w:rPr>
              <w:t>～</w:t>
            </w:r>
            <w:r>
              <w:rPr>
                <w:rFonts w:hint="eastAsia"/>
                <w:color w:val="auto"/>
                <w:sz w:val="24"/>
                <w:szCs w:val="24"/>
              </w:rPr>
              <w:t>6</w:t>
            </w:r>
            <w:r>
              <w:rPr>
                <w:color w:val="auto"/>
                <w:sz w:val="24"/>
                <w:szCs w:val="24"/>
              </w:rPr>
              <w:t>5dB(A)</w:t>
            </w:r>
            <w:r>
              <w:rPr>
                <w:rFonts w:hAnsi="宋体"/>
                <w:color w:val="auto"/>
                <w:sz w:val="24"/>
                <w:szCs w:val="24"/>
              </w:rPr>
              <w:t>范围内。</w:t>
            </w:r>
          </w:p>
          <w:p w14:paraId="20CC796D">
            <w:pPr>
              <w:spacing w:line="360" w:lineRule="auto"/>
              <w:ind w:firstLine="480" w:firstLineChars="200"/>
              <w:rPr>
                <w:color w:val="auto"/>
                <w:sz w:val="24"/>
                <w:szCs w:val="24"/>
              </w:rPr>
            </w:pPr>
            <w:r>
              <w:rPr>
                <w:rFonts w:hint="eastAsia" w:hAnsi="宋体"/>
                <w:color w:val="auto"/>
                <w:sz w:val="24"/>
                <w:szCs w:val="24"/>
                <w:lang w:eastAsia="zh-CN"/>
              </w:rPr>
              <w:t>（</w:t>
            </w:r>
            <w:r>
              <w:rPr>
                <w:rFonts w:hint="eastAsia" w:hAnsi="宋体"/>
                <w:color w:val="auto"/>
                <w:sz w:val="24"/>
                <w:szCs w:val="24"/>
                <w:lang w:val="en-US" w:eastAsia="zh-CN"/>
              </w:rPr>
              <w:t>3</w:t>
            </w:r>
            <w:r>
              <w:rPr>
                <w:rFonts w:hint="eastAsia" w:hAnsi="宋体"/>
                <w:color w:val="auto"/>
                <w:sz w:val="24"/>
                <w:szCs w:val="24"/>
                <w:lang w:eastAsia="zh-CN"/>
              </w:rPr>
              <w:t>）</w:t>
            </w:r>
            <w:r>
              <w:rPr>
                <w:rFonts w:hAnsi="宋体"/>
                <w:color w:val="auto"/>
                <w:sz w:val="24"/>
                <w:szCs w:val="24"/>
              </w:rPr>
              <w:t>配套设备噪声</w:t>
            </w:r>
          </w:p>
          <w:p w14:paraId="013DD6AD">
            <w:pPr>
              <w:pStyle w:val="5"/>
              <w:spacing w:line="360" w:lineRule="auto"/>
              <w:ind w:firstLine="480" w:firstLineChars="200"/>
              <w:rPr>
                <w:rFonts w:hint="eastAsia" w:hAnsi="宋体"/>
                <w:bCs/>
                <w:color w:val="auto"/>
                <w:sz w:val="24"/>
                <w:szCs w:val="24"/>
              </w:rPr>
            </w:pPr>
            <w:r>
              <w:rPr>
                <w:rFonts w:hint="eastAsia" w:hAnsi="宋体"/>
                <w:bCs/>
                <w:color w:val="auto"/>
                <w:sz w:val="24"/>
                <w:szCs w:val="24"/>
              </w:rPr>
              <w:t>地下车库风机、水泵位于地下车库一层，配电机组位于地面以上独立房中。根据同类型设备的实测结果，其主要设备噪声值见表5-</w:t>
            </w:r>
            <w:r>
              <w:rPr>
                <w:rFonts w:hint="eastAsia" w:hAnsi="宋体"/>
                <w:bCs/>
                <w:color w:val="auto"/>
                <w:sz w:val="24"/>
                <w:szCs w:val="24"/>
                <w:lang w:val="en-US" w:eastAsia="zh-CN"/>
              </w:rPr>
              <w:t>8</w:t>
            </w:r>
            <w:r>
              <w:rPr>
                <w:rFonts w:hint="eastAsia" w:hAnsi="宋体"/>
                <w:bCs/>
                <w:color w:val="auto"/>
                <w:sz w:val="24"/>
                <w:szCs w:val="24"/>
              </w:rPr>
              <w:t>。</w:t>
            </w:r>
          </w:p>
          <w:p w14:paraId="0C841115">
            <w:pPr>
              <w:spacing w:line="360" w:lineRule="auto"/>
              <w:ind w:firstLine="422" w:firstLineChars="200"/>
              <w:jc w:val="center"/>
              <w:rPr>
                <w:rFonts w:hint="eastAsia" w:hAnsi="宋体"/>
                <w:b/>
                <w:color w:val="auto"/>
                <w:sz w:val="21"/>
                <w:szCs w:val="21"/>
              </w:rPr>
            </w:pPr>
            <w:r>
              <w:rPr>
                <w:rFonts w:hAnsi="宋体"/>
                <w:b/>
                <w:color w:val="auto"/>
                <w:sz w:val="21"/>
                <w:szCs w:val="21"/>
              </w:rPr>
              <w:t>表5-</w:t>
            </w:r>
            <w:r>
              <w:rPr>
                <w:rFonts w:hint="eastAsia" w:hAnsi="宋体"/>
                <w:b/>
                <w:color w:val="auto"/>
                <w:sz w:val="21"/>
                <w:szCs w:val="21"/>
                <w:lang w:val="en-US" w:eastAsia="zh-CN"/>
              </w:rPr>
              <w:t>7</w:t>
            </w:r>
            <w:r>
              <w:rPr>
                <w:rFonts w:hAnsi="宋体"/>
                <w:b/>
                <w:color w:val="auto"/>
                <w:sz w:val="21"/>
                <w:szCs w:val="21"/>
              </w:rPr>
              <w:t xml:space="preserve"> </w:t>
            </w:r>
            <w:r>
              <w:rPr>
                <w:rFonts w:hint="eastAsia" w:hAnsi="宋体"/>
                <w:b/>
                <w:color w:val="auto"/>
                <w:sz w:val="21"/>
                <w:szCs w:val="21"/>
                <w:lang w:val="en-US" w:eastAsia="zh-CN"/>
              </w:rPr>
              <w:t xml:space="preserve"> </w:t>
            </w:r>
            <w:r>
              <w:rPr>
                <w:rFonts w:hAnsi="宋体"/>
                <w:b/>
                <w:color w:val="auto"/>
                <w:sz w:val="21"/>
                <w:szCs w:val="21"/>
              </w:rPr>
              <w:t>配套设备噪声的声压级</w:t>
            </w:r>
          </w:p>
          <w:tbl>
            <w:tblPr>
              <w:tblStyle w:val="15"/>
              <w:tblW w:w="8504" w:type="dxa"/>
              <w:jc w:val="center"/>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51"/>
              <w:gridCol w:w="2539"/>
              <w:gridCol w:w="1895"/>
              <w:gridCol w:w="1733"/>
              <w:gridCol w:w="1786"/>
            </w:tblGrid>
            <w:tr w14:paraId="3F16630F">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1" w:type="dxa"/>
                  <w:vAlign w:val="center"/>
                </w:tcPr>
                <w:p w14:paraId="7841046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序号</w:t>
                  </w:r>
                </w:p>
              </w:tc>
              <w:tc>
                <w:tcPr>
                  <w:tcW w:w="2539" w:type="dxa"/>
                  <w:vAlign w:val="center"/>
                </w:tcPr>
                <w:p w14:paraId="31C5AA4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设备名称</w:t>
                  </w:r>
                </w:p>
              </w:tc>
              <w:tc>
                <w:tcPr>
                  <w:tcW w:w="1895" w:type="dxa"/>
                  <w:vAlign w:val="center"/>
                </w:tcPr>
                <w:p w14:paraId="3BAF5E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声级值</w:t>
                  </w:r>
                  <w:r>
                    <w:rPr>
                      <w:color w:val="auto"/>
                      <w:sz w:val="21"/>
                      <w:szCs w:val="21"/>
                    </w:rPr>
                    <w:t xml:space="preserve">  dB</w:t>
                  </w:r>
                  <w:r>
                    <w:rPr>
                      <w:rFonts w:hAnsi="宋体"/>
                      <w:color w:val="auto"/>
                      <w:sz w:val="21"/>
                      <w:szCs w:val="21"/>
                    </w:rPr>
                    <w:t>（</w:t>
                  </w:r>
                  <w:r>
                    <w:rPr>
                      <w:color w:val="auto"/>
                      <w:sz w:val="21"/>
                      <w:szCs w:val="21"/>
                    </w:rPr>
                    <w:t>A</w:t>
                  </w:r>
                  <w:r>
                    <w:rPr>
                      <w:rFonts w:hAnsi="宋体"/>
                      <w:color w:val="auto"/>
                      <w:sz w:val="21"/>
                      <w:szCs w:val="21"/>
                    </w:rPr>
                    <w:t>）</w:t>
                  </w:r>
                </w:p>
              </w:tc>
              <w:tc>
                <w:tcPr>
                  <w:tcW w:w="1733" w:type="dxa"/>
                  <w:vAlign w:val="center"/>
                </w:tcPr>
                <w:p w14:paraId="6B56D96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位置</w:t>
                  </w:r>
                </w:p>
              </w:tc>
              <w:tc>
                <w:tcPr>
                  <w:tcW w:w="1786" w:type="dxa"/>
                  <w:vAlign w:val="center"/>
                </w:tcPr>
                <w:p w14:paraId="0E51A20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排放方式</w:t>
                  </w:r>
                </w:p>
              </w:tc>
            </w:tr>
            <w:tr w14:paraId="4D2C4D65">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1" w:type="dxa"/>
                  <w:vAlign w:val="center"/>
                </w:tcPr>
                <w:p w14:paraId="35414CC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1</w:t>
                  </w:r>
                </w:p>
              </w:tc>
              <w:tc>
                <w:tcPr>
                  <w:tcW w:w="2539" w:type="dxa"/>
                  <w:vAlign w:val="center"/>
                </w:tcPr>
                <w:p w14:paraId="6A10E72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地下车库风机</w:t>
                  </w:r>
                </w:p>
              </w:tc>
              <w:tc>
                <w:tcPr>
                  <w:tcW w:w="1895" w:type="dxa"/>
                  <w:vAlign w:val="center"/>
                </w:tcPr>
                <w:p w14:paraId="57DB03E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80</w:t>
                  </w:r>
                  <w:r>
                    <w:rPr>
                      <w:rFonts w:hAnsi="宋体"/>
                      <w:color w:val="auto"/>
                      <w:sz w:val="21"/>
                      <w:szCs w:val="21"/>
                    </w:rPr>
                    <w:t>～</w:t>
                  </w:r>
                  <w:r>
                    <w:rPr>
                      <w:color w:val="auto"/>
                      <w:sz w:val="21"/>
                      <w:szCs w:val="21"/>
                    </w:rPr>
                    <w:t>85</w:t>
                  </w:r>
                </w:p>
              </w:tc>
              <w:tc>
                <w:tcPr>
                  <w:tcW w:w="1733" w:type="dxa"/>
                  <w:vAlign w:val="center"/>
                </w:tcPr>
                <w:p w14:paraId="0A325EA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地下层设备房</w:t>
                  </w:r>
                </w:p>
              </w:tc>
              <w:tc>
                <w:tcPr>
                  <w:tcW w:w="1786" w:type="dxa"/>
                  <w:vAlign w:val="center"/>
                </w:tcPr>
                <w:p w14:paraId="05864A2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间断</w:t>
                  </w:r>
                </w:p>
              </w:tc>
            </w:tr>
            <w:tr w14:paraId="54419BE5">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1" w:type="dxa"/>
                  <w:vAlign w:val="center"/>
                </w:tcPr>
                <w:p w14:paraId="436FCC1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2</w:t>
                  </w:r>
                </w:p>
              </w:tc>
              <w:tc>
                <w:tcPr>
                  <w:tcW w:w="2539" w:type="dxa"/>
                  <w:vAlign w:val="center"/>
                </w:tcPr>
                <w:p w14:paraId="5A73E83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地下车库水泵</w:t>
                  </w:r>
                </w:p>
              </w:tc>
              <w:tc>
                <w:tcPr>
                  <w:tcW w:w="1895" w:type="dxa"/>
                  <w:vAlign w:val="center"/>
                </w:tcPr>
                <w:p w14:paraId="0187896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80~85</w:t>
                  </w:r>
                </w:p>
              </w:tc>
              <w:tc>
                <w:tcPr>
                  <w:tcW w:w="1733" w:type="dxa"/>
                  <w:vAlign w:val="center"/>
                </w:tcPr>
                <w:p w14:paraId="0CE51A6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地下层设备房</w:t>
                  </w:r>
                </w:p>
              </w:tc>
              <w:tc>
                <w:tcPr>
                  <w:tcW w:w="1786" w:type="dxa"/>
                  <w:vAlign w:val="center"/>
                </w:tcPr>
                <w:p w14:paraId="0F8DAB5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间断</w:t>
                  </w:r>
                </w:p>
              </w:tc>
            </w:tr>
            <w:tr w14:paraId="20493933">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1" w:type="dxa"/>
                  <w:vAlign w:val="center"/>
                </w:tcPr>
                <w:p w14:paraId="00DC71B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3</w:t>
                  </w:r>
                </w:p>
              </w:tc>
              <w:tc>
                <w:tcPr>
                  <w:tcW w:w="2539" w:type="dxa"/>
                  <w:vAlign w:val="center"/>
                </w:tcPr>
                <w:p w14:paraId="7480C0F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配电机组</w:t>
                  </w:r>
                </w:p>
              </w:tc>
              <w:tc>
                <w:tcPr>
                  <w:tcW w:w="1895" w:type="dxa"/>
                  <w:vAlign w:val="center"/>
                </w:tcPr>
                <w:p w14:paraId="2B4ED94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color w:val="auto"/>
                      <w:sz w:val="21"/>
                      <w:szCs w:val="21"/>
                    </w:rPr>
                    <w:t>65~70</w:t>
                  </w:r>
                </w:p>
              </w:tc>
              <w:tc>
                <w:tcPr>
                  <w:tcW w:w="1733" w:type="dxa"/>
                  <w:vAlign w:val="center"/>
                </w:tcPr>
                <w:p w14:paraId="719D501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地上独立房内</w:t>
                  </w:r>
                </w:p>
              </w:tc>
              <w:tc>
                <w:tcPr>
                  <w:tcW w:w="1786" w:type="dxa"/>
                  <w:vAlign w:val="center"/>
                </w:tcPr>
                <w:p w14:paraId="489611B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auto"/>
                      <w:sz w:val="21"/>
                      <w:szCs w:val="21"/>
                    </w:rPr>
                  </w:pPr>
                  <w:r>
                    <w:rPr>
                      <w:rFonts w:hAnsi="宋体"/>
                      <w:color w:val="auto"/>
                      <w:sz w:val="21"/>
                      <w:szCs w:val="21"/>
                    </w:rPr>
                    <w:t>连续</w:t>
                  </w:r>
                </w:p>
              </w:tc>
            </w:tr>
          </w:tbl>
          <w:p w14:paraId="47FF6338">
            <w:pPr>
              <w:spacing w:line="360" w:lineRule="auto"/>
              <w:ind w:firstLine="480" w:firstLineChars="200"/>
              <w:rPr>
                <w:rFonts w:hint="eastAsia" w:hAnsi="宋体"/>
                <w:color w:val="auto"/>
                <w:sz w:val="24"/>
                <w:szCs w:val="24"/>
                <w:lang w:val="en-US" w:eastAsia="zh-CN"/>
              </w:rPr>
            </w:pPr>
            <w:r>
              <w:rPr>
                <w:rFonts w:hint="eastAsia" w:hAnsi="宋体"/>
                <w:color w:val="auto"/>
                <w:sz w:val="24"/>
                <w:szCs w:val="24"/>
                <w:lang w:val="en-US" w:eastAsia="zh-CN"/>
              </w:rPr>
              <w:t>3.4、运营期固废</w:t>
            </w:r>
          </w:p>
          <w:p w14:paraId="647A7694">
            <w:pPr>
              <w:pStyle w:val="5"/>
              <w:numPr>
                <w:ilvl w:val="0"/>
                <w:numId w:val="9"/>
              </w:numPr>
              <w:spacing w:line="360" w:lineRule="auto"/>
              <w:ind w:firstLine="480" w:firstLineChars="200"/>
              <w:rPr>
                <w:rFonts w:hint="eastAsia" w:hAnsi="宋体"/>
                <w:bCs/>
                <w:color w:val="auto"/>
                <w:sz w:val="24"/>
                <w:szCs w:val="24"/>
              </w:rPr>
            </w:pPr>
            <w:r>
              <w:rPr>
                <w:rFonts w:hint="eastAsia" w:hAnsi="宋体"/>
                <w:bCs/>
                <w:color w:val="auto"/>
                <w:sz w:val="24"/>
                <w:szCs w:val="24"/>
              </w:rPr>
              <w:t>居民生活垃圾</w:t>
            </w:r>
          </w:p>
          <w:p w14:paraId="7D45D59E">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bCs/>
                <w:color w:val="auto"/>
                <w:sz w:val="24"/>
                <w:szCs w:val="24"/>
              </w:rPr>
            </w:pPr>
            <w:r>
              <w:rPr>
                <w:rFonts w:hint="eastAsia" w:hAnsi="宋体"/>
                <w:bCs/>
                <w:color w:val="auto"/>
                <w:sz w:val="24"/>
                <w:szCs w:val="24"/>
              </w:rPr>
              <w:t>根据城镇生活源产排污系数手册中的统计数据，湖北地区生活垃圾产生量为0.38~0.71kg/d</w:t>
            </w:r>
            <w:r>
              <w:rPr>
                <w:rFonts w:hint="default" w:ascii="Times New Roman" w:hAnsi="Times New Roman" w:cs="Times New Roman"/>
                <w:bCs/>
                <w:color w:val="auto"/>
                <w:sz w:val="24"/>
                <w:szCs w:val="24"/>
              </w:rPr>
              <w:t>·</w:t>
            </w:r>
            <w:r>
              <w:rPr>
                <w:rFonts w:hint="eastAsia" w:hAnsi="宋体"/>
                <w:bCs/>
                <w:color w:val="auto"/>
                <w:sz w:val="24"/>
                <w:szCs w:val="24"/>
              </w:rPr>
              <w:t>人，本评价取0.5kg/d</w:t>
            </w:r>
            <w:r>
              <w:rPr>
                <w:rFonts w:hint="default" w:ascii="Times New Roman" w:hAnsi="Times New Roman" w:cs="Times New Roman"/>
                <w:bCs/>
                <w:color w:val="auto"/>
                <w:sz w:val="24"/>
                <w:szCs w:val="24"/>
              </w:rPr>
              <w:t>·</w:t>
            </w:r>
            <w:r>
              <w:rPr>
                <w:rFonts w:hint="eastAsia" w:hAnsi="宋体"/>
                <w:bCs/>
                <w:color w:val="auto"/>
                <w:sz w:val="24"/>
                <w:szCs w:val="24"/>
              </w:rPr>
              <w:t>人，居住人数约为</w:t>
            </w:r>
            <w:r>
              <w:rPr>
                <w:rFonts w:hint="eastAsia" w:hAnsi="宋体"/>
                <w:bCs/>
                <w:color w:val="auto"/>
                <w:sz w:val="24"/>
                <w:szCs w:val="24"/>
                <w:lang w:val="en-US" w:eastAsia="zh-CN"/>
              </w:rPr>
              <w:t>2112</w:t>
            </w:r>
            <w:r>
              <w:rPr>
                <w:rFonts w:hint="eastAsia" w:hAnsi="宋体"/>
                <w:bCs/>
                <w:color w:val="auto"/>
                <w:sz w:val="24"/>
                <w:szCs w:val="24"/>
              </w:rPr>
              <w:t>人，</w:t>
            </w:r>
            <w:r>
              <w:rPr>
                <w:rFonts w:hint="eastAsia" w:hAnsi="宋体"/>
                <w:bCs/>
                <w:color w:val="auto"/>
                <w:sz w:val="24"/>
                <w:szCs w:val="24"/>
                <w:lang w:eastAsia="zh-CN"/>
              </w:rPr>
              <w:t>一年按</w:t>
            </w:r>
            <w:r>
              <w:rPr>
                <w:rFonts w:hint="eastAsia" w:hAnsi="宋体"/>
                <w:bCs/>
                <w:color w:val="auto"/>
                <w:sz w:val="24"/>
                <w:szCs w:val="24"/>
                <w:lang w:val="en-US" w:eastAsia="zh-CN"/>
              </w:rPr>
              <w:t>365天计，</w:t>
            </w:r>
            <w:r>
              <w:rPr>
                <w:rFonts w:hint="eastAsia" w:hAnsi="宋体"/>
                <w:bCs/>
                <w:color w:val="auto"/>
                <w:sz w:val="24"/>
                <w:szCs w:val="24"/>
              </w:rPr>
              <w:t>则住宅部分生活垃圾产生量约</w:t>
            </w:r>
            <w:r>
              <w:rPr>
                <w:rFonts w:hint="eastAsia" w:hAnsi="宋体"/>
                <w:bCs/>
                <w:color w:val="auto"/>
                <w:sz w:val="24"/>
                <w:szCs w:val="24"/>
                <w:lang w:val="en-US" w:eastAsia="zh-CN"/>
              </w:rPr>
              <w:t>1.056</w:t>
            </w:r>
            <w:r>
              <w:rPr>
                <w:rFonts w:hint="eastAsia" w:hAnsi="宋体"/>
                <w:bCs/>
                <w:color w:val="auto"/>
                <w:sz w:val="24"/>
                <w:szCs w:val="24"/>
              </w:rPr>
              <w:t>t/d</w:t>
            </w:r>
            <w:r>
              <w:rPr>
                <w:rFonts w:hint="eastAsia" w:hAnsi="宋体"/>
                <w:bCs/>
                <w:color w:val="auto"/>
                <w:sz w:val="24"/>
                <w:szCs w:val="24"/>
                <w:lang w:eastAsia="zh-CN"/>
              </w:rPr>
              <w:t>（</w:t>
            </w:r>
            <w:r>
              <w:rPr>
                <w:rFonts w:hint="eastAsia" w:hAnsi="宋体"/>
                <w:bCs/>
                <w:color w:val="auto"/>
                <w:sz w:val="24"/>
                <w:szCs w:val="24"/>
                <w:lang w:val="en-US" w:eastAsia="zh-CN"/>
              </w:rPr>
              <w:t>385.44</w:t>
            </w:r>
            <w:r>
              <w:rPr>
                <w:rFonts w:hint="eastAsia" w:hAnsi="宋体"/>
                <w:bCs/>
                <w:color w:val="auto"/>
                <w:sz w:val="24"/>
                <w:szCs w:val="24"/>
              </w:rPr>
              <w:t>t/a</w:t>
            </w:r>
            <w:r>
              <w:rPr>
                <w:rFonts w:hint="eastAsia" w:hAnsi="宋体"/>
                <w:bCs/>
                <w:color w:val="auto"/>
                <w:sz w:val="24"/>
                <w:szCs w:val="24"/>
                <w:lang w:eastAsia="zh-CN"/>
              </w:rPr>
              <w:t>）</w:t>
            </w:r>
            <w:r>
              <w:rPr>
                <w:rFonts w:hint="eastAsia" w:hAnsi="宋体"/>
                <w:bCs/>
                <w:color w:val="auto"/>
                <w:sz w:val="24"/>
                <w:szCs w:val="24"/>
              </w:rPr>
              <w:t>。</w:t>
            </w:r>
          </w:p>
          <w:p w14:paraId="156E622D">
            <w:pPr>
              <w:pStyle w:val="5"/>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bCs/>
                <w:color w:val="auto"/>
                <w:sz w:val="24"/>
                <w:szCs w:val="24"/>
              </w:rPr>
            </w:pPr>
            <w:r>
              <w:rPr>
                <w:rFonts w:hint="eastAsia" w:hAnsi="宋体"/>
                <w:bCs/>
                <w:color w:val="auto"/>
                <w:sz w:val="24"/>
                <w:szCs w:val="24"/>
                <w:lang w:eastAsia="zh-CN"/>
              </w:rPr>
              <w:t>（</w:t>
            </w:r>
            <w:r>
              <w:rPr>
                <w:rFonts w:hint="eastAsia" w:hAnsi="宋体"/>
                <w:bCs/>
                <w:color w:val="auto"/>
                <w:sz w:val="24"/>
                <w:szCs w:val="24"/>
                <w:lang w:val="en-US" w:eastAsia="zh-CN"/>
              </w:rPr>
              <w:t>2</w:t>
            </w:r>
            <w:r>
              <w:rPr>
                <w:rFonts w:hint="eastAsia" w:hAnsi="宋体"/>
                <w:bCs/>
                <w:color w:val="auto"/>
                <w:sz w:val="24"/>
                <w:szCs w:val="24"/>
                <w:lang w:eastAsia="zh-CN"/>
              </w:rPr>
              <w:t>）</w:t>
            </w:r>
            <w:r>
              <w:rPr>
                <w:rFonts w:hint="eastAsia" w:hAnsi="宋体"/>
                <w:bCs/>
                <w:color w:val="auto"/>
                <w:sz w:val="24"/>
                <w:szCs w:val="24"/>
              </w:rPr>
              <w:t>商铺及</w:t>
            </w:r>
            <w:r>
              <w:rPr>
                <w:rFonts w:hint="eastAsia" w:cs="Times New Roman"/>
                <w:bCs/>
                <w:color w:val="auto"/>
                <w:sz w:val="24"/>
                <w:szCs w:val="24"/>
                <w:lang w:eastAsia="zh-CN"/>
              </w:rPr>
              <w:t>配套公建设施用房</w:t>
            </w:r>
            <w:r>
              <w:rPr>
                <w:rFonts w:hint="eastAsia" w:hAnsi="宋体"/>
                <w:bCs/>
                <w:color w:val="auto"/>
                <w:sz w:val="24"/>
                <w:szCs w:val="24"/>
              </w:rPr>
              <w:t>垃圾</w:t>
            </w:r>
          </w:p>
          <w:p w14:paraId="5CA70F20">
            <w:pPr>
              <w:pStyle w:val="5"/>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eastAsia="zh-CN"/>
              </w:rPr>
              <w:t>类比同类项目，</w:t>
            </w:r>
            <w:r>
              <w:rPr>
                <w:rFonts w:hint="eastAsia" w:hAnsi="宋体"/>
                <w:bCs/>
                <w:color w:val="auto"/>
                <w:sz w:val="24"/>
                <w:szCs w:val="24"/>
              </w:rPr>
              <w:t>商铺及</w:t>
            </w:r>
            <w:r>
              <w:rPr>
                <w:rFonts w:hint="eastAsia" w:cs="Times New Roman"/>
                <w:bCs/>
                <w:color w:val="auto"/>
                <w:sz w:val="24"/>
                <w:szCs w:val="24"/>
                <w:lang w:eastAsia="zh-CN"/>
              </w:rPr>
              <w:t>配套公建设施用房</w:t>
            </w:r>
            <w:r>
              <w:rPr>
                <w:rFonts w:hint="eastAsia" w:hAnsi="宋体"/>
                <w:bCs/>
                <w:color w:val="auto"/>
                <w:sz w:val="24"/>
                <w:szCs w:val="24"/>
              </w:rPr>
              <w:t>垃圾</w:t>
            </w:r>
            <w:r>
              <w:rPr>
                <w:rFonts w:hint="default" w:ascii="Times New Roman" w:hAnsi="Times New Roman" w:eastAsia="宋体" w:cs="Times New Roman"/>
                <w:bCs/>
                <w:color w:val="auto"/>
                <w:sz w:val="24"/>
                <w:szCs w:val="24"/>
              </w:rPr>
              <w:t>产生量按0.1kg/d·m</w:t>
            </w:r>
            <w:r>
              <w:rPr>
                <w:rFonts w:hint="default" w:ascii="Times New Roman" w:hAnsi="Times New Roman" w:eastAsia="宋体" w:cs="Times New Roman"/>
                <w:bCs/>
                <w:color w:val="auto"/>
                <w:sz w:val="24"/>
                <w:szCs w:val="24"/>
                <w:vertAlign w:val="superscript"/>
              </w:rPr>
              <w:t>2</w:t>
            </w:r>
            <w:r>
              <w:rPr>
                <w:rFonts w:hint="default" w:ascii="Times New Roman" w:hAnsi="Times New Roman" w:eastAsia="宋体" w:cs="Times New Roman"/>
                <w:bCs/>
                <w:color w:val="auto"/>
                <w:sz w:val="24"/>
                <w:szCs w:val="24"/>
              </w:rPr>
              <w:t>估算</w:t>
            </w:r>
            <w:r>
              <w:rPr>
                <w:rFonts w:hint="eastAsia" w:ascii="Times New Roman" w:hAnsi="Times New Roman" w:eastAsia="宋体" w:cs="Times New Roman"/>
                <w:bCs/>
                <w:color w:val="auto"/>
                <w:sz w:val="24"/>
                <w:szCs w:val="24"/>
                <w:lang w:eastAsia="zh-CN"/>
              </w:rPr>
              <w:t>。</w:t>
            </w:r>
            <w:r>
              <w:rPr>
                <w:rFonts w:hint="default" w:ascii="Times New Roman" w:hAnsi="Times New Roman" w:eastAsia="宋体" w:cs="Times New Roman"/>
                <w:bCs/>
                <w:color w:val="auto"/>
                <w:sz w:val="24"/>
                <w:szCs w:val="24"/>
              </w:rPr>
              <w:t>项目商铺及</w:t>
            </w:r>
            <w:r>
              <w:rPr>
                <w:rFonts w:hint="eastAsia" w:cs="Times New Roman"/>
                <w:bCs/>
                <w:color w:val="auto"/>
                <w:sz w:val="24"/>
                <w:szCs w:val="24"/>
                <w:lang w:eastAsia="zh-CN"/>
              </w:rPr>
              <w:t>配套公建设施用房</w:t>
            </w:r>
            <w:r>
              <w:rPr>
                <w:rFonts w:hint="default" w:ascii="Times New Roman" w:hAnsi="Times New Roman" w:eastAsia="宋体" w:cs="Times New Roman"/>
                <w:bCs/>
                <w:color w:val="auto"/>
                <w:sz w:val="24"/>
                <w:szCs w:val="24"/>
                <w:lang w:eastAsia="zh-CN"/>
              </w:rPr>
              <w:t>的总</w:t>
            </w:r>
            <w:r>
              <w:rPr>
                <w:rFonts w:hint="default" w:ascii="Times New Roman" w:hAnsi="Times New Roman" w:eastAsia="宋体" w:cs="Times New Roman"/>
                <w:bCs/>
                <w:color w:val="auto"/>
                <w:sz w:val="24"/>
                <w:szCs w:val="24"/>
              </w:rPr>
              <w:t>建筑面积约</w:t>
            </w:r>
            <w:r>
              <w:rPr>
                <w:rFonts w:hint="eastAsia" w:cs="Times New Roman"/>
                <w:bCs/>
                <w:color w:val="auto"/>
                <w:sz w:val="24"/>
                <w:szCs w:val="24"/>
                <w:lang w:val="en-US" w:eastAsia="zh-CN"/>
              </w:rPr>
              <w:t>3342.2</w:t>
            </w:r>
            <w:r>
              <w:rPr>
                <w:rFonts w:hint="default" w:ascii="Times New Roman" w:hAnsi="Times New Roman" w:eastAsia="宋体" w:cs="Times New Roman"/>
                <w:bCs/>
                <w:color w:val="auto"/>
                <w:sz w:val="24"/>
                <w:szCs w:val="24"/>
              </w:rPr>
              <w:t>m</w:t>
            </w:r>
            <w:r>
              <w:rPr>
                <w:rFonts w:hint="default" w:ascii="Times New Roman" w:hAnsi="Times New Roman" w:eastAsia="宋体" w:cs="Times New Roman"/>
                <w:bCs/>
                <w:color w:val="auto"/>
                <w:sz w:val="24"/>
                <w:szCs w:val="24"/>
                <w:vertAlign w:val="superscript"/>
              </w:rPr>
              <w:t>2</w:t>
            </w:r>
            <w:r>
              <w:rPr>
                <w:rFonts w:hint="default" w:ascii="Times New Roman" w:hAnsi="Times New Roman" w:eastAsia="宋体" w:cs="Times New Roman"/>
                <w:bCs/>
                <w:color w:val="auto"/>
                <w:sz w:val="24"/>
                <w:szCs w:val="24"/>
              </w:rPr>
              <w:t>，</w:t>
            </w:r>
            <w:r>
              <w:rPr>
                <w:rFonts w:hint="eastAsia" w:hAnsi="宋体"/>
                <w:bCs/>
                <w:color w:val="auto"/>
                <w:sz w:val="24"/>
                <w:szCs w:val="24"/>
                <w:lang w:eastAsia="zh-CN"/>
              </w:rPr>
              <w:t>一年按</w:t>
            </w:r>
            <w:r>
              <w:rPr>
                <w:rFonts w:hint="eastAsia" w:hAnsi="宋体"/>
                <w:bCs/>
                <w:color w:val="auto"/>
                <w:sz w:val="24"/>
                <w:szCs w:val="24"/>
                <w:lang w:val="en-US" w:eastAsia="zh-CN"/>
              </w:rPr>
              <w:t>365天计，</w:t>
            </w:r>
            <w:r>
              <w:rPr>
                <w:rFonts w:hint="default" w:ascii="Times New Roman" w:hAnsi="Times New Roman" w:eastAsia="宋体" w:cs="Times New Roman"/>
                <w:bCs/>
                <w:color w:val="auto"/>
                <w:sz w:val="24"/>
                <w:szCs w:val="24"/>
              </w:rPr>
              <w:t>则商铺及</w:t>
            </w:r>
            <w:r>
              <w:rPr>
                <w:rFonts w:hint="eastAsia" w:cs="Times New Roman"/>
                <w:bCs/>
                <w:color w:val="auto"/>
                <w:sz w:val="24"/>
                <w:szCs w:val="24"/>
                <w:lang w:eastAsia="zh-CN"/>
              </w:rPr>
              <w:t>配套公建设施用房</w:t>
            </w:r>
            <w:r>
              <w:rPr>
                <w:rFonts w:hint="default" w:ascii="Times New Roman" w:hAnsi="Times New Roman" w:eastAsia="宋体" w:cs="Times New Roman"/>
                <w:bCs/>
                <w:color w:val="auto"/>
                <w:sz w:val="24"/>
                <w:szCs w:val="24"/>
              </w:rPr>
              <w:t>垃圾产生量为</w:t>
            </w:r>
            <w:r>
              <w:rPr>
                <w:rFonts w:hint="eastAsia" w:cs="Times New Roman"/>
                <w:bCs/>
                <w:color w:val="auto"/>
                <w:sz w:val="24"/>
                <w:szCs w:val="24"/>
                <w:lang w:val="en-US" w:eastAsia="zh-CN"/>
              </w:rPr>
              <w:t>0.3342</w:t>
            </w:r>
            <w:r>
              <w:rPr>
                <w:rFonts w:hint="eastAsia" w:hAnsi="宋体"/>
                <w:bCs/>
                <w:color w:val="auto"/>
                <w:sz w:val="24"/>
                <w:szCs w:val="24"/>
              </w:rPr>
              <w:t>t/d</w:t>
            </w:r>
            <w:r>
              <w:rPr>
                <w:rFonts w:hint="eastAsia" w:hAnsi="宋体"/>
                <w:bCs/>
                <w:color w:val="auto"/>
                <w:sz w:val="24"/>
                <w:szCs w:val="24"/>
                <w:lang w:eastAsia="zh-CN"/>
              </w:rPr>
              <w:t>（</w:t>
            </w:r>
            <w:r>
              <w:rPr>
                <w:rFonts w:hint="eastAsia" w:hAnsi="宋体"/>
                <w:bCs/>
                <w:color w:val="auto"/>
                <w:sz w:val="24"/>
                <w:szCs w:val="24"/>
                <w:lang w:val="en-US" w:eastAsia="zh-CN"/>
              </w:rPr>
              <w:t>121.983</w:t>
            </w:r>
            <w:r>
              <w:rPr>
                <w:rFonts w:hint="eastAsia" w:hAnsi="宋体"/>
                <w:bCs/>
                <w:color w:val="auto"/>
                <w:sz w:val="24"/>
                <w:szCs w:val="24"/>
              </w:rPr>
              <w:t>t/a</w:t>
            </w:r>
            <w:r>
              <w:rPr>
                <w:rFonts w:hint="eastAsia" w:hAnsi="宋体"/>
                <w:bCs/>
                <w:color w:val="auto"/>
                <w:sz w:val="24"/>
                <w:szCs w:val="24"/>
                <w:lang w:eastAsia="zh-CN"/>
              </w:rPr>
              <w:t>）</w:t>
            </w:r>
            <w:r>
              <w:rPr>
                <w:rFonts w:hint="default" w:ascii="Times New Roman" w:hAnsi="Times New Roman" w:eastAsia="宋体" w:cs="Times New Roman"/>
                <w:bCs/>
                <w:color w:val="auto"/>
                <w:sz w:val="24"/>
                <w:szCs w:val="24"/>
              </w:rPr>
              <w:t>。</w:t>
            </w:r>
          </w:p>
          <w:p w14:paraId="548D941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b/>
                <w:color w:val="auto"/>
                <w:sz w:val="21"/>
                <w:szCs w:val="21"/>
              </w:rPr>
            </w:pPr>
            <w:r>
              <w:rPr>
                <w:rFonts w:hAnsi="宋体"/>
                <w:b/>
                <w:color w:val="auto"/>
                <w:sz w:val="21"/>
                <w:szCs w:val="21"/>
              </w:rPr>
              <w:t>表</w:t>
            </w:r>
            <w:r>
              <w:rPr>
                <w:b/>
                <w:color w:val="auto"/>
                <w:sz w:val="21"/>
                <w:szCs w:val="21"/>
              </w:rPr>
              <w:t>5-</w:t>
            </w:r>
            <w:r>
              <w:rPr>
                <w:rFonts w:hint="eastAsia"/>
                <w:b/>
                <w:color w:val="auto"/>
                <w:sz w:val="21"/>
                <w:szCs w:val="21"/>
                <w:lang w:val="en-US" w:eastAsia="zh-CN"/>
              </w:rPr>
              <w:t>8</w:t>
            </w:r>
            <w:r>
              <w:rPr>
                <w:b/>
                <w:color w:val="auto"/>
                <w:sz w:val="21"/>
                <w:szCs w:val="21"/>
              </w:rPr>
              <w:t xml:space="preserve"> </w:t>
            </w:r>
            <w:r>
              <w:rPr>
                <w:rFonts w:hint="eastAsia"/>
                <w:b/>
                <w:color w:val="auto"/>
                <w:sz w:val="21"/>
                <w:szCs w:val="21"/>
                <w:lang w:val="en-US" w:eastAsia="zh-CN"/>
              </w:rPr>
              <w:t xml:space="preserve"> </w:t>
            </w:r>
            <w:r>
              <w:rPr>
                <w:rFonts w:hint="eastAsia"/>
                <w:b/>
                <w:color w:val="auto"/>
                <w:sz w:val="21"/>
                <w:szCs w:val="21"/>
                <w:lang w:eastAsia="zh-CN"/>
              </w:rPr>
              <w:t>运营期</w:t>
            </w:r>
            <w:r>
              <w:rPr>
                <w:rFonts w:hAnsi="宋体"/>
                <w:b/>
                <w:color w:val="auto"/>
                <w:sz w:val="21"/>
                <w:szCs w:val="21"/>
              </w:rPr>
              <w:t>固体废物产生情况一览表</w:t>
            </w:r>
          </w:p>
          <w:tbl>
            <w:tblPr>
              <w:tblStyle w:val="15"/>
              <w:tblW w:w="8504" w:type="dxa"/>
              <w:jc w:val="center"/>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49"/>
              <w:gridCol w:w="1420"/>
              <w:gridCol w:w="1413"/>
              <w:gridCol w:w="804"/>
              <w:gridCol w:w="1094"/>
              <w:gridCol w:w="1024"/>
            </w:tblGrid>
            <w:tr w14:paraId="5B9ABA8C">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49" w:type="dxa"/>
                  <w:vMerge w:val="restart"/>
                  <w:tcMar>
                    <w:left w:w="57" w:type="dxa"/>
                    <w:right w:w="57" w:type="dxa"/>
                  </w:tcMar>
                  <w:vAlign w:val="center"/>
                </w:tcPr>
                <w:p w14:paraId="21A07E80">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废物来源</w:t>
                  </w:r>
                </w:p>
              </w:tc>
              <w:tc>
                <w:tcPr>
                  <w:tcW w:w="1420" w:type="dxa"/>
                  <w:vMerge w:val="restart"/>
                  <w:tcMar>
                    <w:left w:w="57" w:type="dxa"/>
                    <w:right w:w="57" w:type="dxa"/>
                  </w:tcMar>
                  <w:vAlign w:val="center"/>
                </w:tcPr>
                <w:p w14:paraId="701776C6">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产生系数</w:t>
                  </w:r>
                </w:p>
              </w:tc>
              <w:tc>
                <w:tcPr>
                  <w:tcW w:w="1413" w:type="dxa"/>
                  <w:vMerge w:val="restart"/>
                  <w:tcMar>
                    <w:left w:w="57" w:type="dxa"/>
                    <w:right w:w="57" w:type="dxa"/>
                  </w:tcMar>
                  <w:vAlign w:val="center"/>
                </w:tcPr>
                <w:p w14:paraId="54EB9B1A">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数量</w:t>
                  </w:r>
                </w:p>
              </w:tc>
              <w:tc>
                <w:tcPr>
                  <w:tcW w:w="1898" w:type="dxa"/>
                  <w:gridSpan w:val="2"/>
                  <w:tcMar>
                    <w:left w:w="57" w:type="dxa"/>
                    <w:right w:w="57" w:type="dxa"/>
                  </w:tcMar>
                  <w:vAlign w:val="center"/>
                </w:tcPr>
                <w:p w14:paraId="3C314B0B">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产生量</w:t>
                  </w:r>
                </w:p>
              </w:tc>
              <w:tc>
                <w:tcPr>
                  <w:tcW w:w="1024" w:type="dxa"/>
                  <w:vMerge w:val="restart"/>
                  <w:tcMar>
                    <w:left w:w="57" w:type="dxa"/>
                    <w:right w:w="57" w:type="dxa"/>
                  </w:tcMar>
                  <w:vAlign w:val="center"/>
                </w:tcPr>
                <w:p w14:paraId="2983541C">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排放量</w:t>
                  </w:r>
                </w:p>
                <w:p w14:paraId="6B018116">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t/a</w:t>
                  </w:r>
                </w:p>
              </w:tc>
            </w:tr>
            <w:tr w14:paraId="6EB13492">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49" w:type="dxa"/>
                  <w:vMerge w:val="continue"/>
                  <w:tcMar>
                    <w:left w:w="57" w:type="dxa"/>
                    <w:right w:w="57" w:type="dxa"/>
                  </w:tcMar>
                  <w:vAlign w:val="center"/>
                </w:tcPr>
                <w:p w14:paraId="7F8FD744">
                  <w:pPr>
                    <w:jc w:val="center"/>
                    <w:rPr>
                      <w:rFonts w:hint="default" w:ascii="Times New Roman" w:hAnsi="Times New Roman" w:eastAsia="宋体" w:cs="Times New Roman"/>
                      <w:color w:val="auto"/>
                      <w:sz w:val="21"/>
                      <w:szCs w:val="21"/>
                    </w:rPr>
                  </w:pPr>
                </w:p>
              </w:tc>
              <w:tc>
                <w:tcPr>
                  <w:tcW w:w="1420" w:type="dxa"/>
                  <w:vMerge w:val="continue"/>
                  <w:tcMar>
                    <w:left w:w="57" w:type="dxa"/>
                    <w:right w:w="57" w:type="dxa"/>
                  </w:tcMar>
                  <w:vAlign w:val="center"/>
                </w:tcPr>
                <w:p w14:paraId="284DF2D5">
                  <w:pPr>
                    <w:jc w:val="center"/>
                    <w:rPr>
                      <w:rFonts w:hint="default" w:ascii="Times New Roman" w:hAnsi="Times New Roman" w:eastAsia="宋体" w:cs="Times New Roman"/>
                      <w:color w:val="auto"/>
                      <w:sz w:val="21"/>
                      <w:szCs w:val="21"/>
                    </w:rPr>
                  </w:pPr>
                </w:p>
              </w:tc>
              <w:tc>
                <w:tcPr>
                  <w:tcW w:w="1413" w:type="dxa"/>
                  <w:vMerge w:val="continue"/>
                  <w:tcMar>
                    <w:left w:w="57" w:type="dxa"/>
                    <w:right w:w="57" w:type="dxa"/>
                  </w:tcMar>
                  <w:vAlign w:val="center"/>
                </w:tcPr>
                <w:p w14:paraId="438C15E1">
                  <w:pPr>
                    <w:jc w:val="center"/>
                    <w:rPr>
                      <w:rFonts w:hint="default" w:ascii="Times New Roman" w:hAnsi="Times New Roman" w:eastAsia="宋体" w:cs="Times New Roman"/>
                      <w:color w:val="auto"/>
                      <w:sz w:val="21"/>
                      <w:szCs w:val="21"/>
                    </w:rPr>
                  </w:pPr>
                </w:p>
              </w:tc>
              <w:tc>
                <w:tcPr>
                  <w:tcW w:w="804" w:type="dxa"/>
                  <w:tcMar>
                    <w:left w:w="57" w:type="dxa"/>
                    <w:right w:w="57" w:type="dxa"/>
                  </w:tcMar>
                  <w:vAlign w:val="center"/>
                </w:tcPr>
                <w:p w14:paraId="77B66764">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t/d</w:t>
                  </w:r>
                </w:p>
              </w:tc>
              <w:tc>
                <w:tcPr>
                  <w:tcW w:w="1094" w:type="dxa"/>
                  <w:tcMar>
                    <w:left w:w="57" w:type="dxa"/>
                    <w:right w:w="57" w:type="dxa"/>
                  </w:tcMar>
                  <w:vAlign w:val="center"/>
                </w:tcPr>
                <w:p w14:paraId="1FB64FD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t/a</w:t>
                  </w:r>
                </w:p>
              </w:tc>
              <w:tc>
                <w:tcPr>
                  <w:tcW w:w="1024" w:type="dxa"/>
                  <w:vMerge w:val="continue"/>
                  <w:tcMar>
                    <w:left w:w="57" w:type="dxa"/>
                    <w:right w:w="57" w:type="dxa"/>
                  </w:tcMar>
                  <w:vAlign w:val="center"/>
                </w:tcPr>
                <w:p w14:paraId="6847D4FC">
                  <w:pPr>
                    <w:jc w:val="center"/>
                    <w:rPr>
                      <w:rFonts w:hint="default" w:ascii="Times New Roman" w:hAnsi="Times New Roman" w:eastAsia="宋体" w:cs="Times New Roman"/>
                      <w:color w:val="auto"/>
                      <w:sz w:val="21"/>
                      <w:szCs w:val="21"/>
                    </w:rPr>
                  </w:pPr>
                </w:p>
              </w:tc>
            </w:tr>
            <w:tr w14:paraId="73E00FF1">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49" w:type="dxa"/>
                  <w:tcMar>
                    <w:left w:w="57" w:type="dxa"/>
                    <w:right w:w="57" w:type="dxa"/>
                  </w:tcMar>
                  <w:vAlign w:val="center"/>
                </w:tcPr>
                <w:p w14:paraId="2BEA28A5">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住宅居民生活垃圾</w:t>
                  </w:r>
                </w:p>
              </w:tc>
              <w:tc>
                <w:tcPr>
                  <w:tcW w:w="1420" w:type="dxa"/>
                  <w:tcMar>
                    <w:left w:w="57" w:type="dxa"/>
                    <w:right w:w="57" w:type="dxa"/>
                  </w:tcMar>
                  <w:vAlign w:val="center"/>
                </w:tcPr>
                <w:p w14:paraId="3ECAC4A3">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0.5kg/d·人</w:t>
                  </w:r>
                </w:p>
              </w:tc>
              <w:tc>
                <w:tcPr>
                  <w:tcW w:w="1413" w:type="dxa"/>
                  <w:tcMar>
                    <w:left w:w="57" w:type="dxa"/>
                    <w:right w:w="57" w:type="dxa"/>
                  </w:tcMar>
                  <w:vAlign w:val="center"/>
                </w:tcPr>
                <w:p w14:paraId="6F700933">
                  <w:pPr>
                    <w:jc w:val="center"/>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2112</w:t>
                  </w:r>
                  <w:r>
                    <w:rPr>
                      <w:rFonts w:hint="default" w:ascii="Times New Roman" w:hAnsi="Times New Roman" w:eastAsia="宋体" w:cs="Times New Roman"/>
                      <w:color w:val="auto"/>
                      <w:sz w:val="21"/>
                      <w:szCs w:val="21"/>
                    </w:rPr>
                    <w:t>人</w:t>
                  </w:r>
                </w:p>
              </w:tc>
              <w:tc>
                <w:tcPr>
                  <w:tcW w:w="804" w:type="dxa"/>
                  <w:tcMar>
                    <w:left w:w="57" w:type="dxa"/>
                    <w:right w:w="57" w:type="dxa"/>
                  </w:tcMar>
                  <w:vAlign w:val="center"/>
                </w:tcPr>
                <w:p w14:paraId="391D8D49">
                  <w:pPr>
                    <w:jc w:val="center"/>
                    <w:rPr>
                      <w:rFonts w:hint="eastAsia" w:ascii="Times New Roman" w:hAnsi="Times New Roman" w:eastAsia="宋体" w:cs="Times New Roman"/>
                      <w:color w:val="auto"/>
                      <w:sz w:val="21"/>
                      <w:szCs w:val="21"/>
                      <w:lang w:val="en-US" w:eastAsia="zh-CN"/>
                    </w:rPr>
                  </w:pPr>
                  <w:r>
                    <w:rPr>
                      <w:rFonts w:hint="eastAsia" w:hAnsi="宋体"/>
                      <w:bCs/>
                      <w:color w:val="auto"/>
                      <w:sz w:val="21"/>
                      <w:szCs w:val="21"/>
                      <w:lang w:val="en-US" w:eastAsia="zh-CN"/>
                    </w:rPr>
                    <w:t>1.056</w:t>
                  </w:r>
                </w:p>
              </w:tc>
              <w:tc>
                <w:tcPr>
                  <w:tcW w:w="1094" w:type="dxa"/>
                  <w:tcMar>
                    <w:left w:w="57" w:type="dxa"/>
                    <w:right w:w="57" w:type="dxa"/>
                  </w:tcMar>
                  <w:vAlign w:val="center"/>
                </w:tcPr>
                <w:p w14:paraId="690E81BD">
                  <w:pPr>
                    <w:jc w:val="center"/>
                    <w:rPr>
                      <w:rFonts w:hint="eastAsia" w:ascii="Times New Roman" w:hAnsi="Times New Roman" w:eastAsia="宋体" w:cs="Times New Roman"/>
                      <w:color w:val="auto"/>
                      <w:sz w:val="21"/>
                      <w:szCs w:val="21"/>
                      <w:lang w:val="en-US" w:eastAsia="zh-CN"/>
                    </w:rPr>
                  </w:pPr>
                  <w:r>
                    <w:rPr>
                      <w:rFonts w:hint="eastAsia" w:hAnsi="宋体"/>
                      <w:bCs/>
                      <w:color w:val="auto"/>
                      <w:sz w:val="21"/>
                      <w:szCs w:val="21"/>
                      <w:lang w:val="en-US" w:eastAsia="zh-CN"/>
                    </w:rPr>
                    <w:t>385.44</w:t>
                  </w:r>
                </w:p>
              </w:tc>
              <w:tc>
                <w:tcPr>
                  <w:tcW w:w="1024" w:type="dxa"/>
                  <w:tcMar>
                    <w:left w:w="57" w:type="dxa"/>
                    <w:right w:w="57" w:type="dxa"/>
                  </w:tcMar>
                  <w:vAlign w:val="center"/>
                </w:tcPr>
                <w:p w14:paraId="773D1E1C">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w:t>
                  </w:r>
                </w:p>
              </w:tc>
            </w:tr>
            <w:tr w14:paraId="202031EF">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49" w:type="dxa"/>
                  <w:tcMar>
                    <w:left w:w="57" w:type="dxa"/>
                    <w:right w:w="57" w:type="dxa"/>
                  </w:tcMar>
                  <w:vAlign w:val="center"/>
                </w:tcPr>
                <w:p w14:paraId="1154F680">
                  <w:pPr>
                    <w:jc w:val="center"/>
                    <w:rPr>
                      <w:rFonts w:hint="eastAsia" w:cs="Times New Roman"/>
                      <w:bCs/>
                      <w:color w:val="auto"/>
                      <w:sz w:val="21"/>
                      <w:szCs w:val="21"/>
                      <w:lang w:eastAsia="zh-CN"/>
                    </w:rPr>
                  </w:pPr>
                  <w:r>
                    <w:rPr>
                      <w:rFonts w:hint="default" w:ascii="Times New Roman" w:hAnsi="Times New Roman" w:eastAsia="宋体" w:cs="Times New Roman"/>
                      <w:color w:val="auto"/>
                      <w:sz w:val="21"/>
                      <w:szCs w:val="21"/>
                    </w:rPr>
                    <w:t>商铺及</w:t>
                  </w:r>
                  <w:r>
                    <w:rPr>
                      <w:rFonts w:hint="eastAsia" w:cs="Times New Roman"/>
                      <w:bCs/>
                      <w:color w:val="auto"/>
                      <w:sz w:val="21"/>
                      <w:szCs w:val="21"/>
                      <w:lang w:eastAsia="zh-CN"/>
                    </w:rPr>
                    <w:t>配套公建设施用房</w:t>
                  </w:r>
                </w:p>
                <w:p w14:paraId="34F617D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垃圾</w:t>
                  </w:r>
                </w:p>
              </w:tc>
              <w:tc>
                <w:tcPr>
                  <w:tcW w:w="1420" w:type="dxa"/>
                  <w:tcMar>
                    <w:left w:w="57" w:type="dxa"/>
                    <w:right w:w="57" w:type="dxa"/>
                  </w:tcMar>
                  <w:vAlign w:val="center"/>
                </w:tcPr>
                <w:p w14:paraId="631CC79A">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0.1kg/d·m</w:t>
                  </w:r>
                  <w:r>
                    <w:rPr>
                      <w:rFonts w:hint="default" w:ascii="Times New Roman" w:hAnsi="Times New Roman" w:eastAsia="宋体" w:cs="Times New Roman"/>
                      <w:color w:val="auto"/>
                      <w:sz w:val="21"/>
                      <w:szCs w:val="21"/>
                      <w:vertAlign w:val="superscript"/>
                    </w:rPr>
                    <w:t>2</w:t>
                  </w:r>
                </w:p>
              </w:tc>
              <w:tc>
                <w:tcPr>
                  <w:tcW w:w="1413" w:type="dxa"/>
                  <w:tcMar>
                    <w:left w:w="57" w:type="dxa"/>
                    <w:right w:w="57" w:type="dxa"/>
                  </w:tcMar>
                  <w:vAlign w:val="center"/>
                </w:tcPr>
                <w:p w14:paraId="3981B749">
                  <w:pPr>
                    <w:jc w:val="center"/>
                    <w:rPr>
                      <w:rFonts w:hint="default" w:ascii="Times New Roman" w:hAnsi="Times New Roman" w:eastAsia="宋体" w:cs="Times New Roman"/>
                      <w:color w:val="auto"/>
                      <w:sz w:val="21"/>
                      <w:szCs w:val="21"/>
                    </w:rPr>
                  </w:pPr>
                  <w:r>
                    <w:rPr>
                      <w:rFonts w:hint="eastAsia" w:cs="Times New Roman"/>
                      <w:bCs/>
                      <w:color w:val="auto"/>
                      <w:sz w:val="21"/>
                      <w:szCs w:val="21"/>
                      <w:lang w:val="en-US" w:eastAsia="zh-CN"/>
                    </w:rPr>
                    <w:t>2459.5</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p>
              </w:tc>
              <w:tc>
                <w:tcPr>
                  <w:tcW w:w="804" w:type="dxa"/>
                  <w:tcMar>
                    <w:left w:w="57" w:type="dxa"/>
                    <w:right w:w="57" w:type="dxa"/>
                  </w:tcMar>
                  <w:vAlign w:val="center"/>
                </w:tcPr>
                <w:p w14:paraId="4BA33BC4">
                  <w:pPr>
                    <w:jc w:val="center"/>
                    <w:rPr>
                      <w:rFonts w:hint="eastAsia" w:ascii="Times New Roman" w:hAnsi="Times New Roman" w:eastAsia="宋体" w:cs="Times New Roman"/>
                      <w:color w:val="auto"/>
                      <w:sz w:val="21"/>
                      <w:szCs w:val="21"/>
                      <w:lang w:val="en-US" w:eastAsia="zh-CN"/>
                    </w:rPr>
                  </w:pPr>
                  <w:r>
                    <w:rPr>
                      <w:rFonts w:hint="eastAsia" w:cs="Times New Roman"/>
                      <w:bCs/>
                      <w:color w:val="auto"/>
                      <w:sz w:val="21"/>
                      <w:szCs w:val="21"/>
                      <w:lang w:val="en-US" w:eastAsia="zh-CN"/>
                    </w:rPr>
                    <w:t>0.3342</w:t>
                  </w:r>
                </w:p>
              </w:tc>
              <w:tc>
                <w:tcPr>
                  <w:tcW w:w="1094" w:type="dxa"/>
                  <w:tcMar>
                    <w:left w:w="57" w:type="dxa"/>
                    <w:right w:w="57" w:type="dxa"/>
                  </w:tcMar>
                  <w:vAlign w:val="center"/>
                </w:tcPr>
                <w:p w14:paraId="72007FCD">
                  <w:pPr>
                    <w:jc w:val="center"/>
                    <w:rPr>
                      <w:rFonts w:hint="eastAsia" w:ascii="Times New Roman" w:hAnsi="Times New Roman" w:eastAsia="宋体" w:cs="Times New Roman"/>
                      <w:color w:val="auto"/>
                      <w:sz w:val="21"/>
                      <w:szCs w:val="21"/>
                      <w:lang w:val="en-US" w:eastAsia="zh-CN"/>
                    </w:rPr>
                  </w:pPr>
                  <w:r>
                    <w:rPr>
                      <w:rFonts w:hint="eastAsia" w:hAnsi="宋体"/>
                      <w:bCs/>
                      <w:color w:val="auto"/>
                      <w:sz w:val="21"/>
                      <w:szCs w:val="21"/>
                      <w:lang w:val="en-US" w:eastAsia="zh-CN"/>
                    </w:rPr>
                    <w:t>121.983</w:t>
                  </w:r>
                </w:p>
              </w:tc>
              <w:tc>
                <w:tcPr>
                  <w:tcW w:w="1024" w:type="dxa"/>
                  <w:tcMar>
                    <w:left w:w="57" w:type="dxa"/>
                    <w:right w:w="57" w:type="dxa"/>
                  </w:tcMar>
                  <w:vAlign w:val="center"/>
                </w:tcPr>
                <w:p w14:paraId="14283FFF">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w:t>
                  </w:r>
                </w:p>
              </w:tc>
            </w:tr>
            <w:tr w14:paraId="32579B8D">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49" w:type="dxa"/>
                  <w:tcMar>
                    <w:left w:w="57" w:type="dxa"/>
                    <w:right w:w="57" w:type="dxa"/>
                  </w:tcMar>
                  <w:vAlign w:val="center"/>
                </w:tcPr>
                <w:p w14:paraId="4D923210">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合计</w:t>
                  </w:r>
                </w:p>
              </w:tc>
              <w:tc>
                <w:tcPr>
                  <w:tcW w:w="1420" w:type="dxa"/>
                  <w:tcMar>
                    <w:left w:w="57" w:type="dxa"/>
                    <w:right w:w="57" w:type="dxa"/>
                  </w:tcMar>
                  <w:vAlign w:val="center"/>
                </w:tcPr>
                <w:p w14:paraId="0D2C764F">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w:t>
                  </w:r>
                </w:p>
              </w:tc>
              <w:tc>
                <w:tcPr>
                  <w:tcW w:w="1413" w:type="dxa"/>
                  <w:tcMar>
                    <w:left w:w="57" w:type="dxa"/>
                    <w:right w:w="57" w:type="dxa"/>
                  </w:tcMar>
                  <w:vAlign w:val="center"/>
                </w:tcPr>
                <w:p w14:paraId="51A35EF5">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w:t>
                  </w:r>
                </w:p>
              </w:tc>
              <w:tc>
                <w:tcPr>
                  <w:tcW w:w="804" w:type="dxa"/>
                  <w:tcMar>
                    <w:left w:w="57" w:type="dxa"/>
                    <w:right w:w="57" w:type="dxa"/>
                  </w:tcMar>
                  <w:vAlign w:val="center"/>
                </w:tcPr>
                <w:p w14:paraId="1B3B461A">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1.3902</w:t>
                  </w:r>
                </w:p>
              </w:tc>
              <w:tc>
                <w:tcPr>
                  <w:tcW w:w="1094" w:type="dxa"/>
                  <w:tcMar>
                    <w:left w:w="57" w:type="dxa"/>
                    <w:right w:w="57" w:type="dxa"/>
                  </w:tcMar>
                  <w:vAlign w:val="center"/>
                </w:tcPr>
                <w:p w14:paraId="26A45F28">
                  <w:pPr>
                    <w:jc w:val="center"/>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507.423</w:t>
                  </w:r>
                </w:p>
              </w:tc>
              <w:tc>
                <w:tcPr>
                  <w:tcW w:w="1024" w:type="dxa"/>
                  <w:tcMar>
                    <w:left w:w="57" w:type="dxa"/>
                    <w:right w:w="57" w:type="dxa"/>
                  </w:tcMar>
                  <w:vAlign w:val="center"/>
                </w:tcPr>
                <w:p w14:paraId="6B64DED6">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w:t>
                  </w:r>
                </w:p>
              </w:tc>
            </w:tr>
          </w:tbl>
          <w:p w14:paraId="39FB4B9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Times New Roman"/>
                <w:b/>
                <w:bCs/>
                <w:color w:val="auto"/>
                <w:sz w:val="24"/>
                <w:szCs w:val="24"/>
                <w:vertAlign w:val="baseline"/>
                <w:lang w:val="en-US" w:eastAsia="zh-CN"/>
              </w:rPr>
            </w:pPr>
          </w:p>
          <w:p w14:paraId="777032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Times New Roman"/>
                <w:b/>
                <w:bCs/>
                <w:color w:val="auto"/>
                <w:sz w:val="24"/>
                <w:szCs w:val="24"/>
                <w:vertAlign w:val="baseline"/>
                <w:lang w:val="en-US" w:eastAsia="zh-CN"/>
              </w:rPr>
            </w:pPr>
          </w:p>
          <w:p w14:paraId="0F3BBF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Times New Roman"/>
                <w:b/>
                <w:bCs/>
                <w:color w:val="auto"/>
                <w:sz w:val="24"/>
                <w:szCs w:val="24"/>
                <w:vertAlign w:val="baseline"/>
                <w:lang w:val="en-US" w:eastAsia="zh-CN"/>
              </w:rPr>
            </w:pPr>
          </w:p>
          <w:p w14:paraId="22FDF1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Times New Roman"/>
                <w:b/>
                <w:bCs/>
                <w:color w:val="auto"/>
                <w:sz w:val="24"/>
                <w:szCs w:val="24"/>
                <w:vertAlign w:val="baseline"/>
                <w:lang w:val="en-US" w:eastAsia="zh-CN"/>
              </w:rPr>
            </w:pPr>
          </w:p>
          <w:p w14:paraId="0BDEAB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Times New Roman"/>
                <w:b/>
                <w:bCs/>
                <w:color w:val="auto"/>
                <w:sz w:val="24"/>
                <w:szCs w:val="24"/>
                <w:vertAlign w:val="baseline"/>
                <w:lang w:val="en-US" w:eastAsia="zh-CN"/>
              </w:rPr>
            </w:pPr>
          </w:p>
          <w:p w14:paraId="3AF01E1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宋体" w:cs="Times New Roman"/>
                <w:b/>
                <w:bCs/>
                <w:color w:val="auto"/>
                <w:sz w:val="24"/>
                <w:szCs w:val="24"/>
                <w:vertAlign w:val="baseline"/>
                <w:lang w:val="en-US" w:eastAsia="zh-CN"/>
              </w:rPr>
            </w:pPr>
          </w:p>
        </w:tc>
      </w:tr>
    </w:tbl>
    <w:p w14:paraId="27EDCFAC">
      <w:pPr>
        <w:pStyle w:val="2"/>
        <w:rPr>
          <w:color w:val="auto"/>
        </w:rPr>
      </w:pPr>
      <w:bookmarkStart w:id="49" w:name="_Toc470801621"/>
      <w:bookmarkStart w:id="50" w:name="_Toc6805"/>
      <w:bookmarkStart w:id="51" w:name="_Toc23623"/>
      <w:bookmarkStart w:id="52" w:name="_Toc9018"/>
      <w:r>
        <w:rPr>
          <w:color w:val="auto"/>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363855</wp:posOffset>
                </wp:positionV>
                <wp:extent cx="497205" cy="290830"/>
                <wp:effectExtent l="0" t="0" r="0" b="0"/>
                <wp:wrapNone/>
                <wp:docPr id="5" name="文本框 5"/>
                <wp:cNvGraphicFramePr/>
                <a:graphic xmlns:a="http://schemas.openxmlformats.org/drawingml/2006/main">
                  <a:graphicData uri="http://schemas.microsoft.com/office/word/2010/wordprocessingShape">
                    <wps:wsp>
                      <wps:cNvSpPr txBox="1"/>
                      <wps:spPr>
                        <a:xfrm>
                          <a:off x="1174750" y="1369695"/>
                          <a:ext cx="497205" cy="2908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8A9E8B">
                            <w:pPr>
                              <w:rPr>
                                <w:rFonts w:hint="eastAsia" w:eastAsia="宋体"/>
                                <w:sz w:val="24"/>
                                <w:szCs w:val="24"/>
                                <w:lang w:val="en-US" w:eastAsia="zh-CN"/>
                              </w:rPr>
                            </w:pPr>
                            <w:r>
                              <w:rPr>
                                <w:rFonts w:hint="eastAsia"/>
                                <w:sz w:val="24"/>
                                <w:szCs w:val="24"/>
                                <w:lang w:val="en-US" w:eastAsia="zh-CN"/>
                              </w:rPr>
                              <w:t>内容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4pt;margin-top:28.65pt;height:22.9pt;width:39.15pt;z-index:251662336;mso-width-relative:page;mso-height-relative:page;" filled="f" stroked="f" coordsize="21600,21600" o:gfxdata="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jwQQQ2gAAAAkBAAAPAAAAAAAAAAEA&#10;IAAAACIAAABkcnMvZG93bnJldi54bWxQSwECFAAUAAAACACHTuJA+2bfBUYCAABxBAAADgAAAAAA&#10;AAABACAAAAApAQAAZHJzL2Uyb0RvYy54bWxQSwUGAAAAAAYABgBZAQAA4QUAAAAA&#10;">
                <v:fill on="f" focussize="0,0"/>
                <v:stroke on="f" weight="0.5pt"/>
                <v:imagedata o:title=""/>
                <o:lock v:ext="edit" aspectratio="f"/>
                <v:textbox>
                  <w:txbxContent>
                    <w:p w14:paraId="3D8A9E8B">
                      <w:pPr>
                        <w:rPr>
                          <w:rFonts w:hint="eastAsia" w:eastAsia="宋体"/>
                          <w:sz w:val="24"/>
                          <w:szCs w:val="24"/>
                          <w:lang w:val="en-US" w:eastAsia="zh-CN"/>
                        </w:rPr>
                      </w:pPr>
                      <w:r>
                        <w:rPr>
                          <w:rFonts w:hint="eastAsia"/>
                          <w:sz w:val="24"/>
                          <w:szCs w:val="24"/>
                          <w:lang w:val="en-US" w:eastAsia="zh-CN"/>
                        </w:rPr>
                        <w:t>内容</w:t>
                      </w:r>
                    </w:p>
                  </w:txbxContent>
                </v:textbox>
              </v:shape>
            </w:pict>
          </mc:Fallback>
        </mc:AlternateContent>
      </w:r>
      <w:r>
        <w:rPr>
          <w:color w:val="auto"/>
        </w:rPr>
        <w:t>六、项目主要污染物产生及预计排放情况</w:t>
      </w:r>
      <w:bookmarkEnd w:id="49"/>
      <w:bookmarkEnd w:id="50"/>
      <w:bookmarkEnd w:id="51"/>
      <w:bookmarkEnd w:id="52"/>
    </w:p>
    <w:tbl>
      <w:tblPr>
        <w:tblStyle w:val="15"/>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93"/>
        <w:gridCol w:w="492"/>
        <w:gridCol w:w="1572"/>
        <w:gridCol w:w="1752"/>
        <w:gridCol w:w="1163"/>
        <w:gridCol w:w="157"/>
        <w:gridCol w:w="1127"/>
        <w:gridCol w:w="1104"/>
        <w:gridCol w:w="62"/>
        <w:gridCol w:w="107"/>
        <w:gridCol w:w="1042"/>
      </w:tblGrid>
      <w:tr w14:paraId="5851FE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5" w:type="dxa"/>
            <w:gridSpan w:val="2"/>
            <w:tcBorders>
              <w:right w:val="single" w:color="000000" w:sz="4" w:space="0"/>
              <w:tl2br w:val="nil"/>
              <w:tr2bl w:val="nil"/>
            </w:tcBorders>
            <w:vAlign w:val="center"/>
          </w:tcPr>
          <w:p w14:paraId="77D879A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color w:val="auto"/>
                <w:sz w:val="30"/>
              </w:rPr>
              <mc:AlternateContent>
                <mc:Choice Requires="wps">
                  <w:drawing>
                    <wp:anchor distT="0" distB="0" distL="114300" distR="114300" simplePos="0" relativeHeight="251663360" behindDoc="0" locked="0" layoutInCell="1" allowOverlap="1">
                      <wp:simplePos x="0" y="0"/>
                      <wp:positionH relativeFrom="column">
                        <wp:posOffset>-135890</wp:posOffset>
                      </wp:positionH>
                      <wp:positionV relativeFrom="paragraph">
                        <wp:posOffset>176530</wp:posOffset>
                      </wp:positionV>
                      <wp:extent cx="504190" cy="288290"/>
                      <wp:effectExtent l="0" t="0" r="0" b="0"/>
                      <wp:wrapNone/>
                      <wp:docPr id="6" name="文本框 6"/>
                      <wp:cNvGraphicFramePr/>
                      <a:graphic xmlns:a="http://schemas.openxmlformats.org/drawingml/2006/main">
                        <a:graphicData uri="http://schemas.microsoft.com/office/word/2010/wordprocessingShape">
                          <wps:wsp>
                            <wps:cNvSpPr txBox="1"/>
                            <wps:spPr>
                              <a:xfrm>
                                <a:off x="758190" y="1569085"/>
                                <a:ext cx="504190" cy="288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D577A8">
                                  <w:pPr>
                                    <w:rPr>
                                      <w:rFonts w:hint="eastAsia" w:eastAsia="宋体"/>
                                      <w:sz w:val="24"/>
                                      <w:szCs w:val="24"/>
                                      <w:lang w:eastAsia="zh-CN"/>
                                    </w:rPr>
                                  </w:pPr>
                                  <w:r>
                                    <w:rPr>
                                      <w:rFonts w:hint="eastAsia"/>
                                      <w:sz w:val="24"/>
                                      <w:szCs w:val="24"/>
                                      <w:lang w:eastAsia="zh-CN"/>
                                    </w:rPr>
                                    <w:t>类型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7pt;margin-top:13.9pt;height:22.7pt;width:39.7pt;z-index:251663360;mso-width-relative:page;mso-height-relative:page;" filled="f" stroked="f" coordsize="21600,21600" o:gfxdata="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W3S6jaAAAACAEAAA8AAAAAAAAAAQAgAAAA&#10;IgAAAGRycy9kb3ducmV2LnhtbFBLAQIUABQAAAAIAIdO4kAtcg35QgIAAHAEAAAOAAAAAAAAAAEA&#10;IAAAACkBAABkcnMvZTJvRG9jLnhtbFBLBQYAAAAABgAGAFkBAADdBQAAAAA=&#10;">
                      <v:fill on="f" focussize="0,0"/>
                      <v:stroke on="f" weight="0.5pt"/>
                      <v:imagedata o:title=""/>
                      <o:lock v:ext="edit" aspectratio="f"/>
                      <v:textbox>
                        <w:txbxContent>
                          <w:p w14:paraId="5DD577A8">
                            <w:pPr>
                              <w:rPr>
                                <w:rFonts w:hint="eastAsia" w:eastAsia="宋体"/>
                                <w:sz w:val="24"/>
                                <w:szCs w:val="24"/>
                                <w:lang w:eastAsia="zh-CN"/>
                              </w:rPr>
                            </w:pPr>
                            <w:r>
                              <w:rPr>
                                <w:rFonts w:hint="eastAsia"/>
                                <w:sz w:val="24"/>
                                <w:szCs w:val="24"/>
                                <w:lang w:eastAsia="zh-CN"/>
                              </w:rPr>
                              <w:t>类型</w:t>
                            </w:r>
                          </w:p>
                        </w:txbxContent>
                      </v:textbox>
                    </v:shape>
                  </w:pict>
                </mc:Fallback>
              </mc:AlternateContent>
            </w:r>
            <w:r>
              <w:rPr>
                <w:color w:val="auto"/>
                <w:sz w:val="30"/>
              </w:rPr>
              <mc:AlternateContent>
                <mc:Choice Requires="wps">
                  <w:drawing>
                    <wp:anchor distT="0" distB="0" distL="114300" distR="114300" simplePos="0" relativeHeight="251661312" behindDoc="0" locked="0" layoutInCell="1" allowOverlap="1">
                      <wp:simplePos x="0" y="0"/>
                      <wp:positionH relativeFrom="column">
                        <wp:posOffset>-29845</wp:posOffset>
                      </wp:positionH>
                      <wp:positionV relativeFrom="paragraph">
                        <wp:posOffset>8255</wp:posOffset>
                      </wp:positionV>
                      <wp:extent cx="571500" cy="381635"/>
                      <wp:effectExtent l="2540" t="3810" r="5080" b="10795"/>
                      <wp:wrapNone/>
                      <wp:docPr id="4" name="直接连接符 4"/>
                      <wp:cNvGraphicFramePr/>
                      <a:graphic xmlns:a="http://schemas.openxmlformats.org/drawingml/2006/main">
                        <a:graphicData uri="http://schemas.microsoft.com/office/word/2010/wordprocessingShape">
                          <wps:wsp>
                            <wps:cNvCnPr/>
                            <wps:spPr>
                              <a:xfrm>
                                <a:off x="894080" y="1306195"/>
                                <a:ext cx="571500" cy="3816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35pt;margin-top:0.65pt;height:30.05pt;width:45pt;z-index:251661312;mso-width-relative:page;mso-height-relative:page;" filled="f" stroked="t" coordsize="21600,21600" o:gfxdata="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abNKR1QAAAAYBAAAPAAAAAAAAAAEAIAAAACIAAABkcnMvZG93bnJldi54bWxQSwECFAAUAAAA&#10;CACHTuJAu6F73fEBAADAAwAADgAAAAAAAAABACAAAAAkAQAAZHJzL2Uyb0RvYy54bWxQSwUGAAAA&#10;AAYABgBZAQAAhwUAAAAA&#10;">
                      <v:fill on="f" focussize="0,0"/>
                      <v:stroke weight="0.5pt" color="#000000 [3200]" miterlimit="8" joinstyle="miter"/>
                      <v:imagedata o:title=""/>
                      <o:lock v:ext="edit" aspectratio="f"/>
                    </v:line>
                  </w:pict>
                </mc:Fallback>
              </mc:AlternateContent>
            </w:r>
          </w:p>
          <w:p w14:paraId="0876771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tcBorders>
              <w:left w:val="single" w:color="000000" w:sz="4" w:space="0"/>
              <w:tl2br w:val="nil"/>
              <w:tr2bl w:val="nil"/>
            </w:tcBorders>
            <w:vAlign w:val="center"/>
          </w:tcPr>
          <w:p w14:paraId="38F65BC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排放源</w:t>
            </w:r>
          </w:p>
        </w:tc>
        <w:tc>
          <w:tcPr>
            <w:tcW w:w="1752" w:type="dxa"/>
            <w:tcBorders>
              <w:tl2br w:val="nil"/>
              <w:tr2bl w:val="nil"/>
            </w:tcBorders>
            <w:vAlign w:val="center"/>
          </w:tcPr>
          <w:p w14:paraId="5A302C3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污染物名称</w:t>
            </w:r>
          </w:p>
        </w:tc>
        <w:tc>
          <w:tcPr>
            <w:tcW w:w="2447" w:type="dxa"/>
            <w:gridSpan w:val="3"/>
            <w:tcBorders>
              <w:tl2br w:val="nil"/>
              <w:tr2bl w:val="nil"/>
            </w:tcBorders>
            <w:vAlign w:val="center"/>
          </w:tcPr>
          <w:p w14:paraId="1A66A2D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处理前产生量</w:t>
            </w:r>
          </w:p>
          <w:p w14:paraId="1C7D2C8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(产生浓度)</w:t>
            </w:r>
          </w:p>
        </w:tc>
        <w:tc>
          <w:tcPr>
            <w:tcW w:w="2315" w:type="dxa"/>
            <w:gridSpan w:val="4"/>
            <w:tcBorders>
              <w:tl2br w:val="nil"/>
              <w:tr2bl w:val="nil"/>
            </w:tcBorders>
            <w:vAlign w:val="center"/>
          </w:tcPr>
          <w:p w14:paraId="7BA4230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处理后排放量</w:t>
            </w:r>
          </w:p>
          <w:p w14:paraId="0C3A9625">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(排放浓度)</w:t>
            </w:r>
          </w:p>
        </w:tc>
      </w:tr>
      <w:tr w14:paraId="415509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restart"/>
            <w:tcBorders>
              <w:tl2br w:val="nil"/>
              <w:tr2bl w:val="nil"/>
            </w:tcBorders>
            <w:vAlign w:val="center"/>
          </w:tcPr>
          <w:p w14:paraId="53A3597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大</w:t>
            </w:r>
          </w:p>
          <w:p w14:paraId="6027A31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气</w:t>
            </w:r>
          </w:p>
          <w:p w14:paraId="6633502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污</w:t>
            </w:r>
          </w:p>
          <w:p w14:paraId="462CFB7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染</w:t>
            </w:r>
          </w:p>
          <w:p w14:paraId="68E7FDB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物</w:t>
            </w:r>
          </w:p>
        </w:tc>
        <w:tc>
          <w:tcPr>
            <w:tcW w:w="492" w:type="dxa"/>
            <w:vMerge w:val="restart"/>
            <w:tcBorders>
              <w:right w:val="single" w:color="000000" w:sz="4" w:space="0"/>
              <w:tl2br w:val="nil"/>
              <w:tr2bl w:val="nil"/>
            </w:tcBorders>
            <w:vAlign w:val="center"/>
          </w:tcPr>
          <w:p w14:paraId="617EE3B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施工期</w:t>
            </w:r>
          </w:p>
        </w:tc>
        <w:tc>
          <w:tcPr>
            <w:tcW w:w="1572" w:type="dxa"/>
            <w:tcBorders>
              <w:left w:val="single" w:color="000000" w:sz="4" w:space="0"/>
              <w:tl2br w:val="nil"/>
              <w:tr2bl w:val="nil"/>
            </w:tcBorders>
            <w:vAlign w:val="center"/>
          </w:tcPr>
          <w:p w14:paraId="553109C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施</w:t>
            </w:r>
            <w:r>
              <w:rPr>
                <w:rFonts w:hint="eastAsia" w:ascii="Times New Roman" w:hAnsi="Times New Roman" w:eastAsia="宋体" w:cs="Times New Roman"/>
                <w:color w:val="auto"/>
                <w:sz w:val="24"/>
                <w:szCs w:val="24"/>
                <w:lang w:eastAsia="zh-CN"/>
              </w:rPr>
              <w:t>工废气</w:t>
            </w:r>
          </w:p>
        </w:tc>
        <w:tc>
          <w:tcPr>
            <w:tcW w:w="1752" w:type="dxa"/>
            <w:tcBorders>
              <w:tl2br w:val="nil"/>
              <w:tr2bl w:val="nil"/>
            </w:tcBorders>
            <w:vAlign w:val="center"/>
          </w:tcPr>
          <w:p w14:paraId="0A03593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扬尘及</w:t>
            </w:r>
            <w:r>
              <w:rPr>
                <w:rFonts w:hint="eastAsia" w:ascii="Times New Roman" w:hAnsi="Times New Roman" w:eastAsia="宋体" w:cs="Times New Roman"/>
                <w:color w:val="auto"/>
                <w:sz w:val="24"/>
                <w:szCs w:val="24"/>
                <w:lang w:eastAsia="zh-CN"/>
              </w:rPr>
              <w:t>烟尘</w:t>
            </w:r>
          </w:p>
        </w:tc>
        <w:tc>
          <w:tcPr>
            <w:tcW w:w="2447" w:type="dxa"/>
            <w:gridSpan w:val="3"/>
            <w:tcBorders>
              <w:tl2br w:val="nil"/>
              <w:tr2bl w:val="nil"/>
            </w:tcBorders>
            <w:vAlign w:val="center"/>
          </w:tcPr>
          <w:p w14:paraId="243AC6A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少量</w:t>
            </w:r>
          </w:p>
        </w:tc>
        <w:tc>
          <w:tcPr>
            <w:tcW w:w="2315" w:type="dxa"/>
            <w:gridSpan w:val="4"/>
            <w:tcBorders>
              <w:tl2br w:val="nil"/>
              <w:tr2bl w:val="nil"/>
            </w:tcBorders>
            <w:vAlign w:val="center"/>
          </w:tcPr>
          <w:p w14:paraId="29E6A75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少量</w:t>
            </w:r>
          </w:p>
        </w:tc>
      </w:tr>
      <w:tr w14:paraId="028C1F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03E8424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69E37CF4">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tcBorders>
              <w:tl2br w:val="nil"/>
              <w:tr2bl w:val="nil"/>
            </w:tcBorders>
            <w:vAlign w:val="center"/>
          </w:tcPr>
          <w:p w14:paraId="56C0934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机械废气</w:t>
            </w:r>
          </w:p>
        </w:tc>
        <w:tc>
          <w:tcPr>
            <w:tcW w:w="1752" w:type="dxa"/>
            <w:tcBorders>
              <w:tl2br w:val="nil"/>
              <w:tr2bl w:val="nil"/>
            </w:tcBorders>
            <w:vAlign w:val="center"/>
          </w:tcPr>
          <w:p w14:paraId="5A071DD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ascii="Times New Roman" w:hAnsi="Times New Roman" w:cs="Times New Roman"/>
                <w:color w:val="auto"/>
                <w:sz w:val="24"/>
                <w:szCs w:val="24"/>
                <w:lang w:val="zh-CN"/>
              </w:rPr>
              <w:t>SO</w:t>
            </w:r>
            <w:r>
              <w:rPr>
                <w:rFonts w:ascii="Times New Roman" w:hAnsi="Times New Roman" w:cs="Times New Roman"/>
                <w:color w:val="auto"/>
                <w:sz w:val="24"/>
                <w:szCs w:val="24"/>
                <w:vertAlign w:val="subscript"/>
                <w:lang w:val="zh-CN"/>
              </w:rPr>
              <w:t>2</w:t>
            </w:r>
            <w:r>
              <w:rPr>
                <w:rFonts w:ascii="Times New Roman" w:hAnsi="Times New Roman" w:cs="Times New Roman"/>
                <w:color w:val="auto"/>
                <w:sz w:val="24"/>
                <w:szCs w:val="24"/>
                <w:lang w:val="zh-CN"/>
              </w:rPr>
              <w:t>、HC、NO</w:t>
            </w:r>
          </w:p>
        </w:tc>
        <w:tc>
          <w:tcPr>
            <w:tcW w:w="2447" w:type="dxa"/>
            <w:gridSpan w:val="3"/>
            <w:tcBorders>
              <w:tl2br w:val="nil"/>
              <w:tr2bl w:val="nil"/>
            </w:tcBorders>
            <w:vAlign w:val="center"/>
          </w:tcPr>
          <w:p w14:paraId="2DD9C6D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少量</w:t>
            </w:r>
          </w:p>
        </w:tc>
        <w:tc>
          <w:tcPr>
            <w:tcW w:w="2315" w:type="dxa"/>
            <w:gridSpan w:val="4"/>
            <w:tcBorders>
              <w:tl2br w:val="nil"/>
              <w:tr2bl w:val="nil"/>
            </w:tcBorders>
            <w:vAlign w:val="center"/>
          </w:tcPr>
          <w:p w14:paraId="570F4FA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少量</w:t>
            </w:r>
          </w:p>
        </w:tc>
      </w:tr>
      <w:tr w14:paraId="5F60CF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2DCD035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737EBF0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tcBorders>
              <w:tl2br w:val="nil"/>
              <w:tr2bl w:val="nil"/>
            </w:tcBorders>
            <w:vAlign w:val="center"/>
          </w:tcPr>
          <w:p w14:paraId="5DE5989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装修废气</w:t>
            </w:r>
          </w:p>
        </w:tc>
        <w:tc>
          <w:tcPr>
            <w:tcW w:w="1752" w:type="dxa"/>
            <w:tcBorders>
              <w:tl2br w:val="nil"/>
              <w:tr2bl w:val="nil"/>
            </w:tcBorders>
            <w:vAlign w:val="center"/>
          </w:tcPr>
          <w:p w14:paraId="75CAD59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甲苯</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二甲苯</w:t>
            </w:r>
            <w:r>
              <w:rPr>
                <w:rFonts w:hint="eastAsia" w:ascii="Times New Roman" w:hAnsi="Times New Roman" w:eastAsia="宋体" w:cs="Times New Roman"/>
                <w:color w:val="auto"/>
                <w:sz w:val="24"/>
                <w:szCs w:val="24"/>
                <w:lang w:eastAsia="zh-CN"/>
              </w:rPr>
              <w:t>、甲醛</w:t>
            </w:r>
          </w:p>
        </w:tc>
        <w:tc>
          <w:tcPr>
            <w:tcW w:w="2447" w:type="dxa"/>
            <w:gridSpan w:val="3"/>
            <w:tcBorders>
              <w:tl2br w:val="nil"/>
              <w:tr2bl w:val="nil"/>
            </w:tcBorders>
            <w:vAlign w:val="center"/>
          </w:tcPr>
          <w:p w14:paraId="410B6B95">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少量</w:t>
            </w:r>
          </w:p>
        </w:tc>
        <w:tc>
          <w:tcPr>
            <w:tcW w:w="2315" w:type="dxa"/>
            <w:gridSpan w:val="4"/>
            <w:tcBorders>
              <w:tl2br w:val="nil"/>
              <w:tr2bl w:val="nil"/>
            </w:tcBorders>
            <w:vAlign w:val="center"/>
          </w:tcPr>
          <w:p w14:paraId="5D1648F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少量</w:t>
            </w:r>
          </w:p>
        </w:tc>
      </w:tr>
      <w:tr w14:paraId="7B2541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53769E34">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restart"/>
            <w:tcBorders>
              <w:tl2br w:val="nil"/>
              <w:tr2bl w:val="nil"/>
            </w:tcBorders>
            <w:vAlign w:val="center"/>
          </w:tcPr>
          <w:p w14:paraId="7107C3F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营</w:t>
            </w:r>
          </w:p>
          <w:p w14:paraId="008373C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运</w:t>
            </w:r>
          </w:p>
          <w:p w14:paraId="6CAD029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期</w:t>
            </w:r>
          </w:p>
        </w:tc>
        <w:tc>
          <w:tcPr>
            <w:tcW w:w="1572" w:type="dxa"/>
            <w:vMerge w:val="restart"/>
            <w:tcBorders>
              <w:tl2br w:val="nil"/>
              <w:tr2bl w:val="nil"/>
            </w:tcBorders>
            <w:vAlign w:val="center"/>
          </w:tcPr>
          <w:p w14:paraId="4C5FD14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居民厨房</w:t>
            </w:r>
          </w:p>
        </w:tc>
        <w:tc>
          <w:tcPr>
            <w:tcW w:w="1752" w:type="dxa"/>
            <w:tcBorders>
              <w:tl2br w:val="nil"/>
              <w:tr2bl w:val="nil"/>
            </w:tcBorders>
            <w:vAlign w:val="center"/>
          </w:tcPr>
          <w:p w14:paraId="1E3F074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天然气燃烧</w:t>
            </w:r>
          </w:p>
          <w:p w14:paraId="1D4A32B5">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废气</w:t>
            </w:r>
          </w:p>
        </w:tc>
        <w:tc>
          <w:tcPr>
            <w:tcW w:w="2447" w:type="dxa"/>
            <w:gridSpan w:val="3"/>
            <w:tcBorders>
              <w:tl2br w:val="nil"/>
              <w:tr2bl w:val="nil"/>
            </w:tcBorders>
            <w:vAlign w:val="center"/>
          </w:tcPr>
          <w:p w14:paraId="0763BEA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cs="Times New Roman"/>
                <w:color w:val="auto"/>
                <w:sz w:val="24"/>
                <w:szCs w:val="24"/>
                <w:lang w:eastAsia="zh-CN"/>
              </w:rPr>
              <w:t>少量</w:t>
            </w:r>
          </w:p>
        </w:tc>
        <w:tc>
          <w:tcPr>
            <w:tcW w:w="2315" w:type="dxa"/>
            <w:gridSpan w:val="4"/>
            <w:tcBorders>
              <w:tl2br w:val="nil"/>
              <w:tr2bl w:val="nil"/>
            </w:tcBorders>
            <w:vAlign w:val="center"/>
          </w:tcPr>
          <w:p w14:paraId="53F1A57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cs="Times New Roman"/>
                <w:color w:val="auto"/>
                <w:sz w:val="24"/>
                <w:szCs w:val="24"/>
                <w:lang w:eastAsia="zh-CN"/>
              </w:rPr>
              <w:t>少量</w:t>
            </w:r>
          </w:p>
        </w:tc>
      </w:tr>
      <w:tr w14:paraId="0936DE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6A6B7065">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30E790D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3666FAE2">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62A7674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油烟</w:t>
            </w:r>
          </w:p>
        </w:tc>
        <w:tc>
          <w:tcPr>
            <w:tcW w:w="2447" w:type="dxa"/>
            <w:gridSpan w:val="3"/>
            <w:tcBorders>
              <w:tl2br w:val="nil"/>
              <w:tr2bl w:val="nil"/>
            </w:tcBorders>
            <w:vAlign w:val="center"/>
          </w:tcPr>
          <w:p w14:paraId="3A36DF15">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2.39t/a</w:t>
            </w:r>
          </w:p>
        </w:tc>
        <w:tc>
          <w:tcPr>
            <w:tcW w:w="2315" w:type="dxa"/>
            <w:gridSpan w:val="4"/>
            <w:tcBorders>
              <w:tl2br w:val="nil"/>
              <w:tr2bl w:val="nil"/>
            </w:tcBorders>
            <w:vAlign w:val="center"/>
          </w:tcPr>
          <w:p w14:paraId="293B6B5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0.478t/a</w:t>
            </w:r>
          </w:p>
        </w:tc>
      </w:tr>
      <w:tr w14:paraId="00E5BA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34771C8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0340887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restart"/>
            <w:tcBorders>
              <w:tl2br w:val="nil"/>
              <w:tr2bl w:val="nil"/>
            </w:tcBorders>
            <w:vAlign w:val="center"/>
          </w:tcPr>
          <w:p w14:paraId="329B0CB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地下车库</w:t>
            </w:r>
          </w:p>
        </w:tc>
        <w:tc>
          <w:tcPr>
            <w:tcW w:w="1752" w:type="dxa"/>
            <w:tcBorders>
              <w:tl2br w:val="nil"/>
              <w:tr2bl w:val="nil"/>
            </w:tcBorders>
            <w:vAlign w:val="center"/>
          </w:tcPr>
          <w:p w14:paraId="510BE1E2">
            <w:pPr>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CO</w:t>
            </w:r>
          </w:p>
        </w:tc>
        <w:tc>
          <w:tcPr>
            <w:tcW w:w="2447" w:type="dxa"/>
            <w:gridSpan w:val="3"/>
            <w:tcBorders>
              <w:tl2br w:val="nil"/>
              <w:tr2bl w:val="nil"/>
            </w:tcBorders>
            <w:vAlign w:val="center"/>
          </w:tcPr>
          <w:p w14:paraId="4A8D4B6E">
            <w:pPr>
              <w:jc w:val="center"/>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1.29kg/h</w:t>
            </w:r>
          </w:p>
        </w:tc>
        <w:tc>
          <w:tcPr>
            <w:tcW w:w="2315" w:type="dxa"/>
            <w:gridSpan w:val="4"/>
            <w:tcBorders>
              <w:tl2br w:val="nil"/>
              <w:tr2bl w:val="nil"/>
            </w:tcBorders>
            <w:vAlign w:val="center"/>
          </w:tcPr>
          <w:p w14:paraId="31CD5567">
            <w:pPr>
              <w:jc w:val="center"/>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1.29kg/h</w:t>
            </w:r>
          </w:p>
        </w:tc>
      </w:tr>
      <w:tr w14:paraId="39A270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721AE259">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128B46AB">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1C445599">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774455A2">
            <w:pPr>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非甲烷总烃</w:t>
            </w:r>
          </w:p>
        </w:tc>
        <w:tc>
          <w:tcPr>
            <w:tcW w:w="2447" w:type="dxa"/>
            <w:gridSpan w:val="3"/>
            <w:tcBorders>
              <w:tl2br w:val="nil"/>
              <w:tr2bl w:val="nil"/>
            </w:tcBorders>
            <w:vAlign w:val="center"/>
          </w:tcPr>
          <w:p w14:paraId="6760D91E">
            <w:pPr>
              <w:jc w:val="center"/>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0.30kg/h</w:t>
            </w:r>
          </w:p>
        </w:tc>
        <w:tc>
          <w:tcPr>
            <w:tcW w:w="2315" w:type="dxa"/>
            <w:gridSpan w:val="4"/>
            <w:tcBorders>
              <w:tl2br w:val="nil"/>
              <w:tr2bl w:val="nil"/>
            </w:tcBorders>
            <w:vAlign w:val="center"/>
          </w:tcPr>
          <w:p w14:paraId="392D28CC">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0.30kg/h</w:t>
            </w:r>
          </w:p>
        </w:tc>
      </w:tr>
      <w:tr w14:paraId="7C0608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49CA5DC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7D608FC7">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6C267134">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7A1DE223">
            <w:pPr>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NO</w:t>
            </w:r>
            <w:r>
              <w:rPr>
                <w:rFonts w:hint="default" w:ascii="Times New Roman" w:hAnsi="Times New Roman" w:eastAsia="宋体" w:cs="Times New Roman"/>
                <w:color w:val="auto"/>
                <w:sz w:val="24"/>
                <w:szCs w:val="24"/>
                <w:vertAlign w:val="subscript"/>
              </w:rPr>
              <w:t>2</w:t>
            </w:r>
          </w:p>
        </w:tc>
        <w:tc>
          <w:tcPr>
            <w:tcW w:w="2447" w:type="dxa"/>
            <w:gridSpan w:val="3"/>
            <w:tcBorders>
              <w:tl2br w:val="nil"/>
              <w:tr2bl w:val="nil"/>
            </w:tcBorders>
            <w:vAlign w:val="center"/>
          </w:tcPr>
          <w:p w14:paraId="7170B9CA">
            <w:pPr>
              <w:jc w:val="center"/>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0.027kg/h</w:t>
            </w:r>
          </w:p>
        </w:tc>
        <w:tc>
          <w:tcPr>
            <w:tcW w:w="2315" w:type="dxa"/>
            <w:gridSpan w:val="4"/>
            <w:tcBorders>
              <w:tl2br w:val="nil"/>
              <w:tr2bl w:val="nil"/>
            </w:tcBorders>
            <w:vAlign w:val="center"/>
          </w:tcPr>
          <w:p w14:paraId="438A3E1C">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0.027kg/h</w:t>
            </w:r>
          </w:p>
        </w:tc>
      </w:tr>
      <w:tr w14:paraId="50A67C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61B9FCD7">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78FA845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tcBorders>
              <w:tl2br w:val="nil"/>
              <w:tr2bl w:val="nil"/>
            </w:tcBorders>
            <w:vAlign w:val="center"/>
          </w:tcPr>
          <w:p w14:paraId="0BC22BF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垃圾</w:t>
            </w:r>
          </w:p>
          <w:p w14:paraId="48529CD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收集点</w:t>
            </w:r>
          </w:p>
        </w:tc>
        <w:tc>
          <w:tcPr>
            <w:tcW w:w="1752" w:type="dxa"/>
            <w:tcBorders>
              <w:tl2br w:val="nil"/>
              <w:tr2bl w:val="nil"/>
            </w:tcBorders>
            <w:vAlign w:val="center"/>
          </w:tcPr>
          <w:p w14:paraId="1FE70CD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恶臭</w:t>
            </w:r>
          </w:p>
        </w:tc>
        <w:tc>
          <w:tcPr>
            <w:tcW w:w="2447" w:type="dxa"/>
            <w:gridSpan w:val="3"/>
            <w:tcBorders>
              <w:tl2br w:val="nil"/>
              <w:tr2bl w:val="nil"/>
            </w:tcBorders>
            <w:vAlign w:val="center"/>
          </w:tcPr>
          <w:p w14:paraId="0DF8032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cs="Times New Roman"/>
                <w:color w:val="auto"/>
                <w:sz w:val="24"/>
                <w:szCs w:val="24"/>
                <w:lang w:eastAsia="zh-CN"/>
              </w:rPr>
              <w:t>少量</w:t>
            </w:r>
          </w:p>
        </w:tc>
        <w:tc>
          <w:tcPr>
            <w:tcW w:w="2315" w:type="dxa"/>
            <w:gridSpan w:val="4"/>
            <w:tcBorders>
              <w:tl2br w:val="nil"/>
              <w:tr2bl w:val="nil"/>
            </w:tcBorders>
            <w:vAlign w:val="center"/>
          </w:tcPr>
          <w:p w14:paraId="1390104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cs="Times New Roman"/>
                <w:color w:val="auto"/>
                <w:sz w:val="24"/>
                <w:szCs w:val="24"/>
                <w:lang w:eastAsia="zh-CN"/>
              </w:rPr>
              <w:t>少量</w:t>
            </w:r>
          </w:p>
        </w:tc>
      </w:tr>
      <w:tr w14:paraId="350CEB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restart"/>
            <w:tcBorders>
              <w:tl2br w:val="nil"/>
              <w:tr2bl w:val="nil"/>
            </w:tcBorders>
            <w:vAlign w:val="center"/>
          </w:tcPr>
          <w:p w14:paraId="25328A25">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水</w:t>
            </w:r>
          </w:p>
          <w:p w14:paraId="25B7C3D4">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污</w:t>
            </w:r>
          </w:p>
          <w:p w14:paraId="34DB14E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染</w:t>
            </w:r>
          </w:p>
          <w:p w14:paraId="176C0CB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物</w:t>
            </w:r>
          </w:p>
        </w:tc>
        <w:tc>
          <w:tcPr>
            <w:tcW w:w="492" w:type="dxa"/>
            <w:vMerge w:val="restart"/>
            <w:tcBorders>
              <w:tl2br w:val="nil"/>
              <w:tr2bl w:val="nil"/>
            </w:tcBorders>
            <w:vAlign w:val="center"/>
          </w:tcPr>
          <w:p w14:paraId="0142701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施工期</w:t>
            </w:r>
          </w:p>
        </w:tc>
        <w:tc>
          <w:tcPr>
            <w:tcW w:w="1572" w:type="dxa"/>
            <w:vMerge w:val="restart"/>
            <w:tcBorders>
              <w:tl2br w:val="nil"/>
              <w:tr2bl w:val="nil"/>
            </w:tcBorders>
            <w:vAlign w:val="center"/>
          </w:tcPr>
          <w:p w14:paraId="6E8C95E5">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施工废水</w:t>
            </w:r>
          </w:p>
        </w:tc>
        <w:tc>
          <w:tcPr>
            <w:tcW w:w="1752" w:type="dxa"/>
            <w:tcBorders>
              <w:tl2br w:val="nil"/>
              <w:tr2bl w:val="nil"/>
            </w:tcBorders>
            <w:vAlign w:val="center"/>
          </w:tcPr>
          <w:p w14:paraId="16339C1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Ansi="宋体"/>
                <w:color w:val="auto"/>
                <w:sz w:val="24"/>
                <w:szCs w:val="24"/>
              </w:rPr>
              <w:t>水量</w:t>
            </w:r>
          </w:p>
        </w:tc>
        <w:tc>
          <w:tcPr>
            <w:tcW w:w="2447" w:type="dxa"/>
            <w:gridSpan w:val="3"/>
            <w:tcBorders>
              <w:tl2br w:val="nil"/>
              <w:tr2bl w:val="nil"/>
            </w:tcBorders>
            <w:vAlign w:val="center"/>
          </w:tcPr>
          <w:p w14:paraId="590779D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34m</w:t>
            </w:r>
            <w:r>
              <w:rPr>
                <w:rFonts w:hint="eastAsia" w:cs="Times New Roman"/>
                <w:color w:val="auto"/>
                <w:sz w:val="24"/>
                <w:szCs w:val="24"/>
                <w:vertAlign w:val="superscript"/>
                <w:lang w:val="en-US" w:eastAsia="zh-CN"/>
              </w:rPr>
              <w:t>3</w:t>
            </w:r>
            <w:r>
              <w:rPr>
                <w:rFonts w:hint="eastAsia" w:cs="Times New Roman"/>
                <w:color w:val="auto"/>
                <w:sz w:val="24"/>
                <w:szCs w:val="24"/>
                <w:lang w:val="en-US" w:eastAsia="zh-CN"/>
              </w:rPr>
              <w:t>/d</w:t>
            </w:r>
          </w:p>
        </w:tc>
        <w:tc>
          <w:tcPr>
            <w:tcW w:w="2315" w:type="dxa"/>
            <w:gridSpan w:val="4"/>
            <w:vMerge w:val="restart"/>
            <w:tcBorders>
              <w:tl2br w:val="nil"/>
              <w:tr2bl w:val="nil"/>
            </w:tcBorders>
            <w:vAlign w:val="center"/>
          </w:tcPr>
          <w:p w14:paraId="1E88EF4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回用不外排</w:t>
            </w:r>
          </w:p>
        </w:tc>
      </w:tr>
      <w:tr w14:paraId="1F35C3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172C742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4B42616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0BC8228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4B609D2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SS</w:t>
            </w:r>
          </w:p>
        </w:tc>
        <w:tc>
          <w:tcPr>
            <w:tcW w:w="2447" w:type="dxa"/>
            <w:gridSpan w:val="3"/>
            <w:tcBorders>
              <w:tl2br w:val="nil"/>
              <w:tr2bl w:val="nil"/>
            </w:tcBorders>
            <w:vAlign w:val="center"/>
          </w:tcPr>
          <w:p w14:paraId="15DB288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color w:val="auto"/>
                <w:sz w:val="24"/>
                <w:lang w:val="en-US" w:eastAsia="zh-CN"/>
              </w:rPr>
              <w:t>2000~4000</w:t>
            </w:r>
            <w:r>
              <w:rPr>
                <w:rFonts w:hint="eastAsia"/>
                <w:color w:val="auto"/>
                <w:sz w:val="24"/>
              </w:rPr>
              <w:t>mg/L</w:t>
            </w:r>
          </w:p>
        </w:tc>
        <w:tc>
          <w:tcPr>
            <w:tcW w:w="2315" w:type="dxa"/>
            <w:gridSpan w:val="4"/>
            <w:vMerge w:val="continue"/>
            <w:tcBorders>
              <w:tl2br w:val="nil"/>
              <w:tr2bl w:val="nil"/>
            </w:tcBorders>
            <w:vAlign w:val="center"/>
          </w:tcPr>
          <w:p w14:paraId="00D3CD2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r>
      <w:tr w14:paraId="4DC39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00BAA52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1F81E5C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restart"/>
            <w:tcBorders>
              <w:tl2br w:val="nil"/>
              <w:tr2bl w:val="nil"/>
            </w:tcBorders>
            <w:vAlign w:val="center"/>
          </w:tcPr>
          <w:p w14:paraId="6966AE0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施工</w:t>
            </w:r>
          </w:p>
          <w:p w14:paraId="3FB273E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生活污水</w:t>
            </w:r>
          </w:p>
        </w:tc>
        <w:tc>
          <w:tcPr>
            <w:tcW w:w="1752" w:type="dxa"/>
            <w:tcBorders>
              <w:tl2br w:val="nil"/>
              <w:tr2bl w:val="nil"/>
            </w:tcBorders>
            <w:vAlign w:val="center"/>
          </w:tcPr>
          <w:p w14:paraId="3F0A4C4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Ansi="宋体"/>
                <w:color w:val="auto"/>
                <w:sz w:val="24"/>
                <w:szCs w:val="24"/>
              </w:rPr>
              <w:t>水量</w:t>
            </w:r>
          </w:p>
        </w:tc>
        <w:tc>
          <w:tcPr>
            <w:tcW w:w="2447" w:type="dxa"/>
            <w:gridSpan w:val="3"/>
            <w:tcBorders>
              <w:tl2br w:val="nil"/>
              <w:tr2bl w:val="nil"/>
            </w:tcBorders>
            <w:vAlign w:val="center"/>
          </w:tcPr>
          <w:p w14:paraId="1B75A604">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10.2m</w:t>
            </w:r>
            <w:r>
              <w:rPr>
                <w:rFonts w:hint="eastAsia" w:cs="Times New Roman"/>
                <w:color w:val="auto"/>
                <w:sz w:val="24"/>
                <w:szCs w:val="24"/>
                <w:vertAlign w:val="superscript"/>
                <w:lang w:val="en-US" w:eastAsia="zh-CN"/>
              </w:rPr>
              <w:t>3</w:t>
            </w:r>
            <w:r>
              <w:rPr>
                <w:rFonts w:hint="eastAsia" w:cs="Times New Roman"/>
                <w:color w:val="auto"/>
                <w:sz w:val="24"/>
                <w:szCs w:val="24"/>
                <w:lang w:val="en-US" w:eastAsia="zh-CN"/>
              </w:rPr>
              <w:t>/d</w:t>
            </w:r>
          </w:p>
        </w:tc>
        <w:tc>
          <w:tcPr>
            <w:tcW w:w="2315" w:type="dxa"/>
            <w:gridSpan w:val="4"/>
            <w:tcBorders>
              <w:tl2br w:val="nil"/>
              <w:tr2bl w:val="nil"/>
            </w:tcBorders>
            <w:vAlign w:val="center"/>
          </w:tcPr>
          <w:p w14:paraId="00B54AD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10.2m</w:t>
            </w:r>
            <w:r>
              <w:rPr>
                <w:rFonts w:hint="eastAsia" w:cs="Times New Roman"/>
                <w:color w:val="auto"/>
                <w:sz w:val="24"/>
                <w:szCs w:val="24"/>
                <w:vertAlign w:val="superscript"/>
                <w:lang w:val="en-US" w:eastAsia="zh-CN"/>
              </w:rPr>
              <w:t>3</w:t>
            </w:r>
            <w:r>
              <w:rPr>
                <w:rFonts w:hint="eastAsia" w:cs="Times New Roman"/>
                <w:color w:val="auto"/>
                <w:sz w:val="24"/>
                <w:szCs w:val="24"/>
                <w:lang w:val="en-US" w:eastAsia="zh-CN"/>
              </w:rPr>
              <w:t>/d</w:t>
            </w:r>
          </w:p>
        </w:tc>
      </w:tr>
      <w:tr w14:paraId="2C44E8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5353D05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39DFD7F9">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03416F2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p>
        </w:tc>
        <w:tc>
          <w:tcPr>
            <w:tcW w:w="1752" w:type="dxa"/>
            <w:tcBorders>
              <w:tl2br w:val="nil"/>
              <w:tr2bl w:val="nil"/>
            </w:tcBorders>
            <w:vAlign w:val="center"/>
          </w:tcPr>
          <w:p w14:paraId="02829B2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COD</w:t>
            </w:r>
            <w:r>
              <w:rPr>
                <w:rFonts w:hint="default" w:ascii="Times New Roman" w:hAnsi="Times New Roman" w:cs="Times New Roman"/>
                <w:color w:val="auto"/>
                <w:sz w:val="21"/>
                <w:szCs w:val="21"/>
              </w:rPr>
              <w:t>cr</w:t>
            </w:r>
          </w:p>
        </w:tc>
        <w:tc>
          <w:tcPr>
            <w:tcW w:w="1163" w:type="dxa"/>
            <w:tcBorders>
              <w:tl2br w:val="nil"/>
              <w:tr2bl w:val="nil"/>
            </w:tcBorders>
            <w:vAlign w:val="center"/>
          </w:tcPr>
          <w:p w14:paraId="61F5988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350</w:t>
            </w:r>
            <w:r>
              <w:rPr>
                <w:rFonts w:hint="default" w:ascii="Times New Roman" w:hAnsi="Times New Roman" w:eastAsia="宋体" w:cs="Times New Roman"/>
                <w:color w:val="auto"/>
                <w:sz w:val="24"/>
                <w:szCs w:val="24"/>
              </w:rPr>
              <w:t>mg/L</w:t>
            </w:r>
          </w:p>
        </w:tc>
        <w:tc>
          <w:tcPr>
            <w:tcW w:w="1284" w:type="dxa"/>
            <w:gridSpan w:val="2"/>
            <w:tcBorders>
              <w:tl2br w:val="nil"/>
              <w:tr2bl w:val="nil"/>
            </w:tcBorders>
            <w:vAlign w:val="center"/>
          </w:tcPr>
          <w:p w14:paraId="28D187B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0.0036t/d</w:t>
            </w:r>
          </w:p>
        </w:tc>
        <w:tc>
          <w:tcPr>
            <w:tcW w:w="1104" w:type="dxa"/>
            <w:tcBorders>
              <w:tl2br w:val="nil"/>
              <w:tr2bl w:val="nil"/>
            </w:tcBorders>
            <w:vAlign w:val="center"/>
          </w:tcPr>
          <w:p w14:paraId="132A59B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350</w:t>
            </w:r>
            <w:r>
              <w:rPr>
                <w:rFonts w:hint="default" w:ascii="Times New Roman" w:hAnsi="Times New Roman" w:eastAsia="宋体" w:cs="Times New Roman"/>
                <w:color w:val="auto"/>
                <w:sz w:val="24"/>
                <w:szCs w:val="24"/>
              </w:rPr>
              <w:t>mg/L</w:t>
            </w:r>
          </w:p>
        </w:tc>
        <w:tc>
          <w:tcPr>
            <w:tcW w:w="1211" w:type="dxa"/>
            <w:gridSpan w:val="3"/>
            <w:tcBorders>
              <w:tl2br w:val="nil"/>
              <w:tr2bl w:val="nil"/>
            </w:tcBorders>
            <w:vAlign w:val="center"/>
          </w:tcPr>
          <w:p w14:paraId="3279577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cs="Times New Roman"/>
                <w:color w:val="auto"/>
                <w:sz w:val="24"/>
                <w:szCs w:val="24"/>
                <w:lang w:val="en-US" w:eastAsia="zh-CN"/>
              </w:rPr>
            </w:pPr>
            <w:r>
              <w:rPr>
                <w:rFonts w:hint="eastAsia" w:cs="Times New Roman"/>
                <w:color w:val="auto"/>
                <w:sz w:val="24"/>
                <w:szCs w:val="24"/>
                <w:lang w:val="en-US" w:eastAsia="zh-CN"/>
              </w:rPr>
              <w:t>0.0036t/d</w:t>
            </w:r>
          </w:p>
        </w:tc>
      </w:tr>
      <w:tr w14:paraId="1B80B4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03EF8B1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73C63212">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35FD6E8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p>
        </w:tc>
        <w:tc>
          <w:tcPr>
            <w:tcW w:w="1752" w:type="dxa"/>
            <w:tcBorders>
              <w:tl2br w:val="nil"/>
              <w:tr2bl w:val="nil"/>
            </w:tcBorders>
            <w:vAlign w:val="center"/>
          </w:tcPr>
          <w:p w14:paraId="4160E8D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BOD</w:t>
            </w:r>
            <w:r>
              <w:rPr>
                <w:rFonts w:hint="default" w:ascii="Times New Roman" w:hAnsi="Times New Roman" w:eastAsia="宋体" w:cs="Times New Roman"/>
                <w:color w:val="auto"/>
                <w:sz w:val="24"/>
                <w:szCs w:val="24"/>
                <w:vertAlign w:val="subscript"/>
              </w:rPr>
              <w:t>5</w:t>
            </w:r>
          </w:p>
        </w:tc>
        <w:tc>
          <w:tcPr>
            <w:tcW w:w="1163" w:type="dxa"/>
            <w:tcBorders>
              <w:tl2br w:val="nil"/>
              <w:tr2bl w:val="nil"/>
            </w:tcBorders>
            <w:vAlign w:val="center"/>
          </w:tcPr>
          <w:p w14:paraId="0326E51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180</w:t>
            </w:r>
            <w:r>
              <w:rPr>
                <w:rFonts w:hint="default" w:ascii="Times New Roman" w:hAnsi="Times New Roman" w:eastAsia="宋体" w:cs="Times New Roman"/>
                <w:color w:val="auto"/>
                <w:sz w:val="24"/>
                <w:szCs w:val="24"/>
              </w:rPr>
              <w:t>mg/L</w:t>
            </w:r>
          </w:p>
        </w:tc>
        <w:tc>
          <w:tcPr>
            <w:tcW w:w="1284" w:type="dxa"/>
            <w:gridSpan w:val="2"/>
            <w:tcBorders>
              <w:tl2br w:val="nil"/>
              <w:tr2bl w:val="nil"/>
            </w:tcBorders>
            <w:vAlign w:val="center"/>
          </w:tcPr>
          <w:p w14:paraId="568BD91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0.0018t/d</w:t>
            </w:r>
          </w:p>
        </w:tc>
        <w:tc>
          <w:tcPr>
            <w:tcW w:w="1104" w:type="dxa"/>
            <w:tcBorders>
              <w:tl2br w:val="nil"/>
              <w:tr2bl w:val="nil"/>
            </w:tcBorders>
            <w:vAlign w:val="center"/>
          </w:tcPr>
          <w:p w14:paraId="0AB637C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180</w:t>
            </w:r>
            <w:r>
              <w:rPr>
                <w:rFonts w:hint="default" w:ascii="Times New Roman" w:hAnsi="Times New Roman" w:eastAsia="宋体" w:cs="Times New Roman"/>
                <w:color w:val="auto"/>
                <w:sz w:val="24"/>
                <w:szCs w:val="24"/>
              </w:rPr>
              <w:t>mg/L</w:t>
            </w:r>
          </w:p>
        </w:tc>
        <w:tc>
          <w:tcPr>
            <w:tcW w:w="1211" w:type="dxa"/>
            <w:gridSpan w:val="3"/>
            <w:tcBorders>
              <w:tl2br w:val="nil"/>
              <w:tr2bl w:val="nil"/>
            </w:tcBorders>
            <w:vAlign w:val="center"/>
          </w:tcPr>
          <w:p w14:paraId="4B14323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cs="Times New Roman"/>
                <w:color w:val="auto"/>
                <w:sz w:val="24"/>
                <w:szCs w:val="24"/>
                <w:lang w:val="en-US" w:eastAsia="zh-CN"/>
              </w:rPr>
            </w:pPr>
            <w:r>
              <w:rPr>
                <w:rFonts w:hint="eastAsia" w:cs="Times New Roman"/>
                <w:color w:val="auto"/>
                <w:sz w:val="24"/>
                <w:szCs w:val="24"/>
                <w:lang w:val="en-US" w:eastAsia="zh-CN"/>
              </w:rPr>
              <w:t>0.0018t/d</w:t>
            </w:r>
          </w:p>
        </w:tc>
      </w:tr>
      <w:tr w14:paraId="059DB0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34D65C0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34D93203">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1C043655">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39EE76F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vertAlign w:val="subscript"/>
              </w:rPr>
            </w:pPr>
            <w:r>
              <w:rPr>
                <w:rFonts w:hint="default" w:ascii="Times New Roman" w:hAnsi="Times New Roman" w:eastAsia="宋体" w:cs="Times New Roman"/>
                <w:color w:val="auto"/>
                <w:sz w:val="24"/>
                <w:szCs w:val="24"/>
              </w:rPr>
              <w:t>SS</w:t>
            </w:r>
          </w:p>
        </w:tc>
        <w:tc>
          <w:tcPr>
            <w:tcW w:w="1163" w:type="dxa"/>
            <w:tcBorders>
              <w:tl2br w:val="nil"/>
              <w:tr2bl w:val="nil"/>
            </w:tcBorders>
            <w:vAlign w:val="center"/>
          </w:tcPr>
          <w:p w14:paraId="2F17B9E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250</w:t>
            </w:r>
            <w:r>
              <w:rPr>
                <w:rFonts w:hint="default" w:ascii="Times New Roman" w:hAnsi="Times New Roman" w:eastAsia="宋体" w:cs="Times New Roman"/>
                <w:color w:val="auto"/>
                <w:sz w:val="24"/>
                <w:szCs w:val="24"/>
              </w:rPr>
              <w:t>mg/L</w:t>
            </w:r>
          </w:p>
        </w:tc>
        <w:tc>
          <w:tcPr>
            <w:tcW w:w="1284" w:type="dxa"/>
            <w:gridSpan w:val="2"/>
            <w:tcBorders>
              <w:tl2br w:val="nil"/>
              <w:tr2bl w:val="nil"/>
            </w:tcBorders>
            <w:vAlign w:val="center"/>
          </w:tcPr>
          <w:p w14:paraId="5C853A6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0.0026t/d</w:t>
            </w:r>
          </w:p>
        </w:tc>
        <w:tc>
          <w:tcPr>
            <w:tcW w:w="1104" w:type="dxa"/>
            <w:tcBorders>
              <w:tl2br w:val="nil"/>
              <w:tr2bl w:val="nil"/>
            </w:tcBorders>
            <w:vAlign w:val="center"/>
          </w:tcPr>
          <w:p w14:paraId="3401E8E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250</w:t>
            </w:r>
            <w:r>
              <w:rPr>
                <w:rFonts w:hint="default" w:ascii="Times New Roman" w:hAnsi="Times New Roman" w:eastAsia="宋体" w:cs="Times New Roman"/>
                <w:color w:val="auto"/>
                <w:sz w:val="24"/>
                <w:szCs w:val="24"/>
              </w:rPr>
              <w:t>mg/L</w:t>
            </w:r>
          </w:p>
        </w:tc>
        <w:tc>
          <w:tcPr>
            <w:tcW w:w="1211" w:type="dxa"/>
            <w:gridSpan w:val="3"/>
            <w:tcBorders>
              <w:tl2br w:val="nil"/>
              <w:tr2bl w:val="nil"/>
            </w:tcBorders>
            <w:vAlign w:val="center"/>
          </w:tcPr>
          <w:p w14:paraId="3910753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cs="Times New Roman"/>
                <w:color w:val="auto"/>
                <w:sz w:val="24"/>
                <w:szCs w:val="24"/>
                <w:lang w:val="en-US" w:eastAsia="zh-CN"/>
              </w:rPr>
            </w:pPr>
            <w:r>
              <w:rPr>
                <w:rFonts w:hint="eastAsia" w:cs="Times New Roman"/>
                <w:color w:val="auto"/>
                <w:sz w:val="24"/>
                <w:szCs w:val="24"/>
                <w:lang w:val="en-US" w:eastAsia="zh-CN"/>
              </w:rPr>
              <w:t>0.0026t/d</w:t>
            </w:r>
          </w:p>
        </w:tc>
      </w:tr>
      <w:tr w14:paraId="6D63EE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42A9F1E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65AF834B">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5B375E20">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586175F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NH</w:t>
            </w:r>
            <w:r>
              <w:rPr>
                <w:rFonts w:hint="default" w:ascii="Times New Roman" w:hAnsi="Times New Roman" w:eastAsia="宋体" w:cs="Times New Roman"/>
                <w:color w:val="auto"/>
                <w:sz w:val="24"/>
                <w:szCs w:val="24"/>
                <w:vertAlign w:val="subscript"/>
              </w:rPr>
              <w:t>3</w:t>
            </w:r>
            <w:r>
              <w:rPr>
                <w:rFonts w:hint="default" w:ascii="Times New Roman" w:hAnsi="Times New Roman" w:eastAsia="宋体" w:cs="Times New Roman"/>
                <w:color w:val="auto"/>
                <w:sz w:val="24"/>
                <w:szCs w:val="24"/>
              </w:rPr>
              <w:t>-N</w:t>
            </w:r>
          </w:p>
        </w:tc>
        <w:tc>
          <w:tcPr>
            <w:tcW w:w="1163" w:type="dxa"/>
            <w:tcBorders>
              <w:tl2br w:val="nil"/>
              <w:tr2bl w:val="nil"/>
            </w:tcBorders>
            <w:vAlign w:val="center"/>
          </w:tcPr>
          <w:p w14:paraId="6DE3BE0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25</w:t>
            </w:r>
            <w:r>
              <w:rPr>
                <w:rFonts w:hint="default" w:ascii="Times New Roman" w:hAnsi="Times New Roman" w:eastAsia="宋体" w:cs="Times New Roman"/>
                <w:color w:val="auto"/>
                <w:sz w:val="24"/>
                <w:szCs w:val="24"/>
              </w:rPr>
              <w:t>mg/L</w:t>
            </w:r>
          </w:p>
        </w:tc>
        <w:tc>
          <w:tcPr>
            <w:tcW w:w="1284" w:type="dxa"/>
            <w:gridSpan w:val="2"/>
            <w:tcBorders>
              <w:tl2br w:val="nil"/>
              <w:tr2bl w:val="nil"/>
            </w:tcBorders>
            <w:vAlign w:val="center"/>
          </w:tcPr>
          <w:p w14:paraId="1CD78E7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0.00026t/d</w:t>
            </w:r>
          </w:p>
        </w:tc>
        <w:tc>
          <w:tcPr>
            <w:tcW w:w="1104" w:type="dxa"/>
            <w:tcBorders>
              <w:tl2br w:val="nil"/>
              <w:tr2bl w:val="nil"/>
            </w:tcBorders>
            <w:vAlign w:val="center"/>
          </w:tcPr>
          <w:p w14:paraId="02BB80C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25</w:t>
            </w:r>
            <w:r>
              <w:rPr>
                <w:rFonts w:hint="default" w:ascii="Times New Roman" w:hAnsi="Times New Roman" w:eastAsia="宋体" w:cs="Times New Roman"/>
                <w:color w:val="auto"/>
                <w:sz w:val="24"/>
                <w:szCs w:val="24"/>
              </w:rPr>
              <w:t>mg/L</w:t>
            </w:r>
          </w:p>
        </w:tc>
        <w:tc>
          <w:tcPr>
            <w:tcW w:w="1211" w:type="dxa"/>
            <w:gridSpan w:val="3"/>
            <w:tcBorders>
              <w:tl2br w:val="nil"/>
              <w:tr2bl w:val="nil"/>
            </w:tcBorders>
            <w:vAlign w:val="center"/>
          </w:tcPr>
          <w:p w14:paraId="1B6E527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cs="Times New Roman"/>
                <w:color w:val="auto"/>
                <w:sz w:val="24"/>
                <w:szCs w:val="24"/>
                <w:lang w:val="en-US" w:eastAsia="zh-CN"/>
              </w:rPr>
            </w:pPr>
            <w:r>
              <w:rPr>
                <w:rFonts w:hint="eastAsia" w:cs="Times New Roman"/>
                <w:color w:val="auto"/>
                <w:sz w:val="24"/>
                <w:szCs w:val="24"/>
                <w:lang w:val="en-US" w:eastAsia="zh-CN"/>
              </w:rPr>
              <w:t>0.00026t/d</w:t>
            </w:r>
          </w:p>
        </w:tc>
      </w:tr>
      <w:tr w14:paraId="0377DE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1A7F94B0">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3AEB4CF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222F0F35">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462C07C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动植物油</w:t>
            </w:r>
          </w:p>
        </w:tc>
        <w:tc>
          <w:tcPr>
            <w:tcW w:w="1163" w:type="dxa"/>
            <w:tcBorders>
              <w:tl2br w:val="nil"/>
              <w:tr2bl w:val="nil"/>
            </w:tcBorders>
            <w:vAlign w:val="center"/>
          </w:tcPr>
          <w:p w14:paraId="66FE8BF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50</w:t>
            </w:r>
            <w:r>
              <w:rPr>
                <w:rFonts w:hint="default" w:ascii="Times New Roman" w:hAnsi="Times New Roman" w:eastAsia="宋体" w:cs="Times New Roman"/>
                <w:color w:val="auto"/>
                <w:sz w:val="24"/>
                <w:szCs w:val="24"/>
              </w:rPr>
              <w:t>mg/L</w:t>
            </w:r>
          </w:p>
        </w:tc>
        <w:tc>
          <w:tcPr>
            <w:tcW w:w="1284" w:type="dxa"/>
            <w:gridSpan w:val="2"/>
            <w:tcBorders>
              <w:tl2br w:val="nil"/>
              <w:tr2bl w:val="nil"/>
            </w:tcBorders>
            <w:vAlign w:val="center"/>
          </w:tcPr>
          <w:p w14:paraId="35AB6C1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0.0008t/d</w:t>
            </w:r>
          </w:p>
        </w:tc>
        <w:tc>
          <w:tcPr>
            <w:tcW w:w="1104" w:type="dxa"/>
            <w:tcBorders>
              <w:tl2br w:val="nil"/>
              <w:tr2bl w:val="nil"/>
            </w:tcBorders>
            <w:vAlign w:val="center"/>
          </w:tcPr>
          <w:p w14:paraId="4D2F90A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50</w:t>
            </w:r>
            <w:r>
              <w:rPr>
                <w:rFonts w:hint="default" w:ascii="Times New Roman" w:hAnsi="Times New Roman" w:eastAsia="宋体" w:cs="Times New Roman"/>
                <w:color w:val="auto"/>
                <w:sz w:val="24"/>
                <w:szCs w:val="24"/>
              </w:rPr>
              <w:t>mg/L</w:t>
            </w:r>
          </w:p>
        </w:tc>
        <w:tc>
          <w:tcPr>
            <w:tcW w:w="1211" w:type="dxa"/>
            <w:gridSpan w:val="3"/>
            <w:tcBorders>
              <w:tl2br w:val="nil"/>
              <w:tr2bl w:val="nil"/>
            </w:tcBorders>
            <w:vAlign w:val="center"/>
          </w:tcPr>
          <w:p w14:paraId="18FEC87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cs="Times New Roman"/>
                <w:color w:val="auto"/>
                <w:sz w:val="24"/>
                <w:szCs w:val="24"/>
                <w:lang w:val="en-US" w:eastAsia="zh-CN"/>
              </w:rPr>
            </w:pPr>
            <w:r>
              <w:rPr>
                <w:rFonts w:hint="eastAsia" w:cs="Times New Roman"/>
                <w:color w:val="auto"/>
                <w:sz w:val="24"/>
                <w:szCs w:val="24"/>
                <w:lang w:val="en-US" w:eastAsia="zh-CN"/>
              </w:rPr>
              <w:t>0.0008t/d</w:t>
            </w:r>
          </w:p>
        </w:tc>
      </w:tr>
      <w:tr w14:paraId="0DEBB0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2CF91629">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restart"/>
            <w:tcBorders>
              <w:tl2br w:val="nil"/>
              <w:tr2bl w:val="nil"/>
            </w:tcBorders>
            <w:vAlign w:val="center"/>
          </w:tcPr>
          <w:p w14:paraId="0F92FD0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运营期</w:t>
            </w:r>
          </w:p>
        </w:tc>
        <w:tc>
          <w:tcPr>
            <w:tcW w:w="1572" w:type="dxa"/>
            <w:vMerge w:val="restart"/>
            <w:tcBorders>
              <w:tl2br w:val="nil"/>
              <w:tr2bl w:val="nil"/>
            </w:tcBorders>
            <w:vAlign w:val="center"/>
          </w:tcPr>
          <w:p w14:paraId="378ADF7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sz w:val="24"/>
                <w:szCs w:val="24"/>
              </w:rPr>
            </w:pPr>
            <w:r>
              <w:rPr>
                <w:rFonts w:ascii="Times New Roman" w:hAnsi="Times New Roman" w:cs="Times New Roman"/>
                <w:color w:val="auto"/>
                <w:sz w:val="24"/>
                <w:szCs w:val="24"/>
              </w:rPr>
              <w:t>商业区、</w:t>
            </w:r>
          </w:p>
          <w:p w14:paraId="278EF34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sz w:val="24"/>
                <w:szCs w:val="24"/>
              </w:rPr>
            </w:pPr>
            <w:r>
              <w:rPr>
                <w:rFonts w:ascii="Times New Roman" w:hAnsi="Times New Roman" w:cs="Times New Roman"/>
                <w:color w:val="auto"/>
                <w:sz w:val="24"/>
                <w:szCs w:val="24"/>
              </w:rPr>
              <w:t>住宅区、</w:t>
            </w:r>
          </w:p>
          <w:p w14:paraId="680BDFC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cs="Times New Roman"/>
                <w:color w:val="auto"/>
                <w:sz w:val="24"/>
                <w:szCs w:val="24"/>
                <w:lang w:eastAsia="zh-CN"/>
              </w:rPr>
            </w:pPr>
            <w:r>
              <w:rPr>
                <w:rFonts w:hint="eastAsia" w:cs="Times New Roman"/>
                <w:bCs/>
                <w:color w:val="auto"/>
                <w:sz w:val="24"/>
                <w:szCs w:val="24"/>
                <w:lang w:eastAsia="zh-CN"/>
              </w:rPr>
              <w:t>配套公建设施用房</w:t>
            </w:r>
            <w:r>
              <w:rPr>
                <w:rFonts w:hint="eastAsia" w:ascii="Times New Roman" w:hAnsi="Times New Roman" w:cs="Times New Roman"/>
                <w:color w:val="auto"/>
                <w:sz w:val="24"/>
                <w:szCs w:val="24"/>
                <w:lang w:eastAsia="zh-CN"/>
              </w:rPr>
              <w:t>的</w:t>
            </w:r>
          </w:p>
          <w:p w14:paraId="2672C36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eastAsia="zh-CN"/>
              </w:rPr>
              <w:t>生活污水</w:t>
            </w:r>
          </w:p>
        </w:tc>
        <w:tc>
          <w:tcPr>
            <w:tcW w:w="1752" w:type="dxa"/>
            <w:tcBorders>
              <w:tl2br w:val="nil"/>
              <w:tr2bl w:val="nil"/>
            </w:tcBorders>
            <w:vAlign w:val="center"/>
          </w:tcPr>
          <w:p w14:paraId="1E5CA205">
            <w:pPr>
              <w:jc w:val="center"/>
              <w:rPr>
                <w:rFonts w:hint="eastAsia" w:ascii="Times New Roman" w:hAnsi="Times New Roman" w:eastAsia="宋体" w:cs="Times New Roman"/>
                <w:color w:val="auto"/>
                <w:sz w:val="24"/>
                <w:szCs w:val="24"/>
                <w:lang w:eastAsia="zh-CN"/>
              </w:rPr>
            </w:pPr>
            <w:r>
              <w:rPr>
                <w:rFonts w:hint="eastAsia" w:cs="Times New Roman"/>
                <w:color w:val="auto"/>
                <w:sz w:val="24"/>
                <w:szCs w:val="24"/>
                <w:lang w:eastAsia="zh-CN"/>
              </w:rPr>
              <w:t>水量</w:t>
            </w:r>
          </w:p>
        </w:tc>
        <w:tc>
          <w:tcPr>
            <w:tcW w:w="2447" w:type="dxa"/>
            <w:gridSpan w:val="3"/>
            <w:tcBorders>
              <w:tl2br w:val="nil"/>
              <w:tr2bl w:val="nil"/>
            </w:tcBorders>
            <w:vAlign w:val="center"/>
          </w:tcPr>
          <w:p w14:paraId="53747F1C">
            <w:pPr>
              <w:jc w:val="center"/>
              <w:rPr>
                <w:rFonts w:hint="eastAsia" w:cs="Times New Roman"/>
                <w:color w:val="auto"/>
                <w:sz w:val="24"/>
                <w:szCs w:val="24"/>
                <w:lang w:val="en-US" w:eastAsia="zh-CN"/>
              </w:rPr>
            </w:pPr>
            <w:r>
              <w:rPr>
                <w:rFonts w:hint="eastAsia" w:cs="Times New Roman"/>
                <w:color w:val="auto"/>
                <w:sz w:val="24"/>
                <w:szCs w:val="24"/>
                <w:lang w:val="en-US" w:eastAsia="zh-CN"/>
              </w:rPr>
              <w:t>98359.616</w:t>
            </w:r>
            <w:r>
              <w:rPr>
                <w:color w:val="auto"/>
                <w:sz w:val="24"/>
                <w:szCs w:val="24"/>
              </w:rPr>
              <w:t>m</w:t>
            </w:r>
            <w:r>
              <w:rPr>
                <w:color w:val="auto"/>
                <w:sz w:val="24"/>
                <w:szCs w:val="24"/>
                <w:vertAlign w:val="superscript"/>
              </w:rPr>
              <w:t>3</w:t>
            </w:r>
            <w:r>
              <w:rPr>
                <w:color w:val="auto"/>
                <w:sz w:val="24"/>
                <w:szCs w:val="24"/>
              </w:rPr>
              <w:t>/a</w:t>
            </w:r>
          </w:p>
        </w:tc>
        <w:tc>
          <w:tcPr>
            <w:tcW w:w="2315" w:type="dxa"/>
            <w:gridSpan w:val="4"/>
            <w:tcBorders>
              <w:tl2br w:val="nil"/>
              <w:tr2bl w:val="nil"/>
            </w:tcBorders>
            <w:vAlign w:val="center"/>
          </w:tcPr>
          <w:p w14:paraId="6F97B68D">
            <w:pPr>
              <w:jc w:val="center"/>
              <w:rPr>
                <w:rFonts w:hint="eastAsia" w:cs="Times New Roman"/>
                <w:color w:val="auto"/>
                <w:sz w:val="24"/>
                <w:szCs w:val="24"/>
                <w:lang w:val="en-US" w:eastAsia="zh-CN"/>
              </w:rPr>
            </w:pPr>
            <w:r>
              <w:rPr>
                <w:rFonts w:hint="eastAsia" w:cs="Times New Roman"/>
                <w:color w:val="auto"/>
                <w:sz w:val="24"/>
                <w:szCs w:val="24"/>
                <w:lang w:val="en-US" w:eastAsia="zh-CN"/>
              </w:rPr>
              <w:t>98359.616</w:t>
            </w:r>
            <w:r>
              <w:rPr>
                <w:color w:val="auto"/>
                <w:sz w:val="24"/>
                <w:szCs w:val="24"/>
              </w:rPr>
              <w:t>m</w:t>
            </w:r>
            <w:r>
              <w:rPr>
                <w:color w:val="auto"/>
                <w:sz w:val="24"/>
                <w:szCs w:val="24"/>
                <w:vertAlign w:val="superscript"/>
              </w:rPr>
              <w:t>3</w:t>
            </w:r>
            <w:r>
              <w:rPr>
                <w:color w:val="auto"/>
                <w:sz w:val="24"/>
                <w:szCs w:val="24"/>
              </w:rPr>
              <w:t>/a</w:t>
            </w:r>
          </w:p>
        </w:tc>
      </w:tr>
      <w:tr w14:paraId="41FD5E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1925F562">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43828B9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448D594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715ECE50">
            <w:pPr>
              <w:jc w:val="center"/>
              <w:rPr>
                <w:rFonts w:hint="default" w:ascii="Times New Roman" w:hAnsi="Times New Roman" w:eastAsia="宋体" w:cs="Times New Roman"/>
                <w:color w:val="auto"/>
                <w:sz w:val="24"/>
                <w:szCs w:val="24"/>
              </w:rPr>
            </w:pPr>
            <w:r>
              <w:rPr>
                <w:rFonts w:hint="default" w:ascii="Times New Roman" w:hAnsi="Times New Roman" w:cs="Times New Roman"/>
                <w:color w:val="auto"/>
                <w:sz w:val="24"/>
                <w:szCs w:val="24"/>
              </w:rPr>
              <w:t>CODcr</w:t>
            </w:r>
          </w:p>
        </w:tc>
        <w:tc>
          <w:tcPr>
            <w:tcW w:w="1320" w:type="dxa"/>
            <w:gridSpan w:val="2"/>
            <w:tcBorders>
              <w:tl2br w:val="nil"/>
              <w:tr2bl w:val="nil"/>
            </w:tcBorders>
            <w:vAlign w:val="center"/>
          </w:tcPr>
          <w:p w14:paraId="7E76A273">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4</w:t>
            </w:r>
            <w:r>
              <w:rPr>
                <w:rFonts w:hint="default" w:ascii="Times New Roman" w:hAnsi="Times New Roman" w:cs="Times New Roman"/>
                <w:color w:val="auto"/>
                <w:sz w:val="24"/>
                <w:szCs w:val="24"/>
              </w:rPr>
              <w:t>00</w:t>
            </w:r>
            <w:r>
              <w:rPr>
                <w:rFonts w:hint="default" w:ascii="Times New Roman" w:hAnsi="Times New Roman" w:eastAsia="宋体" w:cs="Times New Roman"/>
                <w:color w:val="auto"/>
                <w:sz w:val="24"/>
                <w:szCs w:val="24"/>
              </w:rPr>
              <w:t>mg/L</w:t>
            </w:r>
          </w:p>
        </w:tc>
        <w:tc>
          <w:tcPr>
            <w:tcW w:w="1127" w:type="dxa"/>
            <w:tcBorders>
              <w:tl2br w:val="nil"/>
              <w:tr2bl w:val="nil"/>
            </w:tcBorders>
            <w:vAlign w:val="center"/>
          </w:tcPr>
          <w:p w14:paraId="50AEB9B2">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39.34t/a</w:t>
            </w:r>
          </w:p>
        </w:tc>
        <w:tc>
          <w:tcPr>
            <w:tcW w:w="1273" w:type="dxa"/>
            <w:gridSpan w:val="3"/>
            <w:tcBorders>
              <w:tl2br w:val="nil"/>
              <w:tr2bl w:val="nil"/>
            </w:tcBorders>
            <w:vAlign w:val="center"/>
          </w:tcPr>
          <w:p w14:paraId="1D22F11C">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24</w:t>
            </w:r>
            <w:r>
              <w:rPr>
                <w:rFonts w:hint="default" w:ascii="Times New Roman" w:hAnsi="Times New Roman" w:cs="Times New Roman"/>
                <w:color w:val="auto"/>
                <w:sz w:val="24"/>
                <w:szCs w:val="24"/>
              </w:rPr>
              <w:t>0</w:t>
            </w:r>
            <w:r>
              <w:rPr>
                <w:rFonts w:hint="default" w:ascii="Times New Roman" w:hAnsi="Times New Roman" w:eastAsia="宋体" w:cs="Times New Roman"/>
                <w:color w:val="auto"/>
                <w:sz w:val="24"/>
                <w:szCs w:val="24"/>
              </w:rPr>
              <w:t>mg/L</w:t>
            </w:r>
          </w:p>
        </w:tc>
        <w:tc>
          <w:tcPr>
            <w:tcW w:w="1042" w:type="dxa"/>
            <w:tcBorders>
              <w:tl2br w:val="nil"/>
              <w:tr2bl w:val="nil"/>
            </w:tcBorders>
            <w:vAlign w:val="center"/>
          </w:tcPr>
          <w:p w14:paraId="3F90343E">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23.61t/a</w:t>
            </w:r>
          </w:p>
        </w:tc>
      </w:tr>
      <w:tr w14:paraId="24CE21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76E2786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0DCE0DDB">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1DF95FAB">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03E9586C">
            <w:pPr>
              <w:jc w:val="center"/>
              <w:rPr>
                <w:rFonts w:hint="default" w:ascii="Times New Roman" w:hAnsi="Times New Roman" w:eastAsia="宋体" w:cs="Times New Roman"/>
                <w:color w:val="auto"/>
                <w:sz w:val="24"/>
                <w:szCs w:val="24"/>
              </w:rPr>
            </w:pPr>
            <w:r>
              <w:rPr>
                <w:rFonts w:hint="default" w:ascii="Times New Roman" w:hAnsi="Times New Roman" w:cs="Times New Roman"/>
                <w:color w:val="auto"/>
                <w:sz w:val="24"/>
                <w:szCs w:val="24"/>
              </w:rPr>
              <w:t>BOD</w:t>
            </w:r>
            <w:r>
              <w:rPr>
                <w:rFonts w:hint="default" w:ascii="Times New Roman" w:hAnsi="Times New Roman" w:cs="Times New Roman"/>
                <w:color w:val="auto"/>
                <w:sz w:val="24"/>
                <w:szCs w:val="24"/>
                <w:vertAlign w:val="subscript"/>
              </w:rPr>
              <w:t>5</w:t>
            </w:r>
          </w:p>
        </w:tc>
        <w:tc>
          <w:tcPr>
            <w:tcW w:w="1320" w:type="dxa"/>
            <w:gridSpan w:val="2"/>
            <w:tcBorders>
              <w:tl2br w:val="nil"/>
              <w:tr2bl w:val="nil"/>
            </w:tcBorders>
            <w:vAlign w:val="center"/>
          </w:tcPr>
          <w:p w14:paraId="14489409">
            <w:pPr>
              <w:jc w:val="center"/>
              <w:rPr>
                <w:rFonts w:hint="default" w:ascii="Times New Roman" w:hAnsi="Times New Roman" w:eastAsia="宋体" w:cs="Times New Roman"/>
                <w:color w:val="auto"/>
                <w:sz w:val="24"/>
                <w:szCs w:val="24"/>
              </w:rPr>
            </w:pPr>
            <w:r>
              <w:rPr>
                <w:rFonts w:hint="default" w:ascii="Times New Roman" w:hAnsi="Times New Roman" w:cs="Times New Roman"/>
                <w:color w:val="auto"/>
                <w:sz w:val="24"/>
                <w:szCs w:val="24"/>
              </w:rPr>
              <w:t>20</w:t>
            </w:r>
            <w:r>
              <w:rPr>
                <w:rFonts w:hint="eastAsia" w:ascii="Times New Roman" w:hAnsi="Times New Roman" w:cs="Times New Roman"/>
                <w:color w:val="auto"/>
                <w:sz w:val="24"/>
                <w:szCs w:val="24"/>
                <w:lang w:val="en-US" w:eastAsia="zh-CN"/>
              </w:rPr>
              <w:t>0</w:t>
            </w:r>
            <w:r>
              <w:rPr>
                <w:rFonts w:hint="default" w:ascii="Times New Roman" w:hAnsi="Times New Roman" w:eastAsia="宋体" w:cs="Times New Roman"/>
                <w:color w:val="auto"/>
                <w:sz w:val="24"/>
                <w:szCs w:val="24"/>
              </w:rPr>
              <w:t>mg/L</w:t>
            </w:r>
          </w:p>
        </w:tc>
        <w:tc>
          <w:tcPr>
            <w:tcW w:w="1127" w:type="dxa"/>
            <w:tcBorders>
              <w:tl2br w:val="nil"/>
              <w:tr2bl w:val="nil"/>
            </w:tcBorders>
            <w:vAlign w:val="center"/>
          </w:tcPr>
          <w:p w14:paraId="015C92CE">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19.67t/a</w:t>
            </w:r>
          </w:p>
        </w:tc>
        <w:tc>
          <w:tcPr>
            <w:tcW w:w="1273" w:type="dxa"/>
            <w:gridSpan w:val="3"/>
            <w:tcBorders>
              <w:tl2br w:val="nil"/>
              <w:tr2bl w:val="nil"/>
            </w:tcBorders>
            <w:vAlign w:val="center"/>
          </w:tcPr>
          <w:p w14:paraId="41B97F19">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w:t>
            </w:r>
            <w:r>
              <w:rPr>
                <w:rFonts w:hint="default" w:ascii="Times New Roman" w:hAnsi="Times New Roman" w:cs="Times New Roman"/>
                <w:color w:val="auto"/>
                <w:sz w:val="24"/>
                <w:szCs w:val="24"/>
              </w:rPr>
              <w:t>0</w:t>
            </w:r>
            <w:r>
              <w:rPr>
                <w:rFonts w:hint="eastAsia" w:ascii="Times New Roman" w:hAnsi="Times New Roman" w:cs="Times New Roman"/>
                <w:color w:val="auto"/>
                <w:sz w:val="24"/>
                <w:szCs w:val="24"/>
                <w:lang w:val="en-US" w:eastAsia="zh-CN"/>
              </w:rPr>
              <w:t>0</w:t>
            </w:r>
            <w:r>
              <w:rPr>
                <w:rFonts w:hint="default" w:ascii="Times New Roman" w:hAnsi="Times New Roman" w:eastAsia="宋体" w:cs="Times New Roman"/>
                <w:color w:val="auto"/>
                <w:sz w:val="24"/>
                <w:szCs w:val="24"/>
              </w:rPr>
              <w:t>mg/L</w:t>
            </w:r>
          </w:p>
        </w:tc>
        <w:tc>
          <w:tcPr>
            <w:tcW w:w="1042" w:type="dxa"/>
            <w:tcBorders>
              <w:tl2br w:val="nil"/>
              <w:tr2bl w:val="nil"/>
            </w:tcBorders>
            <w:vAlign w:val="center"/>
          </w:tcPr>
          <w:p w14:paraId="1D534B63">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9.84t/a</w:t>
            </w:r>
          </w:p>
        </w:tc>
      </w:tr>
      <w:tr w14:paraId="1DCA0C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73C9B51B">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01376063">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52B62D0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3AFCB5E6">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SS</w:t>
            </w:r>
          </w:p>
        </w:tc>
        <w:tc>
          <w:tcPr>
            <w:tcW w:w="1320" w:type="dxa"/>
            <w:gridSpan w:val="2"/>
            <w:tcBorders>
              <w:tl2br w:val="nil"/>
              <w:tr2bl w:val="nil"/>
            </w:tcBorders>
            <w:vAlign w:val="center"/>
          </w:tcPr>
          <w:p w14:paraId="604A8E0B">
            <w:pPr>
              <w:jc w:val="center"/>
              <w:rPr>
                <w:rFonts w:hint="default" w:ascii="Times New Roman" w:hAnsi="Times New Roman" w:eastAsia="宋体" w:cs="Times New Roman"/>
                <w:color w:val="auto"/>
                <w:sz w:val="24"/>
                <w:szCs w:val="24"/>
              </w:rPr>
            </w:pPr>
            <w:r>
              <w:rPr>
                <w:rFonts w:hint="default" w:ascii="Times New Roman" w:hAnsi="Times New Roman" w:cs="Times New Roman"/>
                <w:color w:val="auto"/>
                <w:sz w:val="24"/>
                <w:szCs w:val="24"/>
              </w:rPr>
              <w:t>2</w:t>
            </w:r>
            <w:r>
              <w:rPr>
                <w:rFonts w:hint="eastAsia"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rPr>
              <w:t>0</w:t>
            </w:r>
            <w:r>
              <w:rPr>
                <w:rFonts w:hint="default" w:ascii="Times New Roman" w:hAnsi="Times New Roman" w:eastAsia="宋体" w:cs="Times New Roman"/>
                <w:color w:val="auto"/>
                <w:sz w:val="24"/>
                <w:szCs w:val="24"/>
              </w:rPr>
              <w:t>mg/L</w:t>
            </w:r>
          </w:p>
        </w:tc>
        <w:tc>
          <w:tcPr>
            <w:tcW w:w="1127" w:type="dxa"/>
            <w:tcBorders>
              <w:tl2br w:val="nil"/>
              <w:tr2bl w:val="nil"/>
            </w:tcBorders>
            <w:vAlign w:val="center"/>
          </w:tcPr>
          <w:p w14:paraId="1BFD1017">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21.64t/a</w:t>
            </w:r>
          </w:p>
        </w:tc>
        <w:tc>
          <w:tcPr>
            <w:tcW w:w="1273" w:type="dxa"/>
            <w:gridSpan w:val="3"/>
            <w:tcBorders>
              <w:tl2br w:val="nil"/>
              <w:tr2bl w:val="nil"/>
            </w:tcBorders>
            <w:vAlign w:val="center"/>
          </w:tcPr>
          <w:p w14:paraId="559DD6C1">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88</w:t>
            </w:r>
            <w:r>
              <w:rPr>
                <w:rFonts w:hint="default" w:ascii="Times New Roman" w:hAnsi="Times New Roman" w:eastAsia="宋体" w:cs="Times New Roman"/>
                <w:color w:val="auto"/>
                <w:sz w:val="24"/>
                <w:szCs w:val="24"/>
              </w:rPr>
              <w:t>mg/L</w:t>
            </w:r>
          </w:p>
        </w:tc>
        <w:tc>
          <w:tcPr>
            <w:tcW w:w="1042" w:type="dxa"/>
            <w:tcBorders>
              <w:tl2br w:val="nil"/>
              <w:tr2bl w:val="nil"/>
            </w:tcBorders>
            <w:vAlign w:val="center"/>
          </w:tcPr>
          <w:p w14:paraId="7811F460">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8.66t/a</w:t>
            </w:r>
          </w:p>
        </w:tc>
      </w:tr>
      <w:tr w14:paraId="0DFD2E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55E853A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6F43766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68B24163">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751ADF18">
            <w:pPr>
              <w:jc w:val="center"/>
              <w:rPr>
                <w:rFonts w:hint="default" w:ascii="Times New Roman" w:hAnsi="Times New Roman" w:eastAsia="宋体" w:cs="Times New Roman"/>
                <w:color w:val="auto"/>
                <w:sz w:val="24"/>
                <w:szCs w:val="24"/>
              </w:rPr>
            </w:pPr>
            <w:r>
              <w:rPr>
                <w:rFonts w:hint="default" w:ascii="Times New Roman" w:hAnsi="Times New Roman" w:cs="Times New Roman"/>
                <w:color w:val="auto"/>
                <w:sz w:val="24"/>
                <w:szCs w:val="24"/>
              </w:rPr>
              <w:t>NH</w:t>
            </w:r>
            <w:r>
              <w:rPr>
                <w:rFonts w:hint="default" w:ascii="Times New Roman" w:hAnsi="Times New Roman" w:cs="Times New Roman"/>
                <w:color w:val="auto"/>
                <w:sz w:val="24"/>
                <w:szCs w:val="24"/>
                <w:vertAlign w:val="subscript"/>
              </w:rPr>
              <w:t>3</w:t>
            </w:r>
            <w:r>
              <w:rPr>
                <w:rFonts w:hint="default" w:ascii="Times New Roman" w:hAnsi="Times New Roman" w:cs="Times New Roman"/>
                <w:color w:val="auto"/>
                <w:sz w:val="24"/>
                <w:szCs w:val="24"/>
              </w:rPr>
              <w:t>-N</w:t>
            </w:r>
          </w:p>
        </w:tc>
        <w:tc>
          <w:tcPr>
            <w:tcW w:w="1320" w:type="dxa"/>
            <w:gridSpan w:val="2"/>
            <w:tcBorders>
              <w:tl2br w:val="nil"/>
              <w:tr2bl w:val="nil"/>
            </w:tcBorders>
            <w:vAlign w:val="center"/>
          </w:tcPr>
          <w:p w14:paraId="70F653FD">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4</w:t>
            </w:r>
            <w:r>
              <w:rPr>
                <w:rFonts w:hint="default" w:ascii="Times New Roman" w:hAnsi="Times New Roman" w:cs="Times New Roman"/>
                <w:color w:val="auto"/>
                <w:sz w:val="24"/>
                <w:szCs w:val="24"/>
              </w:rPr>
              <w:t>0</w:t>
            </w:r>
            <w:r>
              <w:rPr>
                <w:rFonts w:hint="default" w:ascii="Times New Roman" w:hAnsi="Times New Roman" w:eastAsia="宋体" w:cs="Times New Roman"/>
                <w:color w:val="auto"/>
                <w:sz w:val="24"/>
                <w:szCs w:val="24"/>
              </w:rPr>
              <w:t>mg/L</w:t>
            </w:r>
          </w:p>
        </w:tc>
        <w:tc>
          <w:tcPr>
            <w:tcW w:w="1127" w:type="dxa"/>
            <w:tcBorders>
              <w:tl2br w:val="nil"/>
              <w:tr2bl w:val="nil"/>
            </w:tcBorders>
            <w:vAlign w:val="center"/>
          </w:tcPr>
          <w:p w14:paraId="18F7D5CF">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3.93t/a</w:t>
            </w:r>
          </w:p>
        </w:tc>
        <w:tc>
          <w:tcPr>
            <w:tcW w:w="1273" w:type="dxa"/>
            <w:gridSpan w:val="3"/>
            <w:tcBorders>
              <w:tl2br w:val="nil"/>
              <w:tr2bl w:val="nil"/>
            </w:tcBorders>
            <w:vAlign w:val="center"/>
          </w:tcPr>
          <w:p w14:paraId="537875A6">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4</w:t>
            </w:r>
            <w:r>
              <w:rPr>
                <w:rFonts w:hint="default" w:ascii="Times New Roman" w:hAnsi="Times New Roman" w:cs="Times New Roman"/>
                <w:color w:val="auto"/>
                <w:sz w:val="24"/>
                <w:szCs w:val="24"/>
              </w:rPr>
              <w:t>0</w:t>
            </w:r>
            <w:r>
              <w:rPr>
                <w:rFonts w:hint="default" w:ascii="Times New Roman" w:hAnsi="Times New Roman" w:eastAsia="宋体" w:cs="Times New Roman"/>
                <w:color w:val="auto"/>
                <w:sz w:val="24"/>
                <w:szCs w:val="24"/>
              </w:rPr>
              <w:t>mg/L</w:t>
            </w:r>
          </w:p>
        </w:tc>
        <w:tc>
          <w:tcPr>
            <w:tcW w:w="1042" w:type="dxa"/>
            <w:tcBorders>
              <w:tl2br w:val="nil"/>
              <w:tr2bl w:val="nil"/>
            </w:tcBorders>
            <w:vAlign w:val="center"/>
          </w:tcPr>
          <w:p w14:paraId="354071AE">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3.93t/a</w:t>
            </w:r>
          </w:p>
        </w:tc>
      </w:tr>
      <w:tr w14:paraId="39607A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4EF9A20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1C4EAA80">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4458CE19">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4D471CE1">
            <w:pPr>
              <w:jc w:val="center"/>
              <w:rPr>
                <w:rFonts w:hint="eastAsia" w:ascii="Times New Roman" w:hAnsi="Times New Roman" w:eastAsia="宋体" w:cs="Times New Roman"/>
                <w:color w:val="auto"/>
                <w:sz w:val="24"/>
                <w:szCs w:val="24"/>
                <w:lang w:eastAsia="zh-CN"/>
              </w:rPr>
            </w:pPr>
            <w:r>
              <w:rPr>
                <w:rFonts w:hint="eastAsia" w:cs="Times New Roman"/>
                <w:color w:val="auto"/>
                <w:sz w:val="24"/>
                <w:szCs w:val="24"/>
                <w:lang w:eastAsia="zh-CN"/>
              </w:rPr>
              <w:t>动植物油</w:t>
            </w:r>
          </w:p>
        </w:tc>
        <w:tc>
          <w:tcPr>
            <w:tcW w:w="1320" w:type="dxa"/>
            <w:gridSpan w:val="2"/>
            <w:tcBorders>
              <w:tl2br w:val="nil"/>
              <w:tr2bl w:val="nil"/>
            </w:tcBorders>
            <w:vAlign w:val="center"/>
          </w:tcPr>
          <w:p w14:paraId="4A6A5AA9">
            <w:pPr>
              <w:jc w:val="center"/>
              <w:rPr>
                <w:rFonts w:hint="eastAsia" w:ascii="Times New Roman" w:hAnsi="Times New Roman" w:cs="Times New Roman"/>
                <w:color w:val="auto"/>
                <w:sz w:val="24"/>
                <w:szCs w:val="24"/>
                <w:lang w:val="en-US" w:eastAsia="zh-CN"/>
              </w:rPr>
            </w:pPr>
            <w:r>
              <w:rPr>
                <w:rFonts w:hint="eastAsia" w:cs="Times New Roman"/>
                <w:color w:val="auto"/>
                <w:sz w:val="24"/>
                <w:szCs w:val="24"/>
                <w:lang w:val="en-US" w:eastAsia="zh-CN"/>
              </w:rPr>
              <w:t>30</w:t>
            </w:r>
            <w:r>
              <w:rPr>
                <w:rFonts w:hint="default" w:ascii="Times New Roman" w:hAnsi="Times New Roman" w:eastAsia="宋体" w:cs="Times New Roman"/>
                <w:color w:val="auto"/>
                <w:sz w:val="24"/>
                <w:szCs w:val="24"/>
              </w:rPr>
              <w:t>mg/L</w:t>
            </w:r>
          </w:p>
        </w:tc>
        <w:tc>
          <w:tcPr>
            <w:tcW w:w="1127" w:type="dxa"/>
            <w:tcBorders>
              <w:tl2br w:val="nil"/>
              <w:tr2bl w:val="nil"/>
            </w:tcBorders>
            <w:vAlign w:val="center"/>
          </w:tcPr>
          <w:p w14:paraId="40443FA0">
            <w:pPr>
              <w:jc w:val="center"/>
              <w:rPr>
                <w:rFonts w:hint="eastAsia" w:cs="Times New Roman"/>
                <w:color w:val="auto"/>
                <w:sz w:val="24"/>
                <w:szCs w:val="24"/>
                <w:lang w:val="en-US" w:eastAsia="zh-CN"/>
              </w:rPr>
            </w:pPr>
            <w:r>
              <w:rPr>
                <w:rFonts w:hint="eastAsia" w:cs="Times New Roman"/>
                <w:color w:val="auto"/>
                <w:sz w:val="24"/>
                <w:szCs w:val="24"/>
                <w:lang w:val="en-US" w:eastAsia="zh-CN"/>
              </w:rPr>
              <w:t>2.95t/a</w:t>
            </w:r>
          </w:p>
        </w:tc>
        <w:tc>
          <w:tcPr>
            <w:tcW w:w="1273" w:type="dxa"/>
            <w:gridSpan w:val="3"/>
            <w:tcBorders>
              <w:tl2br w:val="nil"/>
              <w:tr2bl w:val="nil"/>
            </w:tcBorders>
            <w:vAlign w:val="center"/>
          </w:tcPr>
          <w:p w14:paraId="06295821">
            <w:pPr>
              <w:jc w:val="center"/>
              <w:rPr>
                <w:rFonts w:hint="eastAsia" w:ascii="Times New Roman" w:hAnsi="Times New Roman" w:cs="Times New Roman"/>
                <w:color w:val="auto"/>
                <w:sz w:val="24"/>
                <w:szCs w:val="24"/>
                <w:lang w:val="en-US" w:eastAsia="zh-CN"/>
              </w:rPr>
            </w:pPr>
            <w:r>
              <w:rPr>
                <w:rFonts w:hint="eastAsia" w:cs="Times New Roman"/>
                <w:color w:val="auto"/>
                <w:sz w:val="24"/>
                <w:szCs w:val="24"/>
                <w:lang w:val="en-US" w:eastAsia="zh-CN"/>
              </w:rPr>
              <w:t>30</w:t>
            </w:r>
            <w:r>
              <w:rPr>
                <w:rFonts w:hint="default" w:ascii="Times New Roman" w:hAnsi="Times New Roman" w:eastAsia="宋体" w:cs="Times New Roman"/>
                <w:color w:val="auto"/>
                <w:sz w:val="24"/>
                <w:szCs w:val="24"/>
              </w:rPr>
              <w:t>mg/L</w:t>
            </w:r>
          </w:p>
        </w:tc>
        <w:tc>
          <w:tcPr>
            <w:tcW w:w="1042" w:type="dxa"/>
            <w:tcBorders>
              <w:tl2br w:val="nil"/>
              <w:tr2bl w:val="nil"/>
            </w:tcBorders>
            <w:vAlign w:val="center"/>
          </w:tcPr>
          <w:p w14:paraId="4D6A2245">
            <w:pPr>
              <w:jc w:val="center"/>
              <w:rPr>
                <w:rFonts w:hint="eastAsia" w:cs="Times New Roman"/>
                <w:color w:val="auto"/>
                <w:sz w:val="24"/>
                <w:szCs w:val="24"/>
                <w:lang w:val="en-US" w:eastAsia="zh-CN"/>
              </w:rPr>
            </w:pPr>
            <w:r>
              <w:rPr>
                <w:rFonts w:hint="eastAsia" w:cs="Times New Roman"/>
                <w:color w:val="auto"/>
                <w:sz w:val="24"/>
                <w:szCs w:val="24"/>
                <w:lang w:val="en-US" w:eastAsia="zh-CN"/>
              </w:rPr>
              <w:t>2.95t/a</w:t>
            </w:r>
          </w:p>
        </w:tc>
      </w:tr>
      <w:tr w14:paraId="63A6AC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76CCD15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41337947">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restart"/>
            <w:tcBorders>
              <w:tl2br w:val="nil"/>
              <w:tr2bl w:val="nil"/>
            </w:tcBorders>
            <w:vAlign w:val="center"/>
          </w:tcPr>
          <w:p w14:paraId="69EB4CE6">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地下车库清洗废水</w:t>
            </w:r>
          </w:p>
        </w:tc>
        <w:tc>
          <w:tcPr>
            <w:tcW w:w="1752" w:type="dxa"/>
            <w:tcBorders>
              <w:tl2br w:val="nil"/>
              <w:tr2bl w:val="nil"/>
            </w:tcBorders>
            <w:vAlign w:val="center"/>
          </w:tcPr>
          <w:p w14:paraId="4BE287A2">
            <w:pPr>
              <w:jc w:val="center"/>
              <w:rPr>
                <w:rFonts w:hint="eastAsia" w:ascii="Times New Roman" w:hAnsi="Times New Roman" w:eastAsia="宋体" w:cs="Times New Roman"/>
                <w:color w:val="auto"/>
                <w:sz w:val="24"/>
                <w:szCs w:val="24"/>
                <w:lang w:eastAsia="zh-CN"/>
              </w:rPr>
            </w:pPr>
            <w:r>
              <w:rPr>
                <w:rFonts w:hint="eastAsia" w:cs="Times New Roman"/>
                <w:color w:val="auto"/>
                <w:sz w:val="24"/>
                <w:szCs w:val="24"/>
                <w:lang w:eastAsia="zh-CN"/>
              </w:rPr>
              <w:t>水量</w:t>
            </w:r>
          </w:p>
        </w:tc>
        <w:tc>
          <w:tcPr>
            <w:tcW w:w="2447" w:type="dxa"/>
            <w:gridSpan w:val="3"/>
            <w:tcBorders>
              <w:tl2br w:val="nil"/>
              <w:tr2bl w:val="nil"/>
            </w:tcBorders>
            <w:vAlign w:val="center"/>
          </w:tcPr>
          <w:p w14:paraId="3868D02A">
            <w:pPr>
              <w:jc w:val="center"/>
              <w:rPr>
                <w:rFonts w:hint="eastAsia" w:cs="Times New Roman"/>
                <w:color w:val="auto"/>
                <w:sz w:val="24"/>
                <w:szCs w:val="24"/>
                <w:lang w:val="en-US" w:eastAsia="zh-CN"/>
              </w:rPr>
            </w:pPr>
            <w:r>
              <w:rPr>
                <w:rFonts w:hint="eastAsia"/>
                <w:color w:val="auto"/>
                <w:spacing w:val="-5"/>
                <w:sz w:val="24"/>
                <w:szCs w:val="24"/>
                <w:lang w:val="en-US" w:eastAsia="zh-CN"/>
              </w:rPr>
              <w:t>109.2</w:t>
            </w:r>
            <w:r>
              <w:rPr>
                <w:color w:val="auto"/>
                <w:spacing w:val="-5"/>
                <w:sz w:val="24"/>
                <w:szCs w:val="24"/>
              </w:rPr>
              <w:t>m</w:t>
            </w:r>
            <w:r>
              <w:rPr>
                <w:color w:val="auto"/>
                <w:spacing w:val="-5"/>
                <w:sz w:val="24"/>
                <w:szCs w:val="24"/>
                <w:vertAlign w:val="superscript"/>
              </w:rPr>
              <w:t>3</w:t>
            </w:r>
            <w:r>
              <w:rPr>
                <w:color w:val="auto"/>
                <w:spacing w:val="-5"/>
                <w:sz w:val="24"/>
                <w:szCs w:val="24"/>
              </w:rPr>
              <w:t>/a</w:t>
            </w:r>
          </w:p>
        </w:tc>
        <w:tc>
          <w:tcPr>
            <w:tcW w:w="2315" w:type="dxa"/>
            <w:gridSpan w:val="4"/>
            <w:tcBorders>
              <w:tl2br w:val="nil"/>
              <w:tr2bl w:val="nil"/>
            </w:tcBorders>
            <w:vAlign w:val="center"/>
          </w:tcPr>
          <w:p w14:paraId="4DD90CB9">
            <w:pPr>
              <w:jc w:val="center"/>
              <w:rPr>
                <w:rFonts w:hint="eastAsia" w:cs="Times New Roman"/>
                <w:color w:val="auto"/>
                <w:spacing w:val="-9"/>
                <w:sz w:val="24"/>
                <w:szCs w:val="24"/>
                <w:lang w:val="en-US" w:eastAsia="zh-CN"/>
              </w:rPr>
            </w:pPr>
            <w:r>
              <w:rPr>
                <w:rFonts w:hint="eastAsia"/>
                <w:color w:val="auto"/>
                <w:spacing w:val="-5"/>
                <w:sz w:val="24"/>
                <w:szCs w:val="24"/>
                <w:lang w:val="en-US" w:eastAsia="zh-CN"/>
              </w:rPr>
              <w:t>109.2</w:t>
            </w:r>
            <w:r>
              <w:rPr>
                <w:color w:val="auto"/>
                <w:spacing w:val="-5"/>
                <w:sz w:val="24"/>
                <w:szCs w:val="24"/>
              </w:rPr>
              <w:t>m</w:t>
            </w:r>
            <w:r>
              <w:rPr>
                <w:color w:val="auto"/>
                <w:spacing w:val="-5"/>
                <w:sz w:val="24"/>
                <w:szCs w:val="24"/>
                <w:vertAlign w:val="superscript"/>
              </w:rPr>
              <w:t>3</w:t>
            </w:r>
            <w:r>
              <w:rPr>
                <w:color w:val="auto"/>
                <w:spacing w:val="-5"/>
                <w:sz w:val="24"/>
                <w:szCs w:val="24"/>
              </w:rPr>
              <w:t>/a</w:t>
            </w:r>
          </w:p>
        </w:tc>
      </w:tr>
      <w:tr w14:paraId="2454D3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66B7876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6A1E81F4">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2713034A">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p>
        </w:tc>
        <w:tc>
          <w:tcPr>
            <w:tcW w:w="1752" w:type="dxa"/>
            <w:tcBorders>
              <w:tl2br w:val="nil"/>
              <w:tr2bl w:val="nil"/>
            </w:tcBorders>
            <w:vAlign w:val="center"/>
          </w:tcPr>
          <w:p w14:paraId="0D2B1DB8">
            <w:pPr>
              <w:jc w:val="center"/>
              <w:rPr>
                <w:rFonts w:hint="default" w:ascii="Times New Roman" w:hAnsi="Times New Roman" w:eastAsia="宋体" w:cs="Times New Roman"/>
                <w:color w:val="auto"/>
                <w:sz w:val="24"/>
                <w:szCs w:val="24"/>
              </w:rPr>
            </w:pPr>
            <w:r>
              <w:rPr>
                <w:rFonts w:hint="default" w:ascii="Times New Roman" w:hAnsi="Times New Roman" w:cs="Times New Roman"/>
                <w:color w:val="auto"/>
                <w:sz w:val="24"/>
                <w:szCs w:val="24"/>
              </w:rPr>
              <w:t>CODcr</w:t>
            </w:r>
          </w:p>
        </w:tc>
        <w:tc>
          <w:tcPr>
            <w:tcW w:w="1320" w:type="dxa"/>
            <w:gridSpan w:val="2"/>
            <w:tcBorders>
              <w:tl2br w:val="nil"/>
              <w:tr2bl w:val="nil"/>
            </w:tcBorders>
            <w:vAlign w:val="center"/>
          </w:tcPr>
          <w:p w14:paraId="5B8CACAE">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350</w:t>
            </w:r>
            <w:r>
              <w:rPr>
                <w:rFonts w:hint="default" w:ascii="Times New Roman" w:hAnsi="Times New Roman" w:eastAsia="宋体" w:cs="Times New Roman"/>
                <w:color w:val="auto"/>
                <w:sz w:val="24"/>
                <w:szCs w:val="24"/>
              </w:rPr>
              <w:t>mg/L</w:t>
            </w:r>
          </w:p>
        </w:tc>
        <w:tc>
          <w:tcPr>
            <w:tcW w:w="1127" w:type="dxa"/>
            <w:tcBorders>
              <w:tl2br w:val="nil"/>
              <w:tr2bl w:val="nil"/>
            </w:tcBorders>
            <w:vAlign w:val="center"/>
          </w:tcPr>
          <w:p w14:paraId="4BE69BC4">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0.038t/a</w:t>
            </w:r>
          </w:p>
        </w:tc>
        <w:tc>
          <w:tcPr>
            <w:tcW w:w="1166" w:type="dxa"/>
            <w:gridSpan w:val="2"/>
            <w:tcBorders>
              <w:tl2br w:val="nil"/>
              <w:tr2bl w:val="nil"/>
            </w:tcBorders>
            <w:vAlign w:val="center"/>
          </w:tcPr>
          <w:p w14:paraId="28D77EEA">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210</w:t>
            </w:r>
            <w:r>
              <w:rPr>
                <w:rFonts w:hint="default" w:ascii="Times New Roman" w:hAnsi="Times New Roman" w:eastAsia="宋体" w:cs="Times New Roman"/>
                <w:color w:val="auto"/>
                <w:sz w:val="24"/>
                <w:szCs w:val="24"/>
              </w:rPr>
              <w:t>mg/L</w:t>
            </w:r>
          </w:p>
        </w:tc>
        <w:tc>
          <w:tcPr>
            <w:tcW w:w="1149" w:type="dxa"/>
            <w:gridSpan w:val="2"/>
            <w:tcBorders>
              <w:tl2br w:val="nil"/>
              <w:tr2bl w:val="nil"/>
            </w:tcBorders>
            <w:vAlign w:val="center"/>
          </w:tcPr>
          <w:p w14:paraId="5899C265">
            <w:pPr>
              <w:jc w:val="center"/>
              <w:rPr>
                <w:rFonts w:hint="default" w:ascii="Times New Roman" w:hAnsi="Times New Roman" w:eastAsia="宋体" w:cs="Times New Roman"/>
                <w:color w:val="auto"/>
                <w:spacing w:val="-9"/>
                <w:sz w:val="24"/>
                <w:szCs w:val="24"/>
              </w:rPr>
            </w:pPr>
            <w:r>
              <w:rPr>
                <w:rFonts w:hint="eastAsia" w:cs="Times New Roman"/>
                <w:color w:val="auto"/>
                <w:sz w:val="24"/>
                <w:szCs w:val="24"/>
                <w:lang w:val="en-US" w:eastAsia="zh-CN"/>
              </w:rPr>
              <w:t>0.023t/a</w:t>
            </w:r>
          </w:p>
        </w:tc>
      </w:tr>
      <w:tr w14:paraId="6B087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73DB4E0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561FD0CE">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27D17735">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67A063A2">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eastAsia="zh-CN"/>
              </w:rPr>
              <w:t>石油类</w:t>
            </w:r>
          </w:p>
        </w:tc>
        <w:tc>
          <w:tcPr>
            <w:tcW w:w="1320" w:type="dxa"/>
            <w:gridSpan w:val="2"/>
            <w:tcBorders>
              <w:tl2br w:val="nil"/>
              <w:tr2bl w:val="nil"/>
            </w:tcBorders>
            <w:vAlign w:val="center"/>
          </w:tcPr>
          <w:p w14:paraId="497EFC2A">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50</w:t>
            </w:r>
            <w:r>
              <w:rPr>
                <w:rFonts w:hint="default" w:ascii="Times New Roman" w:hAnsi="Times New Roman" w:eastAsia="宋体" w:cs="Times New Roman"/>
                <w:color w:val="auto"/>
                <w:sz w:val="24"/>
                <w:szCs w:val="24"/>
              </w:rPr>
              <w:t>mg/L</w:t>
            </w:r>
          </w:p>
        </w:tc>
        <w:tc>
          <w:tcPr>
            <w:tcW w:w="1127" w:type="dxa"/>
            <w:tcBorders>
              <w:tl2br w:val="nil"/>
              <w:tr2bl w:val="nil"/>
            </w:tcBorders>
            <w:vAlign w:val="center"/>
          </w:tcPr>
          <w:p w14:paraId="7D972981">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0.0055t/a</w:t>
            </w:r>
          </w:p>
        </w:tc>
        <w:tc>
          <w:tcPr>
            <w:tcW w:w="1166" w:type="dxa"/>
            <w:gridSpan w:val="2"/>
            <w:tcBorders>
              <w:tl2br w:val="nil"/>
              <w:tr2bl w:val="nil"/>
            </w:tcBorders>
            <w:vAlign w:val="center"/>
          </w:tcPr>
          <w:p w14:paraId="0298CE01">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50</w:t>
            </w:r>
            <w:r>
              <w:rPr>
                <w:rFonts w:hint="default" w:ascii="Times New Roman" w:hAnsi="Times New Roman" w:eastAsia="宋体" w:cs="Times New Roman"/>
                <w:color w:val="auto"/>
                <w:sz w:val="24"/>
                <w:szCs w:val="24"/>
              </w:rPr>
              <w:t>mg/L</w:t>
            </w:r>
          </w:p>
        </w:tc>
        <w:tc>
          <w:tcPr>
            <w:tcW w:w="1149" w:type="dxa"/>
            <w:gridSpan w:val="2"/>
            <w:tcBorders>
              <w:tl2br w:val="nil"/>
              <w:tr2bl w:val="nil"/>
            </w:tcBorders>
            <w:vAlign w:val="center"/>
          </w:tcPr>
          <w:p w14:paraId="30B0454E">
            <w:pPr>
              <w:jc w:val="center"/>
              <w:rPr>
                <w:rFonts w:hint="default" w:ascii="Times New Roman" w:hAnsi="Times New Roman" w:eastAsia="宋体" w:cs="Times New Roman"/>
                <w:color w:val="auto"/>
                <w:spacing w:val="-9"/>
                <w:sz w:val="24"/>
                <w:szCs w:val="24"/>
              </w:rPr>
            </w:pPr>
            <w:r>
              <w:rPr>
                <w:rFonts w:hint="eastAsia" w:cs="Times New Roman"/>
                <w:color w:val="auto"/>
                <w:sz w:val="24"/>
                <w:szCs w:val="24"/>
                <w:lang w:val="en-US" w:eastAsia="zh-CN"/>
              </w:rPr>
              <w:t>0.0055t/a</w:t>
            </w:r>
          </w:p>
        </w:tc>
      </w:tr>
      <w:tr w14:paraId="510DBF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77F1C57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38941FDB">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1A69714D">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13EEBFCD">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SS</w:t>
            </w:r>
          </w:p>
        </w:tc>
        <w:tc>
          <w:tcPr>
            <w:tcW w:w="1320" w:type="dxa"/>
            <w:gridSpan w:val="2"/>
            <w:tcBorders>
              <w:tl2br w:val="nil"/>
              <w:tr2bl w:val="nil"/>
            </w:tcBorders>
            <w:vAlign w:val="center"/>
          </w:tcPr>
          <w:p w14:paraId="25E0B680">
            <w:pPr>
              <w:jc w:val="center"/>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350</w:t>
            </w:r>
            <w:r>
              <w:rPr>
                <w:rFonts w:hint="default" w:ascii="Times New Roman" w:hAnsi="Times New Roman" w:eastAsia="宋体" w:cs="Times New Roman"/>
                <w:color w:val="auto"/>
                <w:sz w:val="24"/>
                <w:szCs w:val="24"/>
              </w:rPr>
              <w:t>mg/L</w:t>
            </w:r>
          </w:p>
        </w:tc>
        <w:tc>
          <w:tcPr>
            <w:tcW w:w="1127" w:type="dxa"/>
            <w:tcBorders>
              <w:tl2br w:val="nil"/>
              <w:tr2bl w:val="nil"/>
            </w:tcBorders>
            <w:vAlign w:val="center"/>
          </w:tcPr>
          <w:p w14:paraId="00D8E1A8">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0.038t/a</w:t>
            </w:r>
          </w:p>
        </w:tc>
        <w:tc>
          <w:tcPr>
            <w:tcW w:w="1166" w:type="dxa"/>
            <w:gridSpan w:val="2"/>
            <w:tcBorders>
              <w:tl2br w:val="nil"/>
              <w:tr2bl w:val="nil"/>
            </w:tcBorders>
            <w:vAlign w:val="center"/>
          </w:tcPr>
          <w:p w14:paraId="6CDD27F5">
            <w:pPr>
              <w:jc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140</w:t>
            </w:r>
            <w:r>
              <w:rPr>
                <w:rFonts w:hint="default" w:ascii="Times New Roman" w:hAnsi="Times New Roman" w:eastAsia="宋体" w:cs="Times New Roman"/>
                <w:color w:val="auto"/>
                <w:sz w:val="24"/>
                <w:szCs w:val="24"/>
              </w:rPr>
              <w:t>mg/L</w:t>
            </w:r>
          </w:p>
        </w:tc>
        <w:tc>
          <w:tcPr>
            <w:tcW w:w="1149" w:type="dxa"/>
            <w:gridSpan w:val="2"/>
            <w:tcBorders>
              <w:tl2br w:val="nil"/>
              <w:tr2bl w:val="nil"/>
            </w:tcBorders>
            <w:vAlign w:val="center"/>
          </w:tcPr>
          <w:p w14:paraId="00AE138F">
            <w:pPr>
              <w:jc w:val="center"/>
              <w:rPr>
                <w:rFonts w:hint="default" w:ascii="Times New Roman" w:hAnsi="Times New Roman" w:eastAsia="宋体" w:cs="Times New Roman"/>
                <w:color w:val="auto"/>
                <w:spacing w:val="-9"/>
                <w:sz w:val="24"/>
                <w:szCs w:val="24"/>
              </w:rPr>
            </w:pPr>
            <w:r>
              <w:rPr>
                <w:rFonts w:hint="eastAsia" w:cs="Times New Roman"/>
                <w:color w:val="auto"/>
                <w:sz w:val="24"/>
                <w:szCs w:val="24"/>
                <w:lang w:val="en-US" w:eastAsia="zh-CN"/>
              </w:rPr>
              <w:t>0.015t/a</w:t>
            </w:r>
          </w:p>
        </w:tc>
      </w:tr>
      <w:tr w14:paraId="5E34E7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restart"/>
            <w:tcBorders>
              <w:tl2br w:val="nil"/>
              <w:tr2bl w:val="nil"/>
            </w:tcBorders>
            <w:vAlign w:val="center"/>
          </w:tcPr>
          <w:p w14:paraId="29E2D6C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固</w:t>
            </w:r>
          </w:p>
          <w:p w14:paraId="3CD45E6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体</w:t>
            </w:r>
          </w:p>
          <w:p w14:paraId="246340D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废</w:t>
            </w:r>
          </w:p>
          <w:p w14:paraId="098CE8B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物</w:t>
            </w:r>
          </w:p>
        </w:tc>
        <w:tc>
          <w:tcPr>
            <w:tcW w:w="492" w:type="dxa"/>
            <w:vMerge w:val="restart"/>
            <w:tcBorders>
              <w:tl2br w:val="nil"/>
              <w:tr2bl w:val="nil"/>
            </w:tcBorders>
            <w:vAlign w:val="center"/>
          </w:tcPr>
          <w:p w14:paraId="39A616E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施工期</w:t>
            </w:r>
          </w:p>
        </w:tc>
        <w:tc>
          <w:tcPr>
            <w:tcW w:w="1572" w:type="dxa"/>
            <w:vMerge w:val="restart"/>
            <w:tcBorders>
              <w:tl2br w:val="nil"/>
              <w:tr2bl w:val="nil"/>
            </w:tcBorders>
            <w:vAlign w:val="center"/>
          </w:tcPr>
          <w:p w14:paraId="2F7E6EE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施工场地</w:t>
            </w:r>
          </w:p>
        </w:tc>
        <w:tc>
          <w:tcPr>
            <w:tcW w:w="1752" w:type="dxa"/>
            <w:tcBorders>
              <w:tl2br w:val="nil"/>
              <w:tr2bl w:val="nil"/>
            </w:tcBorders>
            <w:vAlign w:val="center"/>
          </w:tcPr>
          <w:p w14:paraId="2758E4B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建筑</w:t>
            </w:r>
            <w:r>
              <w:rPr>
                <w:rFonts w:hint="default" w:ascii="Times New Roman" w:hAnsi="Times New Roman" w:eastAsia="宋体" w:cs="Times New Roman"/>
                <w:color w:val="auto"/>
                <w:sz w:val="24"/>
                <w:szCs w:val="24"/>
              </w:rPr>
              <w:t>垃圾</w:t>
            </w:r>
          </w:p>
        </w:tc>
        <w:tc>
          <w:tcPr>
            <w:tcW w:w="2447" w:type="dxa"/>
            <w:gridSpan w:val="3"/>
            <w:tcBorders>
              <w:tl2br w:val="nil"/>
              <w:tr2bl w:val="nil"/>
            </w:tcBorders>
            <w:vAlign w:val="center"/>
          </w:tcPr>
          <w:p w14:paraId="78902EA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2565.67t</w:t>
            </w:r>
          </w:p>
        </w:tc>
        <w:tc>
          <w:tcPr>
            <w:tcW w:w="2315" w:type="dxa"/>
            <w:gridSpan w:val="4"/>
            <w:tcBorders>
              <w:tl2br w:val="nil"/>
              <w:tr2bl w:val="nil"/>
            </w:tcBorders>
            <w:vAlign w:val="center"/>
          </w:tcPr>
          <w:p w14:paraId="53DCD1E5">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w:t>
            </w:r>
          </w:p>
        </w:tc>
      </w:tr>
      <w:tr w14:paraId="0A0C8E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596D750E">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32A394C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2AFB2DC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787A3B1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生活垃圾</w:t>
            </w:r>
          </w:p>
        </w:tc>
        <w:tc>
          <w:tcPr>
            <w:tcW w:w="2447" w:type="dxa"/>
            <w:gridSpan w:val="3"/>
            <w:tcBorders>
              <w:tl2br w:val="nil"/>
              <w:tr2bl w:val="nil"/>
            </w:tcBorders>
            <w:vAlign w:val="center"/>
          </w:tcPr>
          <w:p w14:paraId="7ACD5BA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30.66t</w:t>
            </w:r>
          </w:p>
        </w:tc>
        <w:tc>
          <w:tcPr>
            <w:tcW w:w="2315" w:type="dxa"/>
            <w:gridSpan w:val="4"/>
            <w:tcBorders>
              <w:tl2br w:val="nil"/>
              <w:tr2bl w:val="nil"/>
            </w:tcBorders>
            <w:vAlign w:val="center"/>
          </w:tcPr>
          <w:p w14:paraId="7636FDF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w:t>
            </w:r>
          </w:p>
        </w:tc>
      </w:tr>
      <w:tr w14:paraId="3721C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7828FFDF">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01EC2EFB">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vMerge w:val="continue"/>
            <w:tcBorders>
              <w:tl2br w:val="nil"/>
              <w:tr2bl w:val="nil"/>
            </w:tcBorders>
            <w:vAlign w:val="center"/>
          </w:tcPr>
          <w:p w14:paraId="3E49FE3E">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752" w:type="dxa"/>
            <w:tcBorders>
              <w:tl2br w:val="nil"/>
              <w:tr2bl w:val="nil"/>
            </w:tcBorders>
            <w:vAlign w:val="center"/>
          </w:tcPr>
          <w:p w14:paraId="3AE24AA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挖方</w:t>
            </w:r>
          </w:p>
        </w:tc>
        <w:tc>
          <w:tcPr>
            <w:tcW w:w="2447" w:type="dxa"/>
            <w:gridSpan w:val="3"/>
            <w:tcBorders>
              <w:tl2br w:val="nil"/>
              <w:tr2bl w:val="nil"/>
            </w:tcBorders>
            <w:vAlign w:val="center"/>
          </w:tcPr>
          <w:p w14:paraId="0133168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vertAlign w:val="baseline"/>
                <w:lang w:val="en-US" w:eastAsia="zh-CN"/>
              </w:rPr>
            </w:pPr>
            <w:r>
              <w:rPr>
                <w:rFonts w:hint="eastAsia" w:cs="Times New Roman"/>
                <w:color w:val="auto"/>
                <w:sz w:val="24"/>
                <w:szCs w:val="24"/>
                <w:lang w:val="en-US" w:eastAsia="zh-CN"/>
              </w:rPr>
              <w:t>135163.035</w:t>
            </w:r>
            <w:r>
              <w:rPr>
                <w:rFonts w:hint="default" w:ascii="Times New Roman" w:hAnsi="Times New Roman" w:cs="Times New Roman"/>
                <w:color w:val="auto"/>
                <w:sz w:val="24"/>
                <w:szCs w:val="24"/>
                <w:vertAlign w:val="baseline"/>
                <w:lang w:val="en-US" w:eastAsia="zh-CN"/>
              </w:rPr>
              <w:t>m</w:t>
            </w:r>
            <w:r>
              <w:rPr>
                <w:rFonts w:hint="default" w:ascii="Times New Roman" w:hAnsi="Times New Roman" w:cs="Times New Roman"/>
                <w:color w:val="auto"/>
                <w:sz w:val="24"/>
                <w:szCs w:val="24"/>
                <w:vertAlign w:val="superscript"/>
                <w:lang w:val="en-US" w:eastAsia="zh-CN"/>
              </w:rPr>
              <w:t>3</w:t>
            </w:r>
          </w:p>
        </w:tc>
        <w:tc>
          <w:tcPr>
            <w:tcW w:w="2315" w:type="dxa"/>
            <w:gridSpan w:val="4"/>
            <w:tcBorders>
              <w:tl2br w:val="nil"/>
              <w:tr2bl w:val="nil"/>
            </w:tcBorders>
            <w:vAlign w:val="center"/>
          </w:tcPr>
          <w:p w14:paraId="151E404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w:t>
            </w:r>
          </w:p>
        </w:tc>
      </w:tr>
      <w:tr w14:paraId="55959E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6CCBF350">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restart"/>
            <w:tcBorders>
              <w:tl2br w:val="nil"/>
              <w:tr2bl w:val="nil"/>
            </w:tcBorders>
            <w:vAlign w:val="center"/>
          </w:tcPr>
          <w:p w14:paraId="477DF4B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营运期</w:t>
            </w:r>
          </w:p>
        </w:tc>
        <w:tc>
          <w:tcPr>
            <w:tcW w:w="1572" w:type="dxa"/>
            <w:tcBorders>
              <w:tl2br w:val="nil"/>
              <w:tr2bl w:val="nil"/>
            </w:tcBorders>
            <w:vAlign w:val="center"/>
          </w:tcPr>
          <w:p w14:paraId="7472BF5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住宅楼</w:t>
            </w:r>
          </w:p>
        </w:tc>
        <w:tc>
          <w:tcPr>
            <w:tcW w:w="1752" w:type="dxa"/>
            <w:tcBorders>
              <w:tl2br w:val="nil"/>
              <w:tr2bl w:val="nil"/>
            </w:tcBorders>
            <w:vAlign w:val="center"/>
          </w:tcPr>
          <w:p w14:paraId="69C5D9F5">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居民</w:t>
            </w:r>
            <w:r>
              <w:rPr>
                <w:rFonts w:hint="default" w:ascii="Times New Roman" w:hAnsi="Times New Roman" w:eastAsia="宋体" w:cs="Times New Roman"/>
                <w:color w:val="auto"/>
                <w:sz w:val="24"/>
                <w:szCs w:val="24"/>
              </w:rPr>
              <w:t>生活垃圾</w:t>
            </w:r>
          </w:p>
        </w:tc>
        <w:tc>
          <w:tcPr>
            <w:tcW w:w="2447" w:type="dxa"/>
            <w:gridSpan w:val="3"/>
            <w:tcBorders>
              <w:tl2br w:val="nil"/>
              <w:tr2bl w:val="nil"/>
            </w:tcBorders>
            <w:vAlign w:val="center"/>
          </w:tcPr>
          <w:p w14:paraId="79F6440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hAnsi="宋体"/>
                <w:bCs/>
                <w:color w:val="auto"/>
                <w:sz w:val="24"/>
                <w:szCs w:val="24"/>
                <w:lang w:val="en-US" w:eastAsia="zh-CN"/>
              </w:rPr>
              <w:t>385.44</w:t>
            </w:r>
            <w:r>
              <w:rPr>
                <w:rFonts w:hint="eastAsia" w:cs="Times New Roman"/>
                <w:color w:val="auto"/>
                <w:sz w:val="24"/>
                <w:szCs w:val="24"/>
                <w:lang w:val="en-US" w:eastAsia="zh-CN"/>
              </w:rPr>
              <w:t>t/a</w:t>
            </w:r>
          </w:p>
        </w:tc>
        <w:tc>
          <w:tcPr>
            <w:tcW w:w="2315" w:type="dxa"/>
            <w:gridSpan w:val="4"/>
            <w:tcBorders>
              <w:tl2br w:val="nil"/>
              <w:tr2bl w:val="nil"/>
            </w:tcBorders>
            <w:vAlign w:val="center"/>
          </w:tcPr>
          <w:p w14:paraId="216F651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w:t>
            </w:r>
          </w:p>
        </w:tc>
      </w:tr>
      <w:tr w14:paraId="311E3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vMerge w:val="continue"/>
            <w:tcBorders>
              <w:tl2br w:val="nil"/>
              <w:tr2bl w:val="nil"/>
            </w:tcBorders>
            <w:vAlign w:val="center"/>
          </w:tcPr>
          <w:p w14:paraId="6F269621">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492" w:type="dxa"/>
            <w:vMerge w:val="continue"/>
            <w:tcBorders>
              <w:tl2br w:val="nil"/>
              <w:tr2bl w:val="nil"/>
            </w:tcBorders>
            <w:vAlign w:val="center"/>
          </w:tcPr>
          <w:p w14:paraId="27BB89DA">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p>
        </w:tc>
        <w:tc>
          <w:tcPr>
            <w:tcW w:w="1572" w:type="dxa"/>
            <w:tcBorders>
              <w:bottom w:val="single" w:color="000000" w:sz="4" w:space="0"/>
              <w:tl2br w:val="nil"/>
              <w:tr2bl w:val="nil"/>
            </w:tcBorders>
            <w:vAlign w:val="center"/>
          </w:tcPr>
          <w:p w14:paraId="0B79A85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商铺及</w:t>
            </w:r>
          </w:p>
          <w:p w14:paraId="7A873CF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社区管理</w:t>
            </w:r>
          </w:p>
          <w:p w14:paraId="132DD70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中心</w:t>
            </w:r>
          </w:p>
        </w:tc>
        <w:tc>
          <w:tcPr>
            <w:tcW w:w="1752" w:type="dxa"/>
            <w:tcBorders>
              <w:bottom w:val="single" w:color="000000" w:sz="4" w:space="0"/>
              <w:tl2br w:val="nil"/>
              <w:tr2bl w:val="nil"/>
            </w:tcBorders>
            <w:vAlign w:val="center"/>
          </w:tcPr>
          <w:p w14:paraId="04A70F4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商铺及</w:t>
            </w:r>
          </w:p>
          <w:p w14:paraId="1003EB2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eastAsia" w:cs="Times New Roman"/>
                <w:bCs/>
                <w:color w:val="auto"/>
                <w:sz w:val="24"/>
                <w:szCs w:val="24"/>
                <w:lang w:eastAsia="zh-CN"/>
              </w:rPr>
              <w:t>配套公建设施用房</w:t>
            </w:r>
            <w:r>
              <w:rPr>
                <w:rFonts w:hint="eastAsia" w:ascii="Times New Roman" w:hAnsi="Times New Roman" w:eastAsia="宋体" w:cs="Times New Roman"/>
                <w:color w:val="auto"/>
                <w:sz w:val="24"/>
                <w:szCs w:val="24"/>
                <w:lang w:eastAsia="zh-CN"/>
              </w:rPr>
              <w:t>垃圾</w:t>
            </w:r>
          </w:p>
        </w:tc>
        <w:tc>
          <w:tcPr>
            <w:tcW w:w="2447" w:type="dxa"/>
            <w:gridSpan w:val="3"/>
            <w:tcBorders>
              <w:bottom w:val="single" w:color="000000" w:sz="4" w:space="0"/>
              <w:tl2br w:val="nil"/>
              <w:tr2bl w:val="nil"/>
            </w:tcBorders>
            <w:vAlign w:val="center"/>
          </w:tcPr>
          <w:p w14:paraId="50BD483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hAnsi="宋体"/>
                <w:bCs/>
                <w:color w:val="auto"/>
                <w:sz w:val="24"/>
                <w:szCs w:val="24"/>
                <w:lang w:val="en-US" w:eastAsia="zh-CN"/>
              </w:rPr>
              <w:t>121.983</w:t>
            </w:r>
            <w:r>
              <w:rPr>
                <w:rFonts w:hint="eastAsia" w:cs="Times New Roman"/>
                <w:color w:val="auto"/>
                <w:sz w:val="24"/>
                <w:szCs w:val="24"/>
                <w:lang w:val="en-US" w:eastAsia="zh-CN"/>
              </w:rPr>
              <w:t>t/a</w:t>
            </w:r>
          </w:p>
        </w:tc>
        <w:tc>
          <w:tcPr>
            <w:tcW w:w="2315" w:type="dxa"/>
            <w:gridSpan w:val="4"/>
            <w:tcBorders>
              <w:bottom w:val="single" w:color="000000" w:sz="4" w:space="0"/>
              <w:tl2br w:val="nil"/>
              <w:tr2bl w:val="nil"/>
            </w:tcBorders>
            <w:vAlign w:val="center"/>
          </w:tcPr>
          <w:p w14:paraId="2B793454">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w:t>
            </w:r>
          </w:p>
        </w:tc>
      </w:tr>
      <w:tr w14:paraId="693CD4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3" w:type="dxa"/>
            <w:tcBorders>
              <w:tl2br w:val="nil"/>
              <w:tr2bl w:val="nil"/>
            </w:tcBorders>
            <w:vAlign w:val="center"/>
          </w:tcPr>
          <w:p w14:paraId="2AFB62A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噪声</w:t>
            </w:r>
          </w:p>
        </w:tc>
        <w:tc>
          <w:tcPr>
            <w:tcW w:w="8578" w:type="dxa"/>
            <w:gridSpan w:val="10"/>
            <w:tcBorders>
              <w:tl2br w:val="nil"/>
              <w:tr2bl w:val="nil"/>
            </w:tcBorders>
            <w:vAlign w:val="center"/>
          </w:tcPr>
          <w:p w14:paraId="3689B51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施工期：主要来自各种施工机械设备和运输车辆在运行过程，噪声级在75~</w:t>
            </w:r>
            <w:r>
              <w:rPr>
                <w:rFonts w:hint="eastAsia" w:ascii="Times New Roman" w:hAnsi="Times New Roman" w:eastAsia="宋体" w:cs="Times New Roman"/>
                <w:color w:val="auto"/>
                <w:sz w:val="24"/>
                <w:szCs w:val="24"/>
                <w:lang w:val="en-US" w:eastAsia="zh-CN"/>
              </w:rPr>
              <w:t>95</w:t>
            </w:r>
            <w:r>
              <w:rPr>
                <w:rFonts w:hint="default" w:ascii="Times New Roman" w:hAnsi="Times New Roman" w:eastAsia="宋体" w:cs="Times New Roman"/>
                <w:color w:val="auto"/>
                <w:sz w:val="24"/>
                <w:szCs w:val="24"/>
              </w:rPr>
              <w:t>dB(A)。</w:t>
            </w:r>
          </w:p>
          <w:p w14:paraId="32137DC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营运期：主要来自变压器、水泵、地下车库风机等设备产生的噪声，以及机动车噪声、商业区域噪声，噪声</w:t>
            </w:r>
            <w:r>
              <w:rPr>
                <w:rFonts w:hint="eastAsia" w:ascii="Times New Roman" w:hAnsi="Times New Roman" w:eastAsia="宋体" w:cs="Times New Roman"/>
                <w:color w:val="auto"/>
                <w:sz w:val="24"/>
                <w:szCs w:val="24"/>
                <w:lang w:eastAsia="zh-CN"/>
              </w:rPr>
              <w:t>级</w:t>
            </w:r>
            <w:r>
              <w:rPr>
                <w:rFonts w:hint="default" w:ascii="Times New Roman" w:hAnsi="Times New Roman" w:eastAsia="宋体" w:cs="Times New Roman"/>
                <w:color w:val="auto"/>
                <w:sz w:val="24"/>
                <w:szCs w:val="24"/>
              </w:rPr>
              <w:t>为65~</w:t>
            </w:r>
            <w:r>
              <w:rPr>
                <w:rFonts w:hint="eastAsia" w:ascii="Times New Roman" w:hAnsi="Times New Roman" w:eastAsia="宋体" w:cs="Times New Roman"/>
                <w:color w:val="auto"/>
                <w:sz w:val="24"/>
                <w:szCs w:val="24"/>
                <w:lang w:val="en-US" w:eastAsia="zh-CN"/>
              </w:rPr>
              <w:t>8</w:t>
            </w:r>
            <w:r>
              <w:rPr>
                <w:rFonts w:hint="default" w:ascii="Times New Roman" w:hAnsi="Times New Roman" w:eastAsia="宋体" w:cs="Times New Roman"/>
                <w:color w:val="auto"/>
                <w:sz w:val="24"/>
                <w:szCs w:val="24"/>
              </w:rPr>
              <w:t>5dB(A)。</w:t>
            </w:r>
          </w:p>
        </w:tc>
      </w:tr>
      <w:tr w14:paraId="7CF0E0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1" w:type="dxa"/>
            <w:gridSpan w:val="11"/>
            <w:tcBorders>
              <w:tl2br w:val="nil"/>
              <w:tr2bl w:val="nil"/>
            </w:tcBorders>
            <w:vAlign w:val="center"/>
          </w:tcPr>
          <w:p w14:paraId="18B4EC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Times New Roman" w:hAnsi="Times New Roman" w:eastAsia="宋体" w:cs="Times New Roman"/>
                <w:b/>
                <w:bCs/>
                <w:color w:val="auto"/>
                <w:sz w:val="30"/>
                <w:szCs w:val="30"/>
              </w:rPr>
            </w:pPr>
            <w:r>
              <w:rPr>
                <w:rFonts w:hint="default" w:ascii="Times New Roman" w:hAnsi="Times New Roman" w:eastAsia="宋体" w:cs="Times New Roman"/>
                <w:b/>
                <w:bCs/>
                <w:color w:val="auto"/>
                <w:sz w:val="30"/>
                <w:szCs w:val="30"/>
              </w:rPr>
              <w:t>主要生态影响</w:t>
            </w:r>
          </w:p>
          <w:p w14:paraId="24CBB01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left"/>
              <w:textAlignment w:val="auto"/>
              <w:outlineLvl w:val="9"/>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t>一、施工期生态环境影响分析</w:t>
            </w:r>
          </w:p>
          <w:p w14:paraId="2FA1EBE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本项目的建设将进行土地平整、开挖。一方面破坏当地的景观、易引起水土流失，同时建设项目所在地的地表景观也受到破坏，地表裸露，对风力、水力作用明显，易沙化扬尘。但是随着施工期的结束，地表将大量种植植物，对地表环境影响即可消失。</w:t>
            </w:r>
          </w:p>
          <w:p w14:paraId="090A0AB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根据实地踏勘和调查，项目建设地为居民住宅地。该区域未发现受国家保护的野生动植物，项目建设不会对区域生态环境带来明显的影响。</w:t>
            </w:r>
          </w:p>
          <w:p w14:paraId="195B3C0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施工人员的施工活动和生活活动对周边环境卫生产生一定的影响，施工人员日常生活产生的污水如随意排放，则将对附近地表水有较大的危害性，各类生活垃圾，尤其是不可降解的塑料对周围环境的影响不可忽视。因此要加强管理，各种废弃物要定点堆放，建筑垃圾要及时清运，生活垃圾由环卫部门进行清运。</w:t>
            </w:r>
          </w:p>
          <w:p w14:paraId="6990DFF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left"/>
              <w:textAlignment w:val="auto"/>
              <w:outlineLvl w:val="9"/>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t>二、营运期生态环境影响分析</w:t>
            </w:r>
          </w:p>
          <w:p w14:paraId="6FA8D88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项目建成后，除部分附属设施、道路外，均被草坪、树木等绿色植被覆盖，建成后有利于对地表径流水的吸收，有利于水土保持。</w:t>
            </w:r>
          </w:p>
          <w:p w14:paraId="4EE54E8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项目建成后，通过对项目精心设计建造，将会带来明显的生态景观效应。</w:t>
            </w:r>
          </w:p>
        </w:tc>
      </w:tr>
    </w:tbl>
    <w:p w14:paraId="30DB00C6">
      <w:pPr>
        <w:pStyle w:val="2"/>
        <w:rPr>
          <w:rFonts w:hint="eastAsia"/>
          <w:color w:val="auto"/>
        </w:rPr>
      </w:pPr>
      <w:bookmarkStart w:id="53" w:name="_Toc6541"/>
      <w:bookmarkStart w:id="54" w:name="_Toc4730"/>
      <w:bookmarkStart w:id="55" w:name="_Toc470801622"/>
      <w:bookmarkStart w:id="56" w:name="_Toc1211"/>
      <w:r>
        <w:rPr>
          <w:color w:val="auto"/>
        </w:rPr>
        <w:t>七、环境影响分析</w:t>
      </w:r>
      <w:bookmarkEnd w:id="53"/>
      <w:bookmarkEnd w:id="54"/>
      <w:bookmarkEnd w:id="55"/>
      <w:bookmarkEnd w:id="56"/>
    </w:p>
    <w:tbl>
      <w:tblPr>
        <w:tblStyle w:val="16"/>
        <w:tblW w:w="9071"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071"/>
      </w:tblGrid>
      <w:tr w14:paraId="78545FBA">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jc w:val="center"/>
        </w:trPr>
        <w:tc>
          <w:tcPr>
            <w:tcW w:w="9071" w:type="dxa"/>
            <w:tcBorders>
              <w:tl2br w:val="nil"/>
              <w:tr2bl w:val="nil"/>
            </w:tcBorders>
            <w:vAlign w:val="top"/>
          </w:tcPr>
          <w:p w14:paraId="2D6DCB0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ascii="Times New Roman" w:hAnsi="Times New Roman" w:cs="Times New Roman"/>
                <w:b/>
                <w:bCs/>
                <w:color w:val="auto"/>
                <w:sz w:val="28"/>
                <w:szCs w:val="28"/>
              </w:rPr>
            </w:pPr>
            <w:r>
              <w:rPr>
                <w:rFonts w:hint="eastAsia" w:cs="Times New Roman"/>
                <w:b/>
                <w:bCs/>
                <w:color w:val="auto"/>
                <w:sz w:val="28"/>
                <w:szCs w:val="28"/>
                <w:lang w:eastAsia="zh-CN"/>
              </w:rPr>
              <w:t>一、</w:t>
            </w:r>
            <w:r>
              <w:rPr>
                <w:rFonts w:ascii="Times New Roman" w:hAnsi="Times New Roman" w:cs="Times New Roman"/>
                <w:b/>
                <w:bCs/>
                <w:color w:val="auto"/>
                <w:sz w:val="28"/>
                <w:szCs w:val="28"/>
              </w:rPr>
              <w:t>施工期环境影响分析</w:t>
            </w:r>
          </w:p>
          <w:p w14:paraId="583BF66A">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b/>
                <w:bCs/>
                <w:color w:val="auto"/>
                <w:sz w:val="24"/>
                <w:szCs w:val="24"/>
              </w:rPr>
            </w:pPr>
            <w:r>
              <w:rPr>
                <w:rFonts w:ascii="Times New Roman" w:hAnsi="Times New Roman" w:cs="Times New Roman"/>
                <w:color w:val="auto"/>
                <w:sz w:val="24"/>
                <w:szCs w:val="24"/>
              </w:rPr>
              <w:t>施工期对环境的影响是暂时性的，施工结束后受影响的环境要素大多可以恢复到现状水平。具体内容如下所述：</w:t>
            </w:r>
          </w:p>
          <w:p w14:paraId="2DA035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b/>
                <w:bCs/>
                <w:color w:val="auto"/>
                <w:sz w:val="24"/>
                <w:szCs w:val="24"/>
              </w:rPr>
            </w:pPr>
            <w:r>
              <w:rPr>
                <w:rFonts w:ascii="Times New Roman" w:hAnsi="Times New Roman" w:cs="Times New Roman"/>
                <w:b/>
                <w:bCs/>
                <w:color w:val="auto"/>
                <w:sz w:val="24"/>
                <w:szCs w:val="24"/>
              </w:rPr>
              <w:t>1、大气环境影响分析</w:t>
            </w:r>
          </w:p>
          <w:p w14:paraId="797AC803">
            <w:pPr>
              <w:keepNext w:val="0"/>
              <w:keepLines w:val="0"/>
              <w:pageBreakBefore w:val="0"/>
              <w:kinsoku/>
              <w:wordWrap/>
              <w:overflowPunct/>
              <w:bidi w:val="0"/>
              <w:adjustRightInd/>
              <w:snapToGrid/>
              <w:spacing w:line="360" w:lineRule="auto"/>
              <w:ind w:left="0" w:leftChars="0" w:right="0" w:rightChars="0" w:firstLine="482"/>
              <w:outlineLvl w:val="9"/>
              <w:rPr>
                <w:rFonts w:ascii="Times New Roman" w:hAnsi="Times New Roman" w:cs="Times New Roman"/>
                <w:color w:val="auto"/>
                <w:sz w:val="24"/>
                <w:szCs w:val="24"/>
              </w:rPr>
            </w:pPr>
            <w:r>
              <w:rPr>
                <w:rFonts w:ascii="Times New Roman" w:hAnsi="Times New Roman" w:cs="Times New Roman"/>
                <w:color w:val="auto"/>
                <w:sz w:val="24"/>
                <w:szCs w:val="24"/>
              </w:rPr>
              <w:t>本项目在建设期间产生的大气污染物主要为施工</w:t>
            </w:r>
            <w:r>
              <w:rPr>
                <w:rFonts w:hint="eastAsia" w:ascii="Times New Roman" w:hAnsi="Times New Roman" w:cs="Times New Roman"/>
                <w:color w:val="auto"/>
                <w:sz w:val="24"/>
                <w:szCs w:val="24"/>
                <w:lang w:eastAsia="zh-CN"/>
              </w:rPr>
              <w:t>扬</w:t>
            </w:r>
            <w:r>
              <w:rPr>
                <w:rFonts w:ascii="Times New Roman" w:hAnsi="Times New Roman" w:cs="Times New Roman"/>
                <w:color w:val="auto"/>
                <w:sz w:val="24"/>
                <w:szCs w:val="24"/>
              </w:rPr>
              <w:t>尘、燃油废气及装修废气。</w:t>
            </w:r>
          </w:p>
          <w:p w14:paraId="784FD9BF">
            <w:pPr>
              <w:keepNext w:val="0"/>
              <w:keepLines w:val="0"/>
              <w:pageBreakBefore w:val="0"/>
              <w:kinsoku/>
              <w:wordWrap/>
              <w:overflowPunct/>
              <w:bidi w:val="0"/>
              <w:adjustRightInd/>
              <w:snapToGrid/>
              <w:spacing w:line="360" w:lineRule="auto"/>
              <w:ind w:left="0" w:leftChars="0" w:right="0" w:rightChars="0" w:firstLine="482"/>
              <w:outlineLvl w:val="9"/>
              <w:rPr>
                <w:rFonts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1.1、</w:t>
            </w:r>
            <w:r>
              <w:rPr>
                <w:rFonts w:ascii="Times New Roman" w:hAnsi="Times New Roman" w:cs="Times New Roman"/>
                <w:color w:val="auto"/>
                <w:sz w:val="24"/>
                <w:szCs w:val="24"/>
              </w:rPr>
              <w:t>施工</w:t>
            </w:r>
            <w:r>
              <w:rPr>
                <w:rFonts w:hint="eastAsia" w:ascii="Times New Roman" w:hAnsi="Times New Roman" w:cs="Times New Roman"/>
                <w:color w:val="auto"/>
                <w:sz w:val="24"/>
                <w:szCs w:val="24"/>
                <w:lang w:eastAsia="zh-CN"/>
              </w:rPr>
              <w:t>扬尘</w:t>
            </w:r>
          </w:p>
          <w:p w14:paraId="3AF81702">
            <w:pPr>
              <w:keepNext w:val="0"/>
              <w:keepLines w:val="0"/>
              <w:pageBreakBefore w:val="0"/>
              <w:kinsoku/>
              <w:wordWrap/>
              <w:overflowPunct/>
              <w:bidi w:val="0"/>
              <w:adjustRightInd/>
              <w:snapToGrid/>
              <w:spacing w:line="360" w:lineRule="auto"/>
              <w:ind w:left="0" w:leftChars="0" w:right="0" w:rightChars="0" w:firstLine="482"/>
              <w:outlineLvl w:val="9"/>
              <w:rPr>
                <w:rFonts w:ascii="Times New Roman" w:hAnsi="Times New Roman" w:cs="Times New Roman"/>
                <w:color w:val="auto"/>
                <w:sz w:val="24"/>
                <w:szCs w:val="24"/>
              </w:rPr>
            </w:pPr>
            <w:r>
              <w:rPr>
                <w:rFonts w:ascii="Times New Roman" w:hAnsi="Times New Roman" w:cs="Times New Roman"/>
                <w:color w:val="auto"/>
                <w:sz w:val="24"/>
                <w:szCs w:val="24"/>
              </w:rPr>
              <w:t>施工过程中造成大气污染的主要产生源有：施工开挖及运输车辆、施工机械行驶带来的扬尘；施工建筑材料（水泥、石灰、砂石料）的装卸、运输、堆砌过程以及开挖弃土的堆砌、运输过程中造成扬起和洒落等。本评价主要针对堆场扬尘和车辆行驶扬尘进行分析。</w:t>
            </w:r>
          </w:p>
          <w:p w14:paraId="1DB9790A">
            <w:pPr>
              <w:keepNext w:val="0"/>
              <w:keepLines w:val="0"/>
              <w:pageBreakBefore w:val="0"/>
              <w:kinsoku/>
              <w:wordWrap/>
              <w:overflowPunct/>
              <w:bidi w:val="0"/>
              <w:adjustRightInd/>
              <w:snapToGrid/>
              <w:spacing w:line="360" w:lineRule="auto"/>
              <w:ind w:left="0" w:leftChars="0" w:right="0" w:rightChars="0" w:firstLine="482"/>
              <w:outlineLvl w:val="9"/>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1</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车辆行驶扬尘</w:t>
            </w:r>
          </w:p>
          <w:p w14:paraId="2BE8ECD5">
            <w:pPr>
              <w:keepNext w:val="0"/>
              <w:keepLines w:val="0"/>
              <w:pageBreakBefore w:val="0"/>
              <w:kinsoku/>
              <w:wordWrap/>
              <w:overflowPunct/>
              <w:bidi w:val="0"/>
              <w:adjustRightInd/>
              <w:snapToGrid/>
              <w:spacing w:line="360" w:lineRule="auto"/>
              <w:ind w:left="0" w:leftChars="0" w:right="0" w:rightChars="0" w:firstLine="482"/>
              <w:outlineLvl w:val="9"/>
              <w:rPr>
                <w:rFonts w:ascii="Times New Roman" w:hAnsi="Times New Roman" w:cs="Times New Roman"/>
                <w:color w:val="auto"/>
                <w:sz w:val="24"/>
                <w:szCs w:val="24"/>
              </w:rPr>
            </w:pPr>
            <w:r>
              <w:rPr>
                <w:rFonts w:ascii="Times New Roman" w:hAnsi="Times New Roman" w:cs="Times New Roman"/>
                <w:color w:val="auto"/>
                <w:sz w:val="24"/>
                <w:szCs w:val="24"/>
              </w:rPr>
              <w:t>车辆行驶产生的扬尘，在完全干燥情况下，可按下列经验公式计算：</w:t>
            </w:r>
          </w:p>
          <w:p w14:paraId="6E0A7439">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Q=0.123×(V/5) ×(W/6.8)</w:t>
            </w:r>
            <w:r>
              <w:rPr>
                <w:rFonts w:ascii="Times New Roman" w:hAnsi="Times New Roman" w:cs="Times New Roman"/>
                <w:color w:val="auto"/>
                <w:sz w:val="24"/>
                <w:szCs w:val="24"/>
                <w:vertAlign w:val="superscript"/>
              </w:rPr>
              <w:t>0.85</w:t>
            </w:r>
            <w:r>
              <w:rPr>
                <w:rFonts w:ascii="Times New Roman" w:hAnsi="Times New Roman" w:cs="Times New Roman"/>
                <w:color w:val="auto"/>
                <w:sz w:val="24"/>
                <w:szCs w:val="24"/>
              </w:rPr>
              <w:t>×(P/0.5)</w:t>
            </w:r>
            <w:r>
              <w:rPr>
                <w:rFonts w:ascii="Times New Roman" w:hAnsi="Times New Roman" w:cs="Times New Roman"/>
                <w:color w:val="auto"/>
                <w:sz w:val="24"/>
                <w:szCs w:val="24"/>
                <w:vertAlign w:val="superscript"/>
              </w:rPr>
              <w:t>0.75</w:t>
            </w:r>
          </w:p>
          <w:p w14:paraId="2A7CBED9">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式中：Q——汽车行驶的扬尘，kg/km·辆；</w:t>
            </w:r>
          </w:p>
          <w:p w14:paraId="234959AC">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   V——汽车速度，km/hr；</w:t>
            </w:r>
          </w:p>
          <w:p w14:paraId="5988C630">
            <w:pPr>
              <w:keepNext w:val="0"/>
              <w:keepLines w:val="0"/>
              <w:pageBreakBefore w:val="0"/>
              <w:kinsoku/>
              <w:wordWrap/>
              <w:overflowPunct/>
              <w:bidi w:val="0"/>
              <w:adjustRightInd/>
              <w:snapToGrid/>
              <w:spacing w:line="360" w:lineRule="auto"/>
              <w:ind w:left="0" w:leftChars="0" w:right="0" w:rightChars="0" w:firstLine="720" w:firstLineChars="300"/>
              <w:outlineLvl w:val="9"/>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   W——汽车载重量，t；</w:t>
            </w:r>
          </w:p>
          <w:p w14:paraId="57B39792">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   P——道路表面粉尘量，kg/m</w:t>
            </w:r>
            <w:r>
              <w:rPr>
                <w:rFonts w:ascii="Times New Roman" w:hAnsi="Times New Roman" w:cs="Times New Roman"/>
                <w:color w:val="auto"/>
                <w:sz w:val="24"/>
                <w:szCs w:val="24"/>
                <w:vertAlign w:val="superscript"/>
              </w:rPr>
              <w:t>2</w:t>
            </w:r>
          </w:p>
          <w:p w14:paraId="659BB2FB">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下表为一辆10t卡车通过一段长度为1km的路面时，不同路面清洁程度、不同行驶速度情况下的扬尘量。由此可见，在同样路面清洁程度条件下，车速越快，扬尘量越大；而在同样车速情况下，路面越脏，则扬尘量越大。因此限制车辆行驶速度及保持路面的清洁是减少汽车扬尘的最有效手段。具体见表7-1。</w:t>
            </w:r>
          </w:p>
          <w:p w14:paraId="7371FBA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outlineLvl w:val="9"/>
              <w:rPr>
                <w:rFonts w:ascii="Times New Roman" w:hAnsi="Times New Roman" w:eastAsia="Times New Roman" w:cs="Times New Roman"/>
                <w:b/>
                <w:bCs/>
                <w:color w:val="auto"/>
                <w:sz w:val="21"/>
                <w:szCs w:val="21"/>
              </w:rPr>
            </w:pPr>
            <w:r>
              <w:rPr>
                <w:color w:val="auto"/>
                <w:sz w:val="21"/>
              </w:rPr>
              <mc:AlternateContent>
                <mc:Choice Requires="wps">
                  <w:drawing>
                    <wp:anchor distT="0" distB="0" distL="114300" distR="114300" simplePos="0" relativeHeight="251664384" behindDoc="0" locked="0" layoutInCell="1" allowOverlap="1">
                      <wp:simplePos x="0" y="0"/>
                      <wp:positionH relativeFrom="column">
                        <wp:posOffset>85090</wp:posOffset>
                      </wp:positionH>
                      <wp:positionV relativeFrom="paragraph">
                        <wp:posOffset>292100</wp:posOffset>
                      </wp:positionV>
                      <wp:extent cx="838200" cy="609600"/>
                      <wp:effectExtent l="2540" t="3810" r="12700" b="11430"/>
                      <wp:wrapNone/>
                      <wp:docPr id="8" name="直接连接符 8"/>
                      <wp:cNvGraphicFramePr/>
                      <a:graphic xmlns:a="http://schemas.openxmlformats.org/drawingml/2006/main">
                        <a:graphicData uri="http://schemas.microsoft.com/office/word/2010/wordprocessingShape">
                          <wps:wsp>
                            <wps:cNvCnPr/>
                            <wps:spPr>
                              <a:xfrm flipH="1" flipV="1">
                                <a:off x="1228090" y="7961630"/>
                                <a:ext cx="838200" cy="60960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 y;margin-left:6.7pt;margin-top:23pt;height:48pt;width:66pt;z-index:251664384;mso-width-relative:page;mso-height-relative:page;" filled="f" stroked="t" coordsize="21600,21600" o:gfxdata="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aETu1QAAAAkBAAAPAAAAAAAAAAEAIAAAACIAAABkcnMvZG93bnJldi54&#10;bWxQSwECFAAUAAAACACHTuJAYRV1cv0BAADVAwAADgAAAAAAAAABACAAAAAkAQAAZHJzL2Uyb0Rv&#10;Yy54bWxQSwUGAAAAAAYABgBZAQAAkwUAAAAA&#10;">
                      <v:fill on="f" focussize="0,0"/>
                      <v:stroke weight="0.5pt" color="#000000 [3200]" miterlimit="8" joinstyle="miter"/>
                      <v:imagedata o:title=""/>
                      <o:lock v:ext="edit" aspectratio="f"/>
                    </v:line>
                  </w:pict>
                </mc:Fallback>
              </mc:AlternateContent>
            </w:r>
            <w:r>
              <w:rPr>
                <w:rFonts w:ascii="宋体" w:hAnsi="Times New Roman" w:cs="Times New Roman"/>
                <w:b/>
                <w:bCs/>
                <w:color w:val="auto"/>
                <w:sz w:val="21"/>
                <w:szCs w:val="21"/>
              </w:rPr>
              <w:t>表</w:t>
            </w:r>
            <w:r>
              <w:rPr>
                <w:rFonts w:ascii="Times New Roman" w:hAnsi="Times New Roman" w:eastAsia="Times New Roman" w:cs="Times New Roman"/>
                <w:b/>
                <w:bCs/>
                <w:color w:val="auto"/>
                <w:sz w:val="21"/>
                <w:szCs w:val="21"/>
              </w:rPr>
              <w:t xml:space="preserve">7-1  </w:t>
            </w:r>
            <w:r>
              <w:rPr>
                <w:rFonts w:ascii="宋体" w:hAnsi="Times New Roman" w:cs="Times New Roman"/>
                <w:b/>
                <w:bCs/>
                <w:color w:val="auto"/>
                <w:sz w:val="21"/>
                <w:szCs w:val="21"/>
              </w:rPr>
              <w:t>不同情况下的扬尘量</w:t>
            </w:r>
          </w:p>
          <w:tbl>
            <w:tblPr>
              <w:tblStyle w:val="15"/>
              <w:tblW w:w="8504" w:type="dxa"/>
              <w:tblInd w:w="108"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1194"/>
              <w:gridCol w:w="1194"/>
              <w:gridCol w:w="1194"/>
              <w:gridCol w:w="1194"/>
              <w:gridCol w:w="1194"/>
              <w:gridCol w:w="1189"/>
            </w:tblGrid>
            <w:tr w14:paraId="3D7446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45" w:type="dxa"/>
                  <w:vMerge w:val="restart"/>
                  <w:tcBorders>
                    <w:tl2br w:val="nil"/>
                    <w:tr2bl w:val="nil"/>
                  </w:tcBorders>
                  <w:vAlign w:val="center"/>
                </w:tcPr>
                <w:p w14:paraId="1F952FF2">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cs="Times New Roman"/>
                      <w:color w:val="auto"/>
                    </w:rPr>
                  </w:pPr>
                  <w:r>
                    <w:rPr>
                      <w:color w:val="auto"/>
                      <w:sz w:val="21"/>
                    </w:rPr>
                    <mc:AlternateContent>
                      <mc:Choice Requires="wps">
                        <w:drawing>
                          <wp:anchor distT="0" distB="0" distL="114300" distR="114300" simplePos="0" relativeHeight="251666432" behindDoc="0" locked="0" layoutInCell="1" allowOverlap="1">
                            <wp:simplePos x="0" y="0"/>
                            <wp:positionH relativeFrom="column">
                              <wp:posOffset>-97790</wp:posOffset>
                            </wp:positionH>
                            <wp:positionV relativeFrom="paragraph">
                              <wp:posOffset>295910</wp:posOffset>
                            </wp:positionV>
                            <wp:extent cx="571500" cy="269875"/>
                            <wp:effectExtent l="0" t="0" r="0" b="0"/>
                            <wp:wrapNone/>
                            <wp:docPr id="10" name="文本框 10"/>
                            <wp:cNvGraphicFramePr/>
                            <a:graphic xmlns:a="http://schemas.openxmlformats.org/drawingml/2006/main">
                              <a:graphicData uri="http://schemas.microsoft.com/office/word/2010/wordprocessingShape">
                                <wps:wsp>
                                  <wps:cNvSpPr txBox="1"/>
                                  <wps:spPr>
                                    <a:xfrm>
                                      <a:off x="1220470" y="8319770"/>
                                      <a:ext cx="571500"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0F6560">
                                        <w:pPr>
                                          <w:jc w:val="center"/>
                                          <w:rPr>
                                            <w:rFonts w:hint="eastAsia" w:eastAsia="宋体"/>
                                            <w:lang w:eastAsia="zh-CN"/>
                                          </w:rPr>
                                        </w:pPr>
                                        <w:r>
                                          <w:rPr>
                                            <w:rFonts w:hint="eastAsia"/>
                                            <w:lang w:eastAsia="zh-CN"/>
                                          </w:rPr>
                                          <w:t>车速</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pt;margin-top:23.3pt;height:21.25pt;width:45pt;z-index:251666432;mso-width-relative:page;mso-height-relative:page;" filled="f" stroked="f" coordsize="21600,21600" o:gfxdata="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MEDeNHaAAAACAEAAA8AAAAAAAAAAQAg&#10;AAAAIgAAAGRycy9kb3ducmV2LnhtbFBLAQIUABQAAAAIAIdO4kBcnFx6RQIAAHMEAAAOAAAAAAAA&#10;AAEAIAAAACkBAABkcnMvZTJvRG9jLnhtbFBLBQYAAAAABgAGAFkBAADgBQAAAAA=&#10;">
                            <v:fill on="f" focussize="0,0"/>
                            <v:stroke on="f" weight="0.5pt"/>
                            <v:imagedata o:title=""/>
                            <o:lock v:ext="edit" aspectratio="f"/>
                            <v:textbox>
                              <w:txbxContent>
                                <w:p w14:paraId="720F6560">
                                  <w:pPr>
                                    <w:jc w:val="center"/>
                                    <w:rPr>
                                      <w:rFonts w:hint="eastAsia" w:eastAsia="宋体"/>
                                      <w:lang w:eastAsia="zh-CN"/>
                                    </w:rPr>
                                  </w:pPr>
                                  <w:r>
                                    <w:rPr>
                                      <w:rFonts w:hint="eastAsia"/>
                                      <w:lang w:eastAsia="zh-CN"/>
                                    </w:rPr>
                                    <w:t>车速</w:t>
                                  </w:r>
                                </w:p>
                              </w:txbxContent>
                            </v:textbox>
                          </v:shape>
                        </w:pict>
                      </mc:Fallback>
                    </mc:AlternateContent>
                  </w:r>
                  <w:r>
                    <w:rPr>
                      <w:color w:val="auto"/>
                      <w:sz w:val="21"/>
                    </w:rPr>
                    <mc:AlternateContent>
                      <mc:Choice Requires="wps">
                        <w:drawing>
                          <wp:anchor distT="0" distB="0" distL="114300" distR="114300" simplePos="0" relativeHeight="251665408" behindDoc="0" locked="0" layoutInCell="1" allowOverlap="1">
                            <wp:simplePos x="0" y="0"/>
                            <wp:positionH relativeFrom="column">
                              <wp:posOffset>237490</wp:posOffset>
                            </wp:positionH>
                            <wp:positionV relativeFrom="paragraph">
                              <wp:posOffset>14605</wp:posOffset>
                            </wp:positionV>
                            <wp:extent cx="594360" cy="274320"/>
                            <wp:effectExtent l="0" t="0" r="0" b="0"/>
                            <wp:wrapNone/>
                            <wp:docPr id="9" name="文本框 9"/>
                            <wp:cNvGraphicFramePr/>
                            <a:graphic xmlns:a="http://schemas.openxmlformats.org/drawingml/2006/main">
                              <a:graphicData uri="http://schemas.microsoft.com/office/word/2010/wordprocessingShape">
                                <wps:wsp>
                                  <wps:cNvSpPr txBox="1"/>
                                  <wps:spPr>
                                    <a:xfrm>
                                      <a:off x="1570990" y="8037830"/>
                                      <a:ext cx="594360" cy="2743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5B8E7F">
                                        <w:pPr>
                                          <w:jc w:val="center"/>
                                          <w:rPr>
                                            <w:rFonts w:hint="eastAsia" w:eastAsia="宋体"/>
                                            <w:lang w:eastAsia="zh-CN"/>
                                          </w:rPr>
                                        </w:pPr>
                                        <w:r>
                                          <w:rPr>
                                            <w:rFonts w:hint="eastAsia"/>
                                            <w:lang w:eastAsia="zh-CN"/>
                                          </w:rPr>
                                          <w:t>粉尘量</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pt;margin-top:1.15pt;height:21.6pt;width:46.8pt;z-index:251665408;mso-width-relative:page;mso-height-relative:page;" filled="f" stroked="f" coordsize="21600,21600" o:gfxdata="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5G+Va2AAAAAcBAAAPAAAAAAAAAAEA&#10;IAAAACIAAABkcnMvZG93bnJldi54bWxQSwECFAAUAAAACACHTuJAzPp+gUgCAABxBAAADgAAAAAA&#10;AAABACAAAAAnAQAAZHJzL2Uyb0RvYy54bWxQSwUGAAAAAAYABgBZAQAA4QUAAAAA&#10;">
                            <v:fill on="f" focussize="0,0"/>
                            <v:stroke on="f" weight="0.5pt"/>
                            <v:imagedata o:title=""/>
                            <o:lock v:ext="edit" aspectratio="f"/>
                            <v:textbox>
                              <w:txbxContent>
                                <w:p w14:paraId="5D5B8E7F">
                                  <w:pPr>
                                    <w:jc w:val="center"/>
                                    <w:rPr>
                                      <w:rFonts w:hint="eastAsia" w:eastAsia="宋体"/>
                                      <w:lang w:eastAsia="zh-CN"/>
                                    </w:rPr>
                                  </w:pPr>
                                  <w:r>
                                    <w:rPr>
                                      <w:rFonts w:hint="eastAsia"/>
                                      <w:lang w:eastAsia="zh-CN"/>
                                    </w:rPr>
                                    <w:t>粉尘量</w:t>
                                  </w:r>
                                </w:p>
                              </w:txbxContent>
                            </v:textbox>
                          </v:shape>
                        </w:pict>
                      </mc:Fallback>
                    </mc:AlternateContent>
                  </w:r>
                </w:p>
              </w:tc>
              <w:tc>
                <w:tcPr>
                  <w:tcW w:w="1194" w:type="dxa"/>
                  <w:tcBorders>
                    <w:tl2br w:val="nil"/>
                    <w:tr2bl w:val="nil"/>
                  </w:tcBorders>
                  <w:vAlign w:val="center"/>
                </w:tcPr>
                <w:p w14:paraId="13507A9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0.1</w:t>
                  </w:r>
                </w:p>
              </w:tc>
              <w:tc>
                <w:tcPr>
                  <w:tcW w:w="1194" w:type="dxa"/>
                  <w:tcBorders>
                    <w:tl2br w:val="nil"/>
                    <w:tr2bl w:val="nil"/>
                  </w:tcBorders>
                  <w:vAlign w:val="center"/>
                </w:tcPr>
                <w:p w14:paraId="1316490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0.2</w:t>
                  </w:r>
                </w:p>
              </w:tc>
              <w:tc>
                <w:tcPr>
                  <w:tcW w:w="1194" w:type="dxa"/>
                  <w:tcBorders>
                    <w:tl2br w:val="nil"/>
                    <w:tr2bl w:val="nil"/>
                  </w:tcBorders>
                  <w:vAlign w:val="center"/>
                </w:tcPr>
                <w:p w14:paraId="136C1AB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0.3</w:t>
                  </w:r>
                </w:p>
              </w:tc>
              <w:tc>
                <w:tcPr>
                  <w:tcW w:w="1194" w:type="dxa"/>
                  <w:tcBorders>
                    <w:tl2br w:val="nil"/>
                    <w:tr2bl w:val="nil"/>
                  </w:tcBorders>
                  <w:vAlign w:val="center"/>
                </w:tcPr>
                <w:p w14:paraId="6414052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0.4</w:t>
                  </w:r>
                </w:p>
              </w:tc>
              <w:tc>
                <w:tcPr>
                  <w:tcW w:w="1194" w:type="dxa"/>
                  <w:tcBorders>
                    <w:tl2br w:val="nil"/>
                    <w:tr2bl w:val="nil"/>
                  </w:tcBorders>
                  <w:vAlign w:val="center"/>
                </w:tcPr>
                <w:p w14:paraId="1B6B1A3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0.5</w:t>
                  </w:r>
                </w:p>
              </w:tc>
              <w:tc>
                <w:tcPr>
                  <w:tcW w:w="1189" w:type="dxa"/>
                  <w:tcBorders>
                    <w:tl2br w:val="nil"/>
                    <w:tr2bl w:val="nil"/>
                  </w:tcBorders>
                  <w:vAlign w:val="center"/>
                </w:tcPr>
                <w:p w14:paraId="48A9BEF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1.0</w:t>
                  </w:r>
                </w:p>
              </w:tc>
            </w:tr>
            <w:tr w14:paraId="26BD32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45" w:type="dxa"/>
                  <w:vMerge w:val="continue"/>
                  <w:tcBorders>
                    <w:tl2br w:val="nil"/>
                    <w:tr2bl w:val="nil"/>
                  </w:tcBorders>
                  <w:vAlign w:val="center"/>
                </w:tcPr>
                <w:p w14:paraId="57A1B61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left"/>
                    <w:textAlignment w:val="auto"/>
                    <w:outlineLvl w:val="9"/>
                    <w:rPr>
                      <w:rFonts w:ascii="Times New Roman" w:hAnsi="Times New Roman" w:cs="Times New Roman"/>
                      <w:color w:val="auto"/>
                    </w:rPr>
                  </w:pPr>
                </w:p>
              </w:tc>
              <w:tc>
                <w:tcPr>
                  <w:tcW w:w="1194" w:type="dxa"/>
                  <w:tcBorders>
                    <w:tl2br w:val="nil"/>
                    <w:tr2bl w:val="nil"/>
                  </w:tcBorders>
                  <w:vAlign w:val="center"/>
                </w:tcPr>
                <w:p w14:paraId="563E6B5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(kg/m</w:t>
                  </w:r>
                  <w:r>
                    <w:rPr>
                      <w:rFonts w:ascii="Times New Roman" w:hAnsi="Times New Roman" w:cs="Times New Roman"/>
                      <w:color w:val="auto"/>
                      <w:vertAlign w:val="superscript"/>
                    </w:rPr>
                    <w:t>2</w:t>
                  </w:r>
                  <w:r>
                    <w:rPr>
                      <w:rFonts w:ascii="Times New Roman" w:hAnsi="Times New Roman" w:cs="Times New Roman"/>
                      <w:color w:val="auto"/>
                    </w:rPr>
                    <w:t>)</w:t>
                  </w:r>
                </w:p>
              </w:tc>
              <w:tc>
                <w:tcPr>
                  <w:tcW w:w="1194" w:type="dxa"/>
                  <w:tcBorders>
                    <w:tl2br w:val="nil"/>
                    <w:tr2bl w:val="nil"/>
                  </w:tcBorders>
                  <w:vAlign w:val="center"/>
                </w:tcPr>
                <w:p w14:paraId="1C7CF70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(kg/m</w:t>
                  </w:r>
                  <w:r>
                    <w:rPr>
                      <w:rFonts w:ascii="Times New Roman" w:hAnsi="Times New Roman" w:cs="Times New Roman"/>
                      <w:color w:val="auto"/>
                      <w:vertAlign w:val="superscript"/>
                    </w:rPr>
                    <w:t>2</w:t>
                  </w:r>
                  <w:r>
                    <w:rPr>
                      <w:rFonts w:ascii="Times New Roman" w:hAnsi="Times New Roman" w:cs="Times New Roman"/>
                      <w:color w:val="auto"/>
                    </w:rPr>
                    <w:t>)</w:t>
                  </w:r>
                </w:p>
              </w:tc>
              <w:tc>
                <w:tcPr>
                  <w:tcW w:w="1194" w:type="dxa"/>
                  <w:tcBorders>
                    <w:tl2br w:val="nil"/>
                    <w:tr2bl w:val="nil"/>
                  </w:tcBorders>
                  <w:vAlign w:val="center"/>
                </w:tcPr>
                <w:p w14:paraId="3301ACE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(kg/m</w:t>
                  </w:r>
                  <w:r>
                    <w:rPr>
                      <w:rFonts w:ascii="Times New Roman" w:hAnsi="Times New Roman" w:cs="Times New Roman"/>
                      <w:color w:val="auto"/>
                      <w:vertAlign w:val="superscript"/>
                    </w:rPr>
                    <w:t>2</w:t>
                  </w:r>
                  <w:r>
                    <w:rPr>
                      <w:rFonts w:ascii="Times New Roman" w:hAnsi="Times New Roman" w:cs="Times New Roman"/>
                      <w:color w:val="auto"/>
                    </w:rPr>
                    <w:t>)</w:t>
                  </w:r>
                </w:p>
              </w:tc>
              <w:tc>
                <w:tcPr>
                  <w:tcW w:w="1194" w:type="dxa"/>
                  <w:tcBorders>
                    <w:tl2br w:val="nil"/>
                    <w:tr2bl w:val="nil"/>
                  </w:tcBorders>
                  <w:vAlign w:val="center"/>
                </w:tcPr>
                <w:p w14:paraId="0549DBE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(kg/m</w:t>
                  </w:r>
                  <w:r>
                    <w:rPr>
                      <w:rFonts w:ascii="Times New Roman" w:hAnsi="Times New Roman" w:cs="Times New Roman"/>
                      <w:color w:val="auto"/>
                      <w:vertAlign w:val="superscript"/>
                    </w:rPr>
                    <w:t>2</w:t>
                  </w:r>
                  <w:r>
                    <w:rPr>
                      <w:rFonts w:ascii="Times New Roman" w:hAnsi="Times New Roman" w:cs="Times New Roman"/>
                      <w:color w:val="auto"/>
                    </w:rPr>
                    <w:t>)</w:t>
                  </w:r>
                </w:p>
              </w:tc>
              <w:tc>
                <w:tcPr>
                  <w:tcW w:w="1194" w:type="dxa"/>
                  <w:tcBorders>
                    <w:tl2br w:val="nil"/>
                    <w:tr2bl w:val="nil"/>
                  </w:tcBorders>
                  <w:vAlign w:val="center"/>
                </w:tcPr>
                <w:p w14:paraId="2ACF22E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(kg/m</w:t>
                  </w:r>
                  <w:r>
                    <w:rPr>
                      <w:rFonts w:ascii="Times New Roman" w:hAnsi="Times New Roman" w:cs="Times New Roman"/>
                      <w:color w:val="auto"/>
                      <w:vertAlign w:val="superscript"/>
                    </w:rPr>
                    <w:t>2</w:t>
                  </w:r>
                  <w:r>
                    <w:rPr>
                      <w:rFonts w:ascii="Times New Roman" w:hAnsi="Times New Roman" w:cs="Times New Roman"/>
                      <w:color w:val="auto"/>
                    </w:rPr>
                    <w:t>)</w:t>
                  </w:r>
                </w:p>
              </w:tc>
              <w:tc>
                <w:tcPr>
                  <w:tcW w:w="1189" w:type="dxa"/>
                  <w:tcBorders>
                    <w:tl2br w:val="nil"/>
                    <w:tr2bl w:val="nil"/>
                  </w:tcBorders>
                  <w:vAlign w:val="center"/>
                </w:tcPr>
                <w:p w14:paraId="3A97EFB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(kg/m</w:t>
                  </w:r>
                  <w:r>
                    <w:rPr>
                      <w:rFonts w:ascii="Times New Roman" w:hAnsi="Times New Roman" w:cs="Times New Roman"/>
                      <w:color w:val="auto"/>
                      <w:vertAlign w:val="superscript"/>
                    </w:rPr>
                    <w:t>2</w:t>
                  </w:r>
                  <w:r>
                    <w:rPr>
                      <w:rFonts w:ascii="Times New Roman" w:hAnsi="Times New Roman" w:cs="Times New Roman"/>
                      <w:color w:val="auto"/>
                    </w:rPr>
                    <w:t>)</w:t>
                  </w:r>
                </w:p>
              </w:tc>
            </w:tr>
            <w:tr w14:paraId="41BB605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45" w:type="dxa"/>
                  <w:tcBorders>
                    <w:tl2br w:val="nil"/>
                    <w:tr2bl w:val="nil"/>
                  </w:tcBorders>
                  <w:vAlign w:val="center"/>
                </w:tcPr>
                <w:p w14:paraId="2EB092F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5(km/h)</w:t>
                  </w:r>
                </w:p>
              </w:tc>
              <w:tc>
                <w:tcPr>
                  <w:tcW w:w="1194" w:type="dxa"/>
                  <w:tcBorders>
                    <w:tl2br w:val="nil"/>
                    <w:tr2bl w:val="nil"/>
                  </w:tcBorders>
                  <w:vAlign w:val="center"/>
                </w:tcPr>
                <w:p w14:paraId="3E54BBC5">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0.0511</w:t>
                  </w:r>
                </w:p>
              </w:tc>
              <w:tc>
                <w:tcPr>
                  <w:tcW w:w="1194" w:type="dxa"/>
                  <w:tcBorders>
                    <w:tl2br w:val="nil"/>
                    <w:tr2bl w:val="nil"/>
                  </w:tcBorders>
                  <w:vAlign w:val="center"/>
                </w:tcPr>
                <w:p w14:paraId="5E3A05B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0.0859</w:t>
                  </w:r>
                </w:p>
              </w:tc>
              <w:tc>
                <w:tcPr>
                  <w:tcW w:w="1194" w:type="dxa"/>
                  <w:tcBorders>
                    <w:tl2br w:val="nil"/>
                    <w:tr2bl w:val="nil"/>
                  </w:tcBorders>
                  <w:vAlign w:val="center"/>
                </w:tcPr>
                <w:p w14:paraId="5B31822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0.1164</w:t>
                  </w:r>
                </w:p>
              </w:tc>
              <w:tc>
                <w:tcPr>
                  <w:tcW w:w="1194" w:type="dxa"/>
                  <w:tcBorders>
                    <w:tl2br w:val="nil"/>
                    <w:tr2bl w:val="nil"/>
                  </w:tcBorders>
                  <w:vAlign w:val="center"/>
                </w:tcPr>
                <w:p w14:paraId="4EB557F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0.1444</w:t>
                  </w:r>
                </w:p>
              </w:tc>
              <w:tc>
                <w:tcPr>
                  <w:tcW w:w="1194" w:type="dxa"/>
                  <w:tcBorders>
                    <w:tl2br w:val="nil"/>
                    <w:tr2bl w:val="nil"/>
                  </w:tcBorders>
                  <w:vAlign w:val="center"/>
                </w:tcPr>
                <w:p w14:paraId="3BFAE87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0.1707</w:t>
                  </w:r>
                </w:p>
              </w:tc>
              <w:tc>
                <w:tcPr>
                  <w:tcW w:w="1189" w:type="dxa"/>
                  <w:tcBorders>
                    <w:tl2br w:val="nil"/>
                    <w:tr2bl w:val="nil"/>
                  </w:tcBorders>
                  <w:vAlign w:val="center"/>
                </w:tcPr>
                <w:p w14:paraId="56D57A1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0.2871</w:t>
                  </w:r>
                </w:p>
              </w:tc>
            </w:tr>
            <w:tr w14:paraId="7B4BCDA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45" w:type="dxa"/>
                  <w:tcBorders>
                    <w:tl2br w:val="nil"/>
                    <w:tr2bl w:val="nil"/>
                  </w:tcBorders>
                  <w:vAlign w:val="center"/>
                </w:tcPr>
                <w:p w14:paraId="4824403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10(km/h)</w:t>
                  </w:r>
                </w:p>
              </w:tc>
              <w:tc>
                <w:tcPr>
                  <w:tcW w:w="1194" w:type="dxa"/>
                  <w:tcBorders>
                    <w:tl2br w:val="nil"/>
                    <w:tr2bl w:val="nil"/>
                  </w:tcBorders>
                  <w:vAlign w:val="center"/>
                </w:tcPr>
                <w:p w14:paraId="4D99F9B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0.1021</w:t>
                  </w:r>
                </w:p>
              </w:tc>
              <w:tc>
                <w:tcPr>
                  <w:tcW w:w="1194" w:type="dxa"/>
                  <w:tcBorders>
                    <w:tl2br w:val="nil"/>
                    <w:tr2bl w:val="nil"/>
                  </w:tcBorders>
                  <w:vAlign w:val="center"/>
                </w:tcPr>
                <w:p w14:paraId="7E389FE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0.1717</w:t>
                  </w:r>
                </w:p>
              </w:tc>
              <w:tc>
                <w:tcPr>
                  <w:tcW w:w="1194" w:type="dxa"/>
                  <w:tcBorders>
                    <w:tl2br w:val="nil"/>
                    <w:tr2bl w:val="nil"/>
                  </w:tcBorders>
                  <w:vAlign w:val="center"/>
                </w:tcPr>
                <w:p w14:paraId="6B0B1FD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0.2328</w:t>
                  </w:r>
                </w:p>
              </w:tc>
              <w:tc>
                <w:tcPr>
                  <w:tcW w:w="1194" w:type="dxa"/>
                  <w:tcBorders>
                    <w:tl2br w:val="nil"/>
                    <w:tr2bl w:val="nil"/>
                  </w:tcBorders>
                  <w:vAlign w:val="center"/>
                </w:tcPr>
                <w:p w14:paraId="2E20C21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0.2888</w:t>
                  </w:r>
                </w:p>
              </w:tc>
              <w:tc>
                <w:tcPr>
                  <w:tcW w:w="1194" w:type="dxa"/>
                  <w:tcBorders>
                    <w:tl2br w:val="nil"/>
                    <w:tr2bl w:val="nil"/>
                  </w:tcBorders>
                  <w:vAlign w:val="center"/>
                </w:tcPr>
                <w:p w14:paraId="1D96DB5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0.3414</w:t>
                  </w:r>
                </w:p>
              </w:tc>
              <w:tc>
                <w:tcPr>
                  <w:tcW w:w="1189" w:type="dxa"/>
                  <w:tcBorders>
                    <w:tl2br w:val="nil"/>
                    <w:tr2bl w:val="nil"/>
                  </w:tcBorders>
                  <w:vAlign w:val="center"/>
                </w:tcPr>
                <w:p w14:paraId="1291B6C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0.5742</w:t>
                  </w:r>
                </w:p>
              </w:tc>
            </w:tr>
            <w:tr w14:paraId="2AA1255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45" w:type="dxa"/>
                  <w:tcBorders>
                    <w:tl2br w:val="nil"/>
                    <w:tr2bl w:val="nil"/>
                  </w:tcBorders>
                  <w:vAlign w:val="center"/>
                </w:tcPr>
                <w:p w14:paraId="7DFB7FA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15(km/h)</w:t>
                  </w:r>
                </w:p>
              </w:tc>
              <w:tc>
                <w:tcPr>
                  <w:tcW w:w="1194" w:type="dxa"/>
                  <w:tcBorders>
                    <w:tl2br w:val="nil"/>
                    <w:tr2bl w:val="nil"/>
                  </w:tcBorders>
                  <w:vAlign w:val="center"/>
                </w:tcPr>
                <w:p w14:paraId="6919077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0.1532</w:t>
                  </w:r>
                </w:p>
              </w:tc>
              <w:tc>
                <w:tcPr>
                  <w:tcW w:w="1194" w:type="dxa"/>
                  <w:tcBorders>
                    <w:tl2br w:val="nil"/>
                    <w:tr2bl w:val="nil"/>
                  </w:tcBorders>
                  <w:vAlign w:val="center"/>
                </w:tcPr>
                <w:p w14:paraId="3C6835D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0.2576</w:t>
                  </w:r>
                </w:p>
              </w:tc>
              <w:tc>
                <w:tcPr>
                  <w:tcW w:w="1194" w:type="dxa"/>
                  <w:tcBorders>
                    <w:tl2br w:val="nil"/>
                    <w:tr2bl w:val="nil"/>
                  </w:tcBorders>
                  <w:vAlign w:val="center"/>
                </w:tcPr>
                <w:p w14:paraId="78E7204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0.3491</w:t>
                  </w:r>
                </w:p>
              </w:tc>
              <w:tc>
                <w:tcPr>
                  <w:tcW w:w="1194" w:type="dxa"/>
                  <w:tcBorders>
                    <w:tl2br w:val="nil"/>
                    <w:tr2bl w:val="nil"/>
                  </w:tcBorders>
                  <w:vAlign w:val="center"/>
                </w:tcPr>
                <w:p w14:paraId="4F5D54C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0.4332</w:t>
                  </w:r>
                </w:p>
              </w:tc>
              <w:tc>
                <w:tcPr>
                  <w:tcW w:w="1194" w:type="dxa"/>
                  <w:tcBorders>
                    <w:tl2br w:val="nil"/>
                    <w:tr2bl w:val="nil"/>
                  </w:tcBorders>
                  <w:vAlign w:val="center"/>
                </w:tcPr>
                <w:p w14:paraId="3C0D2AF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0.5121</w:t>
                  </w:r>
                </w:p>
              </w:tc>
              <w:tc>
                <w:tcPr>
                  <w:tcW w:w="1189" w:type="dxa"/>
                  <w:tcBorders>
                    <w:tl2br w:val="nil"/>
                    <w:tr2bl w:val="nil"/>
                  </w:tcBorders>
                  <w:vAlign w:val="center"/>
                </w:tcPr>
                <w:p w14:paraId="019156E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0.8613</w:t>
                  </w:r>
                </w:p>
              </w:tc>
            </w:tr>
            <w:tr w14:paraId="6FCD4D1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45" w:type="dxa"/>
                  <w:tcBorders>
                    <w:tl2br w:val="nil"/>
                    <w:tr2bl w:val="nil"/>
                  </w:tcBorders>
                  <w:vAlign w:val="center"/>
                </w:tcPr>
                <w:p w14:paraId="5A27C58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25(km/h)</w:t>
                  </w:r>
                </w:p>
              </w:tc>
              <w:tc>
                <w:tcPr>
                  <w:tcW w:w="1194" w:type="dxa"/>
                  <w:tcBorders>
                    <w:tl2br w:val="nil"/>
                    <w:tr2bl w:val="nil"/>
                  </w:tcBorders>
                  <w:vAlign w:val="center"/>
                </w:tcPr>
                <w:p w14:paraId="4BD692FF">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0.2553</w:t>
                  </w:r>
                </w:p>
              </w:tc>
              <w:tc>
                <w:tcPr>
                  <w:tcW w:w="1194" w:type="dxa"/>
                  <w:tcBorders>
                    <w:tl2br w:val="nil"/>
                    <w:tr2bl w:val="nil"/>
                  </w:tcBorders>
                  <w:vAlign w:val="center"/>
                </w:tcPr>
                <w:p w14:paraId="32963C1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0.4293</w:t>
                  </w:r>
                </w:p>
              </w:tc>
              <w:tc>
                <w:tcPr>
                  <w:tcW w:w="1194" w:type="dxa"/>
                  <w:tcBorders>
                    <w:tl2br w:val="nil"/>
                    <w:tr2bl w:val="nil"/>
                  </w:tcBorders>
                  <w:vAlign w:val="center"/>
                </w:tcPr>
                <w:p w14:paraId="33C75D09">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0.5819</w:t>
                  </w:r>
                </w:p>
              </w:tc>
              <w:tc>
                <w:tcPr>
                  <w:tcW w:w="1194" w:type="dxa"/>
                  <w:tcBorders>
                    <w:tl2br w:val="nil"/>
                    <w:tr2bl w:val="nil"/>
                  </w:tcBorders>
                  <w:vAlign w:val="center"/>
                </w:tcPr>
                <w:p w14:paraId="50B6E964">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0.7220</w:t>
                  </w:r>
                </w:p>
              </w:tc>
              <w:tc>
                <w:tcPr>
                  <w:tcW w:w="1194" w:type="dxa"/>
                  <w:tcBorders>
                    <w:tl2br w:val="nil"/>
                    <w:tr2bl w:val="nil"/>
                  </w:tcBorders>
                  <w:vAlign w:val="center"/>
                </w:tcPr>
                <w:p w14:paraId="2F8B4F8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0.8536</w:t>
                  </w:r>
                </w:p>
              </w:tc>
              <w:tc>
                <w:tcPr>
                  <w:tcW w:w="1189" w:type="dxa"/>
                  <w:tcBorders>
                    <w:tl2br w:val="nil"/>
                    <w:tr2bl w:val="nil"/>
                  </w:tcBorders>
                  <w:vAlign w:val="center"/>
                </w:tcPr>
                <w:p w14:paraId="21294636">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color w:val="auto"/>
                    </w:rPr>
                  </w:pPr>
                  <w:r>
                    <w:rPr>
                      <w:rFonts w:ascii="Times New Roman" w:hAnsi="Times New Roman" w:cs="Times New Roman"/>
                      <w:color w:val="auto"/>
                    </w:rPr>
                    <w:t>1.4355</w:t>
                  </w:r>
                </w:p>
              </w:tc>
            </w:tr>
          </w:tbl>
          <w:p w14:paraId="70823662">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sz w:val="24"/>
                <w:szCs w:val="24"/>
              </w:rPr>
            </w:pPr>
            <w:r>
              <w:rPr>
                <w:rFonts w:ascii="Times New Roman" w:hAnsi="Times New Roman" w:cs="Times New Roman"/>
                <w:color w:val="auto"/>
                <w:sz w:val="24"/>
                <w:szCs w:val="24"/>
              </w:rPr>
              <w:t>如果施工阶段对汽车行驶路面勤洒水（每天4～5次），可以使空气中粉尘量减少70%左右，可以收到很好的降尘效果。当施工场地洒水频率为4～5次/d时，扬尘造成的TSP污染距离可缩小到20～50m范围内，具体见表7-2。</w:t>
            </w:r>
          </w:p>
          <w:p w14:paraId="02E72BE2">
            <w:pPr>
              <w:keepNext w:val="0"/>
              <w:keepLines w:val="0"/>
              <w:pageBreakBefore w:val="0"/>
              <w:kinsoku/>
              <w:wordWrap/>
              <w:overflowPunct/>
              <w:bidi w:val="0"/>
              <w:adjustRightInd/>
              <w:snapToGrid/>
              <w:spacing w:line="360" w:lineRule="auto"/>
              <w:ind w:left="0" w:leftChars="0" w:right="0" w:rightChars="0"/>
              <w:jc w:val="center"/>
              <w:outlineLvl w:val="9"/>
              <w:rPr>
                <w:rFonts w:ascii="Times New Roman" w:hAnsi="Times New Roman" w:eastAsia="Times New Roman" w:cs="Times New Roman"/>
                <w:b/>
                <w:bCs/>
                <w:color w:val="auto"/>
                <w:sz w:val="21"/>
                <w:szCs w:val="21"/>
              </w:rPr>
            </w:pPr>
            <w:r>
              <w:rPr>
                <w:rFonts w:ascii="宋体" w:hAnsi="Times New Roman" w:cs="Times New Roman"/>
                <w:b/>
                <w:bCs/>
                <w:color w:val="auto"/>
                <w:sz w:val="21"/>
                <w:szCs w:val="21"/>
              </w:rPr>
              <w:t>表</w:t>
            </w:r>
            <w:r>
              <w:rPr>
                <w:rFonts w:ascii="Times New Roman" w:hAnsi="Times New Roman" w:eastAsia="Times New Roman" w:cs="Times New Roman"/>
                <w:b/>
                <w:bCs/>
                <w:color w:val="auto"/>
                <w:sz w:val="21"/>
                <w:szCs w:val="21"/>
              </w:rPr>
              <w:t xml:space="preserve">7-2  </w:t>
            </w:r>
            <w:r>
              <w:rPr>
                <w:rFonts w:ascii="宋体" w:hAnsi="Times New Roman" w:cs="Times New Roman"/>
                <w:b/>
                <w:bCs/>
                <w:color w:val="auto"/>
                <w:sz w:val="21"/>
                <w:szCs w:val="21"/>
              </w:rPr>
              <w:t>洒水试验结果表</w:t>
            </w:r>
          </w:p>
          <w:tbl>
            <w:tblPr>
              <w:tblStyle w:val="15"/>
              <w:tblW w:w="8504"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226"/>
              <w:gridCol w:w="1397"/>
              <w:gridCol w:w="1395"/>
              <w:gridCol w:w="1396"/>
              <w:gridCol w:w="1762"/>
            </w:tblGrid>
            <w:tr w14:paraId="54EEF8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54" w:type="dxa"/>
                  <w:gridSpan w:val="2"/>
                  <w:tcBorders>
                    <w:tl2br w:val="nil"/>
                    <w:tr2bl w:val="nil"/>
                  </w:tcBorders>
                  <w:vAlign w:val="center"/>
                </w:tcPr>
                <w:p w14:paraId="2B83B6C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距路边距离（m）</w:t>
                  </w:r>
                </w:p>
              </w:tc>
              <w:tc>
                <w:tcPr>
                  <w:tcW w:w="1397" w:type="dxa"/>
                  <w:tcBorders>
                    <w:tl2br w:val="nil"/>
                    <w:tr2bl w:val="nil"/>
                  </w:tcBorders>
                  <w:vAlign w:val="center"/>
                </w:tcPr>
                <w:p w14:paraId="66C819E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5</w:t>
                  </w:r>
                </w:p>
              </w:tc>
              <w:tc>
                <w:tcPr>
                  <w:tcW w:w="1395" w:type="dxa"/>
                  <w:tcBorders>
                    <w:tl2br w:val="nil"/>
                    <w:tr2bl w:val="nil"/>
                  </w:tcBorders>
                  <w:vAlign w:val="center"/>
                </w:tcPr>
                <w:p w14:paraId="77DE763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20</w:t>
                  </w:r>
                </w:p>
              </w:tc>
              <w:tc>
                <w:tcPr>
                  <w:tcW w:w="1396" w:type="dxa"/>
                  <w:tcBorders>
                    <w:tl2br w:val="nil"/>
                    <w:tr2bl w:val="nil"/>
                  </w:tcBorders>
                  <w:vAlign w:val="center"/>
                </w:tcPr>
                <w:p w14:paraId="06F32AA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50</w:t>
                  </w:r>
                </w:p>
              </w:tc>
              <w:tc>
                <w:tcPr>
                  <w:tcW w:w="1762" w:type="dxa"/>
                  <w:tcBorders>
                    <w:tl2br w:val="nil"/>
                    <w:tr2bl w:val="nil"/>
                  </w:tcBorders>
                  <w:vAlign w:val="center"/>
                </w:tcPr>
                <w:p w14:paraId="4912C97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100</w:t>
                  </w:r>
                </w:p>
              </w:tc>
            </w:tr>
            <w:tr w14:paraId="7F0ADB0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28" w:type="dxa"/>
                  <w:vMerge w:val="restart"/>
                  <w:tcBorders>
                    <w:tl2br w:val="nil"/>
                    <w:tr2bl w:val="nil"/>
                  </w:tcBorders>
                  <w:vAlign w:val="center"/>
                </w:tcPr>
                <w:p w14:paraId="10D6F59B">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TSP浓度</w:t>
                  </w:r>
                </w:p>
                <w:p w14:paraId="0CCC3B9E">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（mg/m</w:t>
                  </w:r>
                  <w:r>
                    <w:rPr>
                      <w:rFonts w:ascii="Times New Roman" w:hAnsi="Times New Roman" w:cs="Times New Roman"/>
                      <w:color w:val="auto"/>
                      <w:vertAlign w:val="superscript"/>
                    </w:rPr>
                    <w:t>3</w:t>
                  </w:r>
                  <w:r>
                    <w:rPr>
                      <w:rFonts w:ascii="Times New Roman" w:hAnsi="Times New Roman" w:cs="Times New Roman"/>
                      <w:color w:val="auto"/>
                    </w:rPr>
                    <w:t>）</w:t>
                  </w:r>
                </w:p>
              </w:tc>
              <w:tc>
                <w:tcPr>
                  <w:tcW w:w="1226" w:type="dxa"/>
                  <w:tcBorders>
                    <w:tl2br w:val="nil"/>
                    <w:tr2bl w:val="nil"/>
                  </w:tcBorders>
                  <w:vAlign w:val="center"/>
                </w:tcPr>
                <w:p w14:paraId="7DC3081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不洒水</w:t>
                  </w:r>
                </w:p>
              </w:tc>
              <w:tc>
                <w:tcPr>
                  <w:tcW w:w="1397" w:type="dxa"/>
                  <w:tcBorders>
                    <w:tl2br w:val="nil"/>
                    <w:tr2bl w:val="nil"/>
                  </w:tcBorders>
                  <w:vAlign w:val="center"/>
                </w:tcPr>
                <w:p w14:paraId="4523642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10.14</w:t>
                  </w:r>
                </w:p>
              </w:tc>
              <w:tc>
                <w:tcPr>
                  <w:tcW w:w="1395" w:type="dxa"/>
                  <w:tcBorders>
                    <w:tl2br w:val="nil"/>
                    <w:tr2bl w:val="nil"/>
                  </w:tcBorders>
                  <w:vAlign w:val="center"/>
                </w:tcPr>
                <w:p w14:paraId="5E9F0096">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2.810</w:t>
                  </w:r>
                </w:p>
              </w:tc>
              <w:tc>
                <w:tcPr>
                  <w:tcW w:w="1396" w:type="dxa"/>
                  <w:tcBorders>
                    <w:tl2br w:val="nil"/>
                    <w:tr2bl w:val="nil"/>
                  </w:tcBorders>
                  <w:vAlign w:val="center"/>
                </w:tcPr>
                <w:p w14:paraId="494F658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1.15</w:t>
                  </w:r>
                </w:p>
              </w:tc>
              <w:tc>
                <w:tcPr>
                  <w:tcW w:w="1762" w:type="dxa"/>
                  <w:tcBorders>
                    <w:tl2br w:val="nil"/>
                    <w:tr2bl w:val="nil"/>
                  </w:tcBorders>
                  <w:vAlign w:val="center"/>
                </w:tcPr>
                <w:p w14:paraId="242A45DB">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0.86</w:t>
                  </w:r>
                </w:p>
              </w:tc>
            </w:tr>
            <w:tr w14:paraId="440A918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28" w:type="dxa"/>
                  <w:vMerge w:val="continue"/>
                  <w:tcBorders>
                    <w:tl2br w:val="nil"/>
                    <w:tr2bl w:val="nil"/>
                  </w:tcBorders>
                  <w:vAlign w:val="center"/>
                </w:tcPr>
                <w:p w14:paraId="2568AE4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cs="Times New Roman"/>
                      <w:color w:val="auto"/>
                    </w:rPr>
                  </w:pPr>
                </w:p>
              </w:tc>
              <w:tc>
                <w:tcPr>
                  <w:tcW w:w="1226" w:type="dxa"/>
                  <w:tcBorders>
                    <w:tl2br w:val="nil"/>
                    <w:tr2bl w:val="nil"/>
                  </w:tcBorders>
                  <w:vAlign w:val="center"/>
                </w:tcPr>
                <w:p w14:paraId="6E92A4C5">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洒水</w:t>
                  </w:r>
                </w:p>
              </w:tc>
              <w:tc>
                <w:tcPr>
                  <w:tcW w:w="1397" w:type="dxa"/>
                  <w:tcBorders>
                    <w:tl2br w:val="nil"/>
                    <w:tr2bl w:val="nil"/>
                  </w:tcBorders>
                  <w:vAlign w:val="center"/>
                </w:tcPr>
                <w:p w14:paraId="5FF98CB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2.01</w:t>
                  </w:r>
                </w:p>
              </w:tc>
              <w:tc>
                <w:tcPr>
                  <w:tcW w:w="1395" w:type="dxa"/>
                  <w:tcBorders>
                    <w:tl2br w:val="nil"/>
                    <w:tr2bl w:val="nil"/>
                  </w:tcBorders>
                  <w:vAlign w:val="center"/>
                </w:tcPr>
                <w:p w14:paraId="7DB0F20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1.40</w:t>
                  </w:r>
                </w:p>
              </w:tc>
              <w:tc>
                <w:tcPr>
                  <w:tcW w:w="1396" w:type="dxa"/>
                  <w:tcBorders>
                    <w:tl2br w:val="nil"/>
                    <w:tr2bl w:val="nil"/>
                  </w:tcBorders>
                  <w:vAlign w:val="center"/>
                </w:tcPr>
                <w:p w14:paraId="52EA78A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0.68</w:t>
                  </w:r>
                </w:p>
              </w:tc>
              <w:tc>
                <w:tcPr>
                  <w:tcW w:w="1762" w:type="dxa"/>
                  <w:tcBorders>
                    <w:tl2br w:val="nil"/>
                    <w:tr2bl w:val="nil"/>
                  </w:tcBorders>
                  <w:vAlign w:val="center"/>
                </w:tcPr>
                <w:p w14:paraId="558BB4E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rPr>
                  </w:pPr>
                  <w:r>
                    <w:rPr>
                      <w:rFonts w:ascii="Times New Roman" w:hAnsi="Times New Roman" w:cs="Times New Roman"/>
                      <w:color w:val="auto"/>
                    </w:rPr>
                    <w:t>0.60</w:t>
                  </w:r>
                </w:p>
              </w:tc>
            </w:tr>
          </w:tbl>
          <w:p w14:paraId="3FB9742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Times New Roman" w:hAnsi="Times New Roman" w:eastAsia="Times New Roman" w:cs="Times New Roman"/>
                <w:b/>
                <w:bCs/>
                <w:color w:val="auto"/>
                <w:sz w:val="21"/>
                <w:szCs w:val="21"/>
              </w:rPr>
            </w:pPr>
            <w:r>
              <w:rPr>
                <w:rFonts w:ascii="Times New Roman" w:hAnsi="Times New Roman" w:cs="Times New Roman"/>
                <w:color w:val="auto"/>
                <w:sz w:val="24"/>
                <w:szCs w:val="24"/>
              </w:rPr>
              <w:t>本项目四周居民离项目边界最近距离1</w:t>
            </w:r>
            <w:r>
              <w:rPr>
                <w:rFonts w:hint="eastAsia" w:cs="Times New Roman"/>
                <w:color w:val="auto"/>
                <w:sz w:val="24"/>
                <w:szCs w:val="24"/>
                <w:lang w:val="en-US" w:eastAsia="zh-CN"/>
              </w:rPr>
              <w:t>0</w:t>
            </w:r>
            <w:r>
              <w:rPr>
                <w:rFonts w:ascii="Times New Roman" w:hAnsi="Times New Roman" w:cs="Times New Roman"/>
                <w:color w:val="auto"/>
                <w:sz w:val="24"/>
                <w:szCs w:val="24"/>
              </w:rPr>
              <w:t>m，施工扬尘会给住户带来一定影响，TSP日均浓度将超过《环境空气质量标准》(GB3095-2012)二级标准的要求</w:t>
            </w:r>
            <w:r>
              <w:rPr>
                <w:rFonts w:hint="eastAsia" w:cs="Times New Roman"/>
                <w:color w:val="auto"/>
                <w:sz w:val="24"/>
                <w:szCs w:val="24"/>
                <w:lang w:eastAsia="zh-CN"/>
              </w:rPr>
              <w:t>。</w:t>
            </w:r>
          </w:p>
          <w:p w14:paraId="5BCA0F18">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ascii="Times New Roman" w:hAnsi="Times New Roman" w:cs="Times New Roman"/>
                <w:color w:val="auto"/>
                <w:kern w:val="0"/>
                <w:sz w:val="24"/>
                <w:szCs w:val="24"/>
              </w:rPr>
              <w:t>因此，本工程施工时须采取一定的控制措施</w:t>
            </w:r>
            <w:r>
              <w:rPr>
                <w:rFonts w:hint="eastAsia" w:cs="Times New Roman"/>
                <w:color w:val="auto"/>
                <w:kern w:val="0"/>
                <w:sz w:val="24"/>
                <w:szCs w:val="24"/>
                <w:lang w:eastAsia="zh-CN"/>
              </w:rPr>
              <w:t>：</w:t>
            </w:r>
          </w:p>
          <w:p w14:paraId="0C25C81A">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rPr>
              <w:t>①</w:t>
            </w:r>
            <w:r>
              <w:rPr>
                <w:rFonts w:ascii="Times New Roman" w:hAnsi="Times New Roman" w:cs="Times New Roman"/>
                <w:color w:val="auto"/>
                <w:kern w:val="0"/>
                <w:sz w:val="24"/>
                <w:szCs w:val="24"/>
              </w:rPr>
              <w:t>晴天或无降水时，对施工场地易产生二次扬尘的作业面(点)、道路进行洒水，对施工场地内车辆限速以减少二次扬尘。</w:t>
            </w:r>
          </w:p>
          <w:p w14:paraId="1688B909">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rPr>
              <w:t>②</w:t>
            </w:r>
            <w:r>
              <w:rPr>
                <w:rFonts w:ascii="Times New Roman" w:hAnsi="Times New Roman" w:cs="Times New Roman"/>
                <w:color w:val="auto"/>
                <w:kern w:val="0"/>
                <w:sz w:val="24"/>
                <w:szCs w:val="24"/>
              </w:rPr>
              <w:t>粉尘物料输送过程各连接法兰必须严密。</w:t>
            </w:r>
          </w:p>
          <w:p w14:paraId="37BDA9D8">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rPr>
              <w:t>③</w:t>
            </w:r>
            <w:r>
              <w:rPr>
                <w:rFonts w:ascii="Times New Roman" w:hAnsi="Times New Roman" w:cs="Times New Roman"/>
                <w:color w:val="auto"/>
                <w:kern w:val="0"/>
                <w:sz w:val="24"/>
                <w:szCs w:val="24"/>
              </w:rPr>
              <w:t>在不影响施工的前提下，尽量降低设备出料的落差。</w:t>
            </w:r>
          </w:p>
          <w:p w14:paraId="4174DFB1">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rPr>
              <w:t>④</w:t>
            </w:r>
            <w:r>
              <w:rPr>
                <w:rFonts w:ascii="Times New Roman" w:hAnsi="Times New Roman" w:cs="Times New Roman"/>
                <w:color w:val="auto"/>
                <w:kern w:val="0"/>
                <w:sz w:val="24"/>
                <w:szCs w:val="24"/>
              </w:rPr>
              <w:t>加强物料转运、使用的管理，合理装卸、规范操作。</w:t>
            </w:r>
          </w:p>
          <w:p w14:paraId="089B2C5B">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rPr>
              <w:t>⑤</w:t>
            </w:r>
            <w:r>
              <w:rPr>
                <w:rFonts w:ascii="Times New Roman" w:hAnsi="Times New Roman" w:cs="Times New Roman"/>
                <w:color w:val="auto"/>
                <w:kern w:val="0"/>
                <w:sz w:val="24"/>
                <w:szCs w:val="24"/>
              </w:rPr>
              <w:t>定期清理施工场地内道路、物料堆置场院地的尘埃及杂物并外运。</w:t>
            </w:r>
          </w:p>
          <w:p w14:paraId="29CF6C5A">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rPr>
              <w:t>⑥</w:t>
            </w:r>
            <w:r>
              <w:rPr>
                <w:rFonts w:ascii="Times New Roman" w:hAnsi="Times New Roman" w:cs="Times New Roman"/>
                <w:color w:val="auto"/>
                <w:kern w:val="0"/>
                <w:sz w:val="24"/>
                <w:szCs w:val="24"/>
              </w:rPr>
              <w:t>设置施工屏障或砖砌篱笆围墙，在施工现场周围应按规定修筑防护墙及安装遮挡设施，实行封闭式施工。</w:t>
            </w:r>
          </w:p>
          <w:p w14:paraId="1CEFFEC3">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rPr>
              <w:t>⑦</w:t>
            </w:r>
            <w:r>
              <w:rPr>
                <w:rFonts w:ascii="Times New Roman" w:hAnsi="Times New Roman" w:cs="Times New Roman"/>
                <w:color w:val="auto"/>
                <w:kern w:val="0"/>
                <w:sz w:val="24"/>
                <w:szCs w:val="24"/>
              </w:rPr>
              <w:t>对各类扬尘，分别采取车辆清洗、路面铺装、洒水、清扫、设防尘网、覆盖防尘网(布)或喷洒化学抑尘剂等措施。</w:t>
            </w:r>
          </w:p>
          <w:p w14:paraId="19E5A538">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rPr>
              <w:t>⑧</w:t>
            </w:r>
            <w:r>
              <w:rPr>
                <w:rFonts w:ascii="Times New Roman" w:hAnsi="Times New Roman" w:cs="Times New Roman"/>
                <w:color w:val="auto"/>
                <w:kern w:val="0"/>
                <w:sz w:val="24"/>
                <w:szCs w:val="24"/>
              </w:rPr>
              <w:t>运送散装物料的车辆要用篷布遮盖，防止物料飞扬。对运送砂石、土料的车辆，应限制超载，不得沿途撒漏。</w:t>
            </w:r>
          </w:p>
          <w:p w14:paraId="2B1EA0F4">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rPr>
              <w:t>⑨</w:t>
            </w:r>
            <w:r>
              <w:rPr>
                <w:rFonts w:ascii="Times New Roman" w:hAnsi="Times New Roman" w:cs="Times New Roman"/>
                <w:color w:val="auto"/>
                <w:kern w:val="0"/>
                <w:sz w:val="24"/>
                <w:szCs w:val="24"/>
              </w:rPr>
              <w:t>项目四周离居民较近，在施工过程中尽量将临时堆场设置在项目中间，运输车辆尽量从西南侧的入口进来，这样可以最大限度地减少施工扬尘对周边居民的影响。</w:t>
            </w:r>
          </w:p>
          <w:p w14:paraId="2BD3F59A">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hint="eastAsia" w:ascii="Times New Roman" w:hAnsi="Times New Roman" w:cs="Times New Roman"/>
                <w:color w:val="auto"/>
                <w:kern w:val="0"/>
                <w:sz w:val="24"/>
                <w:szCs w:val="24"/>
                <w:lang w:eastAsia="zh-CN"/>
              </w:rPr>
              <w:t>（</w:t>
            </w:r>
            <w:r>
              <w:rPr>
                <w:rFonts w:hint="eastAsia" w:ascii="Times New Roman" w:hAnsi="Times New Roman" w:cs="Times New Roman"/>
                <w:color w:val="auto"/>
                <w:kern w:val="0"/>
                <w:sz w:val="24"/>
                <w:szCs w:val="24"/>
                <w:lang w:val="en-US" w:eastAsia="zh-CN"/>
              </w:rPr>
              <w:t>2</w:t>
            </w:r>
            <w:r>
              <w:rPr>
                <w:rFonts w:hint="eastAsia" w:ascii="Times New Roman" w:hAnsi="Times New Roman" w:cs="Times New Roman"/>
                <w:color w:val="auto"/>
                <w:kern w:val="0"/>
                <w:sz w:val="24"/>
                <w:szCs w:val="24"/>
                <w:lang w:eastAsia="zh-CN"/>
              </w:rPr>
              <w:t>）</w:t>
            </w:r>
            <w:r>
              <w:rPr>
                <w:rFonts w:ascii="Times New Roman" w:hAnsi="Times New Roman" w:cs="Times New Roman"/>
                <w:color w:val="auto"/>
                <w:kern w:val="0"/>
                <w:sz w:val="24"/>
                <w:szCs w:val="24"/>
              </w:rPr>
              <w:t>堆场扬尘</w:t>
            </w:r>
          </w:p>
          <w:p w14:paraId="5B6A7581">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szCs w:val="24"/>
              </w:rPr>
            </w:pPr>
            <w:r>
              <w:rPr>
                <w:rFonts w:ascii="Times New Roman" w:hAnsi="Times New Roman" w:cs="Times New Roman"/>
                <w:color w:val="auto"/>
                <w:kern w:val="0"/>
                <w:sz w:val="24"/>
                <w:szCs w:val="24"/>
              </w:rPr>
              <w:t>施工阶段扬尘的另一个主要来源是露天堆场和裸露场地的风力扬尘。由于施工需要，一些建筑材料需露天堆放，一些施工作业点表层土壤需人工开挖且临时堆放，在气候干燥又有风的情况下，会产生扬尘，其扬尘量可按堆场起尘的经验公式计算：</w:t>
            </w:r>
          </w:p>
          <w:p w14:paraId="361EA617">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 xml:space="preserve">     </w:t>
            </w:r>
            <w:r>
              <w:rPr>
                <w:rFonts w:ascii="Times New Roman" w:hAnsi="Times New Roman" w:cs="Times New Roman"/>
                <w:color w:val="auto"/>
                <w:sz w:val="24"/>
                <w:szCs w:val="24"/>
              </w:rPr>
              <w:t>Q=2.1×(V</w:t>
            </w:r>
            <w:r>
              <w:rPr>
                <w:rFonts w:ascii="Times New Roman" w:hAnsi="Times New Roman" w:cs="Times New Roman"/>
                <w:color w:val="auto"/>
                <w:sz w:val="24"/>
                <w:szCs w:val="24"/>
                <w:vertAlign w:val="subscript"/>
              </w:rPr>
              <w:t>50</w:t>
            </w:r>
            <w:r>
              <w:rPr>
                <w:rFonts w:ascii="Times New Roman" w:hAnsi="Times New Roman" w:cs="Times New Roman"/>
                <w:color w:val="auto"/>
                <w:sz w:val="24"/>
                <w:szCs w:val="24"/>
              </w:rPr>
              <w:t>-V</w:t>
            </w:r>
            <w:r>
              <w:rPr>
                <w:rFonts w:ascii="Times New Roman" w:hAnsi="Times New Roman" w:cs="Times New Roman"/>
                <w:color w:val="auto"/>
                <w:sz w:val="24"/>
                <w:szCs w:val="24"/>
                <w:vertAlign w:val="subscript"/>
              </w:rPr>
              <w:t>0</w:t>
            </w:r>
            <w:r>
              <w:rPr>
                <w:rFonts w:ascii="Times New Roman" w:hAnsi="Times New Roman" w:cs="Times New Roman"/>
                <w:color w:val="auto"/>
                <w:sz w:val="24"/>
                <w:szCs w:val="24"/>
              </w:rPr>
              <w:t>)</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e</w:t>
            </w:r>
            <w:r>
              <w:rPr>
                <w:rFonts w:ascii="Times New Roman" w:hAnsi="Times New Roman" w:cs="Times New Roman"/>
                <w:color w:val="auto"/>
                <w:sz w:val="24"/>
                <w:szCs w:val="24"/>
                <w:vertAlign w:val="superscript"/>
              </w:rPr>
              <w:t>-1.023W</w:t>
            </w:r>
          </w:p>
          <w:p w14:paraId="2BC560CF">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式中：Q——起尘量，kg/t·a；</w:t>
            </w:r>
          </w:p>
          <w:p w14:paraId="37D04C35">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hint="eastAsia" w:cs="Times New Roman"/>
                <w:color w:val="auto"/>
                <w:sz w:val="24"/>
                <w:szCs w:val="24"/>
                <w:lang w:val="en-US" w:eastAsia="zh-CN"/>
              </w:rPr>
              <w:t xml:space="preserve">    </w:t>
            </w:r>
            <w:r>
              <w:rPr>
                <w:rFonts w:ascii="Times New Roman" w:hAnsi="Times New Roman" w:cs="Times New Roman"/>
                <w:color w:val="auto"/>
                <w:sz w:val="24"/>
                <w:szCs w:val="24"/>
              </w:rPr>
              <w:t>V</w:t>
            </w:r>
            <w:r>
              <w:rPr>
                <w:rFonts w:ascii="Times New Roman" w:hAnsi="Times New Roman" w:cs="Times New Roman"/>
                <w:color w:val="auto"/>
                <w:sz w:val="24"/>
                <w:szCs w:val="24"/>
                <w:vertAlign w:val="subscript"/>
              </w:rPr>
              <w:t>50</w:t>
            </w:r>
            <w:r>
              <w:rPr>
                <w:rFonts w:ascii="Times New Roman" w:hAnsi="Times New Roman" w:cs="Times New Roman"/>
                <w:color w:val="auto"/>
                <w:sz w:val="24"/>
                <w:szCs w:val="24"/>
              </w:rPr>
              <w:t>——距地面50m处风速，m/s；</w:t>
            </w:r>
          </w:p>
          <w:p w14:paraId="71748D63">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hint="eastAsia" w:cs="Times New Roman"/>
                <w:color w:val="auto"/>
                <w:sz w:val="24"/>
                <w:szCs w:val="24"/>
                <w:lang w:val="en-US" w:eastAsia="zh-CN"/>
              </w:rPr>
              <w:t xml:space="preserve">    </w:t>
            </w:r>
            <w:r>
              <w:rPr>
                <w:rFonts w:ascii="Times New Roman" w:hAnsi="Times New Roman" w:cs="Times New Roman"/>
                <w:color w:val="auto"/>
                <w:sz w:val="24"/>
                <w:szCs w:val="24"/>
              </w:rPr>
              <w:t>V</w:t>
            </w:r>
            <w:r>
              <w:rPr>
                <w:rFonts w:ascii="Times New Roman" w:hAnsi="Times New Roman" w:cs="Times New Roman"/>
                <w:color w:val="auto"/>
                <w:sz w:val="24"/>
                <w:szCs w:val="24"/>
                <w:vertAlign w:val="subscript"/>
              </w:rPr>
              <w:t>0</w:t>
            </w:r>
            <w:r>
              <w:rPr>
                <w:rFonts w:ascii="Times New Roman" w:hAnsi="Times New Roman" w:cs="Times New Roman"/>
                <w:color w:val="auto"/>
                <w:sz w:val="24"/>
                <w:szCs w:val="24"/>
              </w:rPr>
              <w:t>——起尘风速，m/s；</w:t>
            </w:r>
          </w:p>
          <w:p w14:paraId="695D8B52">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hint="eastAsia" w:cs="Times New Roman"/>
                <w:color w:val="auto"/>
                <w:sz w:val="24"/>
                <w:szCs w:val="24"/>
                <w:lang w:val="en-US" w:eastAsia="zh-CN"/>
              </w:rPr>
              <w:t xml:space="preserve">    </w:t>
            </w:r>
            <w:r>
              <w:rPr>
                <w:rFonts w:ascii="Times New Roman" w:hAnsi="Times New Roman" w:cs="Times New Roman"/>
                <w:color w:val="auto"/>
                <w:sz w:val="24"/>
                <w:szCs w:val="24"/>
              </w:rPr>
              <w:t>W——尘粒的含水率，%。</w:t>
            </w:r>
          </w:p>
          <w:p w14:paraId="00BBAE37">
            <w:pPr>
              <w:keepNext w:val="0"/>
              <w:keepLines w:val="0"/>
              <w:pageBreakBefore w:val="0"/>
              <w:kinsoku/>
              <w:wordWrap/>
              <w:overflowPunct/>
              <w:bidi w:val="0"/>
              <w:adjustRightInd/>
              <w:snapToGrid/>
              <w:spacing w:line="360" w:lineRule="auto"/>
              <w:ind w:left="0" w:leftChars="0" w:right="0" w:rightChars="0" w:firstLine="480"/>
              <w:outlineLvl w:val="9"/>
              <w:rPr>
                <w:rFonts w:ascii="Times New Roman" w:hAnsi="Times New Roman" w:cs="Times New Roman"/>
                <w:color w:val="auto"/>
                <w:sz w:val="24"/>
                <w:szCs w:val="24"/>
              </w:rPr>
            </w:pPr>
            <w:r>
              <w:rPr>
                <w:rFonts w:ascii="Times New Roman" w:hAnsi="Times New Roman" w:cs="Times New Roman"/>
                <w:color w:val="auto"/>
                <w:sz w:val="24"/>
                <w:szCs w:val="24"/>
              </w:rPr>
              <w:t>起尘风速与粒径和含水率有关，因此，减少露天堆放和保证一定的含水率及减少裸露地面是减少风力起尘的有效手段。粉尘在空气中的扩散稀释与风速等气象条件有关，也与粉尘本身的沉降速度有关。不同粒径粉尘的沉降速度见下表数据。由表</w:t>
            </w:r>
            <w:r>
              <w:rPr>
                <w:rFonts w:hint="eastAsia" w:cs="Times New Roman"/>
                <w:color w:val="auto"/>
                <w:sz w:val="24"/>
                <w:szCs w:val="24"/>
                <w:lang w:val="en-US" w:eastAsia="zh-CN"/>
              </w:rPr>
              <w:t>7-3</w:t>
            </w:r>
            <w:r>
              <w:rPr>
                <w:rFonts w:ascii="Times New Roman" w:hAnsi="Times New Roman" w:cs="Times New Roman"/>
                <w:color w:val="auto"/>
                <w:sz w:val="24"/>
                <w:szCs w:val="24"/>
              </w:rPr>
              <w:t>可见，粉尘的沉降速度随粒径的增大而迅速增大。当粒径为250μm时，沉降速度为1.005m/s，因此可以认为当尘粒大于250μm时，主要影响范围在扬尘点下风向近距离范围内，而真正对外环境产生影响的是一些微小粒径的粉尘。具体见表7-</w:t>
            </w:r>
            <w:r>
              <w:rPr>
                <w:rFonts w:hint="eastAsia" w:cs="Times New Roman"/>
                <w:color w:val="auto"/>
                <w:sz w:val="24"/>
                <w:szCs w:val="24"/>
                <w:lang w:val="en-US" w:eastAsia="zh-CN"/>
              </w:rPr>
              <w:t>3</w:t>
            </w:r>
            <w:r>
              <w:rPr>
                <w:rFonts w:ascii="Times New Roman" w:hAnsi="Times New Roman" w:cs="Times New Roman"/>
                <w:color w:val="auto"/>
                <w:sz w:val="24"/>
                <w:szCs w:val="24"/>
              </w:rPr>
              <w:t>。</w:t>
            </w:r>
          </w:p>
          <w:p w14:paraId="120BFAC7">
            <w:pPr>
              <w:keepNext w:val="0"/>
              <w:keepLines w:val="0"/>
              <w:pageBreakBefore w:val="0"/>
              <w:kinsoku/>
              <w:wordWrap/>
              <w:overflowPunct/>
              <w:bidi w:val="0"/>
              <w:adjustRightInd/>
              <w:snapToGrid/>
              <w:spacing w:line="360" w:lineRule="auto"/>
              <w:ind w:left="0" w:leftChars="0" w:right="0" w:rightChars="0"/>
              <w:jc w:val="center"/>
              <w:outlineLvl w:val="9"/>
              <w:rPr>
                <w:rFonts w:ascii="Times New Roman" w:hAnsi="Times New Roman" w:eastAsia="Times New Roman" w:cs="Times New Roman"/>
                <w:b/>
                <w:bCs/>
                <w:color w:val="auto"/>
                <w:sz w:val="21"/>
                <w:szCs w:val="21"/>
              </w:rPr>
            </w:pPr>
            <w:r>
              <w:rPr>
                <w:rFonts w:ascii="宋体" w:hAnsi="Times New Roman" w:cs="Times New Roman"/>
                <w:b/>
                <w:bCs/>
                <w:color w:val="auto"/>
                <w:sz w:val="21"/>
                <w:szCs w:val="21"/>
              </w:rPr>
              <w:t>表</w:t>
            </w:r>
            <w:r>
              <w:rPr>
                <w:rFonts w:ascii="Times New Roman" w:hAnsi="Times New Roman" w:eastAsia="Times New Roman" w:cs="Times New Roman"/>
                <w:b/>
                <w:bCs/>
                <w:color w:val="auto"/>
                <w:sz w:val="21"/>
                <w:szCs w:val="21"/>
              </w:rPr>
              <w:t>7-</w:t>
            </w:r>
            <w:r>
              <w:rPr>
                <w:rFonts w:hint="eastAsia" w:cs="Times New Roman"/>
                <w:b/>
                <w:bCs/>
                <w:color w:val="auto"/>
                <w:sz w:val="21"/>
                <w:szCs w:val="21"/>
                <w:lang w:val="en-US" w:eastAsia="zh-CN"/>
              </w:rPr>
              <w:t>3</w:t>
            </w:r>
            <w:r>
              <w:rPr>
                <w:rFonts w:ascii="Times New Roman" w:hAnsi="Times New Roman" w:eastAsia="Times New Roman" w:cs="Times New Roman"/>
                <w:b/>
                <w:bCs/>
                <w:color w:val="auto"/>
                <w:sz w:val="21"/>
                <w:szCs w:val="21"/>
              </w:rPr>
              <w:t xml:space="preserve">  </w:t>
            </w:r>
            <w:r>
              <w:rPr>
                <w:rFonts w:ascii="宋体" w:hAnsi="Times New Roman" w:cs="Times New Roman"/>
                <w:b/>
                <w:bCs/>
                <w:color w:val="auto"/>
                <w:sz w:val="21"/>
                <w:szCs w:val="21"/>
              </w:rPr>
              <w:t>粉尘粒径和沉降速度的关系</w:t>
            </w:r>
          </w:p>
          <w:tbl>
            <w:tblPr>
              <w:tblStyle w:val="15"/>
              <w:tblW w:w="8504" w:type="dxa"/>
              <w:jc w:val="center"/>
              <w:tblLayout w:type="fixed"/>
              <w:tblCellMar>
                <w:top w:w="0" w:type="dxa"/>
                <w:left w:w="0" w:type="dxa"/>
                <w:bottom w:w="0" w:type="dxa"/>
                <w:right w:w="0" w:type="dxa"/>
              </w:tblCellMar>
            </w:tblPr>
            <w:tblGrid>
              <w:gridCol w:w="2050"/>
              <w:gridCol w:w="923"/>
              <w:gridCol w:w="922"/>
              <w:gridCol w:w="923"/>
              <w:gridCol w:w="921"/>
              <w:gridCol w:w="922"/>
              <w:gridCol w:w="921"/>
              <w:gridCol w:w="922"/>
            </w:tblGrid>
            <w:tr w14:paraId="11A0611C">
              <w:tblPrEx>
                <w:tblCellMar>
                  <w:top w:w="0" w:type="dxa"/>
                  <w:left w:w="0" w:type="dxa"/>
                  <w:bottom w:w="0" w:type="dxa"/>
                  <w:right w:w="0" w:type="dxa"/>
                </w:tblCellMar>
              </w:tblPrEx>
              <w:trPr>
                <w:trHeight w:val="454" w:hRule="atLeast"/>
                <w:jc w:val="center"/>
              </w:trPr>
              <w:tc>
                <w:tcPr>
                  <w:tcW w:w="2050" w:type="dxa"/>
                  <w:tcBorders>
                    <w:top w:val="single" w:color="auto" w:sz="12" w:space="0"/>
                    <w:bottom w:val="single" w:color="auto" w:sz="4" w:space="0"/>
                    <w:right w:val="single" w:color="auto" w:sz="4" w:space="0"/>
                  </w:tcBorders>
                  <w:vAlign w:val="center"/>
                </w:tcPr>
                <w:p w14:paraId="7850AD1A">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粉尘粒径（μm）</w:t>
                  </w:r>
                </w:p>
              </w:tc>
              <w:tc>
                <w:tcPr>
                  <w:tcW w:w="923" w:type="dxa"/>
                  <w:tcBorders>
                    <w:top w:val="single" w:color="auto" w:sz="12" w:space="0"/>
                    <w:left w:val="nil"/>
                    <w:bottom w:val="single" w:color="auto" w:sz="4" w:space="0"/>
                    <w:right w:val="single" w:color="auto" w:sz="4" w:space="0"/>
                  </w:tcBorders>
                  <w:vAlign w:val="center"/>
                </w:tcPr>
                <w:p w14:paraId="69FDA678">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10</w:t>
                  </w:r>
                </w:p>
              </w:tc>
              <w:tc>
                <w:tcPr>
                  <w:tcW w:w="922" w:type="dxa"/>
                  <w:tcBorders>
                    <w:top w:val="single" w:color="auto" w:sz="12" w:space="0"/>
                    <w:left w:val="nil"/>
                    <w:bottom w:val="single" w:color="auto" w:sz="4" w:space="0"/>
                    <w:right w:val="single" w:color="auto" w:sz="4" w:space="0"/>
                  </w:tcBorders>
                  <w:vAlign w:val="center"/>
                </w:tcPr>
                <w:p w14:paraId="4999F103">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w:t>
                  </w:r>
                </w:p>
              </w:tc>
              <w:tc>
                <w:tcPr>
                  <w:tcW w:w="923" w:type="dxa"/>
                  <w:tcBorders>
                    <w:top w:val="single" w:color="auto" w:sz="12" w:space="0"/>
                    <w:left w:val="nil"/>
                    <w:bottom w:val="single" w:color="auto" w:sz="4" w:space="0"/>
                    <w:right w:val="single" w:color="auto" w:sz="4" w:space="0"/>
                  </w:tcBorders>
                  <w:vAlign w:val="center"/>
                </w:tcPr>
                <w:p w14:paraId="0066757A">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30</w:t>
                  </w:r>
                </w:p>
              </w:tc>
              <w:tc>
                <w:tcPr>
                  <w:tcW w:w="921" w:type="dxa"/>
                  <w:tcBorders>
                    <w:top w:val="single" w:color="auto" w:sz="12" w:space="0"/>
                    <w:left w:val="nil"/>
                    <w:bottom w:val="single" w:color="auto" w:sz="4" w:space="0"/>
                    <w:right w:val="single" w:color="auto" w:sz="4" w:space="0"/>
                  </w:tcBorders>
                  <w:vAlign w:val="center"/>
                </w:tcPr>
                <w:p w14:paraId="1DC3FEF7">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40</w:t>
                  </w:r>
                </w:p>
              </w:tc>
              <w:tc>
                <w:tcPr>
                  <w:tcW w:w="922" w:type="dxa"/>
                  <w:tcBorders>
                    <w:top w:val="single" w:color="auto" w:sz="12" w:space="0"/>
                    <w:left w:val="nil"/>
                    <w:bottom w:val="single" w:color="auto" w:sz="4" w:space="0"/>
                    <w:right w:val="single" w:color="auto" w:sz="4" w:space="0"/>
                  </w:tcBorders>
                  <w:vAlign w:val="center"/>
                </w:tcPr>
                <w:p w14:paraId="792A8234">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w:t>
                  </w:r>
                </w:p>
              </w:tc>
              <w:tc>
                <w:tcPr>
                  <w:tcW w:w="921" w:type="dxa"/>
                  <w:tcBorders>
                    <w:top w:val="single" w:color="auto" w:sz="12" w:space="0"/>
                    <w:left w:val="nil"/>
                    <w:bottom w:val="single" w:color="auto" w:sz="4" w:space="0"/>
                    <w:right w:val="single" w:color="auto" w:sz="4" w:space="0"/>
                  </w:tcBorders>
                  <w:vAlign w:val="center"/>
                </w:tcPr>
                <w:p w14:paraId="06CC79D7">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60</w:t>
                  </w:r>
                </w:p>
              </w:tc>
              <w:tc>
                <w:tcPr>
                  <w:tcW w:w="922" w:type="dxa"/>
                  <w:tcBorders>
                    <w:top w:val="single" w:color="auto" w:sz="12" w:space="0"/>
                    <w:left w:val="nil"/>
                    <w:bottom w:val="single" w:color="auto" w:sz="4" w:space="0"/>
                  </w:tcBorders>
                  <w:vAlign w:val="center"/>
                </w:tcPr>
                <w:p w14:paraId="765F3BB9">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70</w:t>
                  </w:r>
                </w:p>
              </w:tc>
            </w:tr>
            <w:tr w14:paraId="7F0808C3">
              <w:tblPrEx>
                <w:tblCellMar>
                  <w:top w:w="0" w:type="dxa"/>
                  <w:left w:w="0" w:type="dxa"/>
                  <w:bottom w:w="0" w:type="dxa"/>
                  <w:right w:w="0" w:type="dxa"/>
                </w:tblCellMar>
              </w:tblPrEx>
              <w:trPr>
                <w:trHeight w:val="454" w:hRule="atLeast"/>
                <w:jc w:val="center"/>
              </w:trPr>
              <w:tc>
                <w:tcPr>
                  <w:tcW w:w="2050" w:type="dxa"/>
                  <w:tcBorders>
                    <w:top w:val="single" w:color="auto" w:sz="4" w:space="0"/>
                    <w:bottom w:val="single" w:color="auto" w:sz="4" w:space="0"/>
                    <w:right w:val="single" w:color="auto" w:sz="4" w:space="0"/>
                  </w:tcBorders>
                  <w:vAlign w:val="center"/>
                </w:tcPr>
                <w:p w14:paraId="733A0962">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沉降速度（m/s）</w:t>
                  </w:r>
                </w:p>
              </w:tc>
              <w:tc>
                <w:tcPr>
                  <w:tcW w:w="923" w:type="dxa"/>
                  <w:tcBorders>
                    <w:top w:val="single" w:color="auto" w:sz="4" w:space="0"/>
                    <w:left w:val="nil"/>
                    <w:bottom w:val="single" w:color="auto" w:sz="4" w:space="0"/>
                    <w:right w:val="single" w:color="auto" w:sz="4" w:space="0"/>
                  </w:tcBorders>
                  <w:vAlign w:val="center"/>
                </w:tcPr>
                <w:p w14:paraId="63139ACA">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0.003</w:t>
                  </w:r>
                </w:p>
              </w:tc>
              <w:tc>
                <w:tcPr>
                  <w:tcW w:w="922" w:type="dxa"/>
                  <w:tcBorders>
                    <w:top w:val="single" w:color="auto" w:sz="4" w:space="0"/>
                    <w:left w:val="nil"/>
                    <w:bottom w:val="single" w:color="auto" w:sz="4" w:space="0"/>
                    <w:right w:val="single" w:color="auto" w:sz="4" w:space="0"/>
                  </w:tcBorders>
                  <w:vAlign w:val="center"/>
                </w:tcPr>
                <w:p w14:paraId="305F056B">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0.012</w:t>
                  </w:r>
                </w:p>
              </w:tc>
              <w:tc>
                <w:tcPr>
                  <w:tcW w:w="923" w:type="dxa"/>
                  <w:tcBorders>
                    <w:top w:val="single" w:color="auto" w:sz="4" w:space="0"/>
                    <w:left w:val="nil"/>
                    <w:bottom w:val="single" w:color="auto" w:sz="4" w:space="0"/>
                    <w:right w:val="single" w:color="auto" w:sz="4" w:space="0"/>
                  </w:tcBorders>
                  <w:vAlign w:val="center"/>
                </w:tcPr>
                <w:p w14:paraId="39A59633">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0.027</w:t>
                  </w:r>
                </w:p>
              </w:tc>
              <w:tc>
                <w:tcPr>
                  <w:tcW w:w="921" w:type="dxa"/>
                  <w:tcBorders>
                    <w:top w:val="single" w:color="auto" w:sz="4" w:space="0"/>
                    <w:left w:val="nil"/>
                    <w:bottom w:val="single" w:color="auto" w:sz="4" w:space="0"/>
                    <w:right w:val="single" w:color="auto" w:sz="4" w:space="0"/>
                  </w:tcBorders>
                  <w:vAlign w:val="center"/>
                </w:tcPr>
                <w:p w14:paraId="3A55AC6B">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0.048</w:t>
                  </w:r>
                </w:p>
              </w:tc>
              <w:tc>
                <w:tcPr>
                  <w:tcW w:w="922" w:type="dxa"/>
                  <w:tcBorders>
                    <w:top w:val="single" w:color="auto" w:sz="4" w:space="0"/>
                    <w:left w:val="nil"/>
                    <w:bottom w:val="single" w:color="auto" w:sz="4" w:space="0"/>
                    <w:right w:val="single" w:color="auto" w:sz="4" w:space="0"/>
                  </w:tcBorders>
                  <w:vAlign w:val="center"/>
                </w:tcPr>
                <w:p w14:paraId="346E0B0C">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0.075</w:t>
                  </w:r>
                </w:p>
              </w:tc>
              <w:tc>
                <w:tcPr>
                  <w:tcW w:w="921" w:type="dxa"/>
                  <w:tcBorders>
                    <w:top w:val="single" w:color="auto" w:sz="4" w:space="0"/>
                    <w:left w:val="nil"/>
                    <w:bottom w:val="single" w:color="auto" w:sz="4" w:space="0"/>
                    <w:right w:val="single" w:color="auto" w:sz="4" w:space="0"/>
                  </w:tcBorders>
                  <w:vAlign w:val="center"/>
                </w:tcPr>
                <w:p w14:paraId="29FE7D3F">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0.108</w:t>
                  </w:r>
                </w:p>
              </w:tc>
              <w:tc>
                <w:tcPr>
                  <w:tcW w:w="922" w:type="dxa"/>
                  <w:tcBorders>
                    <w:top w:val="single" w:color="auto" w:sz="4" w:space="0"/>
                    <w:left w:val="nil"/>
                    <w:bottom w:val="single" w:color="auto" w:sz="4" w:space="0"/>
                  </w:tcBorders>
                  <w:vAlign w:val="center"/>
                </w:tcPr>
                <w:p w14:paraId="6E601F7D">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0.147</w:t>
                  </w:r>
                </w:p>
              </w:tc>
            </w:tr>
            <w:tr w14:paraId="565297A7">
              <w:tblPrEx>
                <w:tblCellMar>
                  <w:top w:w="0" w:type="dxa"/>
                  <w:left w:w="0" w:type="dxa"/>
                  <w:bottom w:w="0" w:type="dxa"/>
                  <w:right w:w="0" w:type="dxa"/>
                </w:tblCellMar>
              </w:tblPrEx>
              <w:trPr>
                <w:trHeight w:val="454" w:hRule="atLeast"/>
                <w:jc w:val="center"/>
              </w:trPr>
              <w:tc>
                <w:tcPr>
                  <w:tcW w:w="2050" w:type="dxa"/>
                  <w:tcBorders>
                    <w:top w:val="single" w:color="auto" w:sz="4" w:space="0"/>
                    <w:bottom w:val="single" w:color="auto" w:sz="4" w:space="0"/>
                    <w:right w:val="single" w:color="auto" w:sz="4" w:space="0"/>
                  </w:tcBorders>
                  <w:vAlign w:val="center"/>
                </w:tcPr>
                <w:p w14:paraId="6BB16444">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粉尘粒径（μm）</w:t>
                  </w:r>
                </w:p>
              </w:tc>
              <w:tc>
                <w:tcPr>
                  <w:tcW w:w="923" w:type="dxa"/>
                  <w:tcBorders>
                    <w:top w:val="single" w:color="auto" w:sz="4" w:space="0"/>
                    <w:left w:val="nil"/>
                    <w:bottom w:val="single" w:color="auto" w:sz="4" w:space="0"/>
                    <w:right w:val="single" w:color="auto" w:sz="4" w:space="0"/>
                  </w:tcBorders>
                  <w:vAlign w:val="center"/>
                </w:tcPr>
                <w:p w14:paraId="42403AB5">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80</w:t>
                  </w:r>
                </w:p>
              </w:tc>
              <w:tc>
                <w:tcPr>
                  <w:tcW w:w="922" w:type="dxa"/>
                  <w:tcBorders>
                    <w:top w:val="single" w:color="auto" w:sz="4" w:space="0"/>
                    <w:left w:val="nil"/>
                    <w:bottom w:val="single" w:color="auto" w:sz="4" w:space="0"/>
                    <w:right w:val="single" w:color="auto" w:sz="4" w:space="0"/>
                  </w:tcBorders>
                  <w:vAlign w:val="center"/>
                </w:tcPr>
                <w:p w14:paraId="1EA87105">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90</w:t>
                  </w:r>
                </w:p>
              </w:tc>
              <w:tc>
                <w:tcPr>
                  <w:tcW w:w="923" w:type="dxa"/>
                  <w:tcBorders>
                    <w:top w:val="single" w:color="auto" w:sz="4" w:space="0"/>
                    <w:left w:val="nil"/>
                    <w:bottom w:val="single" w:color="auto" w:sz="4" w:space="0"/>
                    <w:right w:val="single" w:color="auto" w:sz="4" w:space="0"/>
                  </w:tcBorders>
                  <w:vAlign w:val="center"/>
                </w:tcPr>
                <w:p w14:paraId="219C7704">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100</w:t>
                  </w:r>
                </w:p>
              </w:tc>
              <w:tc>
                <w:tcPr>
                  <w:tcW w:w="921" w:type="dxa"/>
                  <w:tcBorders>
                    <w:top w:val="single" w:color="auto" w:sz="4" w:space="0"/>
                    <w:left w:val="nil"/>
                    <w:bottom w:val="single" w:color="auto" w:sz="4" w:space="0"/>
                    <w:right w:val="single" w:color="auto" w:sz="4" w:space="0"/>
                  </w:tcBorders>
                  <w:vAlign w:val="center"/>
                </w:tcPr>
                <w:p w14:paraId="71863778">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150</w:t>
                  </w:r>
                </w:p>
              </w:tc>
              <w:tc>
                <w:tcPr>
                  <w:tcW w:w="922" w:type="dxa"/>
                  <w:tcBorders>
                    <w:top w:val="single" w:color="auto" w:sz="4" w:space="0"/>
                    <w:left w:val="nil"/>
                    <w:bottom w:val="single" w:color="auto" w:sz="4" w:space="0"/>
                    <w:right w:val="single" w:color="auto" w:sz="4" w:space="0"/>
                  </w:tcBorders>
                  <w:vAlign w:val="center"/>
                </w:tcPr>
                <w:p w14:paraId="5F7872C4">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200</w:t>
                  </w:r>
                </w:p>
              </w:tc>
              <w:tc>
                <w:tcPr>
                  <w:tcW w:w="921" w:type="dxa"/>
                  <w:tcBorders>
                    <w:top w:val="single" w:color="auto" w:sz="4" w:space="0"/>
                    <w:left w:val="nil"/>
                    <w:bottom w:val="single" w:color="auto" w:sz="4" w:space="0"/>
                    <w:right w:val="single" w:color="auto" w:sz="4" w:space="0"/>
                  </w:tcBorders>
                  <w:vAlign w:val="center"/>
                </w:tcPr>
                <w:p w14:paraId="76AF4611">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250</w:t>
                  </w:r>
                </w:p>
              </w:tc>
              <w:tc>
                <w:tcPr>
                  <w:tcW w:w="922" w:type="dxa"/>
                  <w:tcBorders>
                    <w:top w:val="single" w:color="auto" w:sz="4" w:space="0"/>
                    <w:left w:val="nil"/>
                    <w:bottom w:val="single" w:color="auto" w:sz="4" w:space="0"/>
                  </w:tcBorders>
                  <w:vAlign w:val="center"/>
                </w:tcPr>
                <w:p w14:paraId="0BC15D01">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350</w:t>
                  </w:r>
                </w:p>
              </w:tc>
            </w:tr>
            <w:tr w14:paraId="0C5F39B6">
              <w:tblPrEx>
                <w:tblCellMar>
                  <w:top w:w="0" w:type="dxa"/>
                  <w:left w:w="0" w:type="dxa"/>
                  <w:bottom w:w="0" w:type="dxa"/>
                  <w:right w:w="0" w:type="dxa"/>
                </w:tblCellMar>
              </w:tblPrEx>
              <w:trPr>
                <w:trHeight w:val="454" w:hRule="atLeast"/>
                <w:jc w:val="center"/>
              </w:trPr>
              <w:tc>
                <w:tcPr>
                  <w:tcW w:w="2050" w:type="dxa"/>
                  <w:tcBorders>
                    <w:top w:val="single" w:color="auto" w:sz="4" w:space="0"/>
                    <w:bottom w:val="single" w:color="auto" w:sz="4" w:space="0"/>
                    <w:right w:val="single" w:color="auto" w:sz="4" w:space="0"/>
                  </w:tcBorders>
                  <w:vAlign w:val="center"/>
                </w:tcPr>
                <w:p w14:paraId="41A90520">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沉降速度（m/s）</w:t>
                  </w:r>
                </w:p>
              </w:tc>
              <w:tc>
                <w:tcPr>
                  <w:tcW w:w="923" w:type="dxa"/>
                  <w:tcBorders>
                    <w:top w:val="single" w:color="auto" w:sz="4" w:space="0"/>
                    <w:left w:val="nil"/>
                    <w:bottom w:val="single" w:color="auto" w:sz="4" w:space="0"/>
                    <w:right w:val="single" w:color="auto" w:sz="4" w:space="0"/>
                  </w:tcBorders>
                  <w:vAlign w:val="center"/>
                </w:tcPr>
                <w:p w14:paraId="7D814303">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0.158</w:t>
                  </w:r>
                </w:p>
              </w:tc>
              <w:tc>
                <w:tcPr>
                  <w:tcW w:w="922" w:type="dxa"/>
                  <w:tcBorders>
                    <w:top w:val="single" w:color="auto" w:sz="4" w:space="0"/>
                    <w:left w:val="nil"/>
                    <w:bottom w:val="single" w:color="auto" w:sz="4" w:space="0"/>
                    <w:right w:val="single" w:color="auto" w:sz="4" w:space="0"/>
                  </w:tcBorders>
                  <w:vAlign w:val="center"/>
                </w:tcPr>
                <w:p w14:paraId="5F4A404F">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0.170</w:t>
                  </w:r>
                </w:p>
              </w:tc>
              <w:tc>
                <w:tcPr>
                  <w:tcW w:w="923" w:type="dxa"/>
                  <w:tcBorders>
                    <w:top w:val="single" w:color="auto" w:sz="4" w:space="0"/>
                    <w:left w:val="nil"/>
                    <w:bottom w:val="single" w:color="auto" w:sz="4" w:space="0"/>
                    <w:right w:val="single" w:color="auto" w:sz="4" w:space="0"/>
                  </w:tcBorders>
                  <w:vAlign w:val="center"/>
                </w:tcPr>
                <w:p w14:paraId="19606D56">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0.182</w:t>
                  </w:r>
                </w:p>
              </w:tc>
              <w:tc>
                <w:tcPr>
                  <w:tcW w:w="921" w:type="dxa"/>
                  <w:tcBorders>
                    <w:top w:val="single" w:color="auto" w:sz="4" w:space="0"/>
                    <w:left w:val="nil"/>
                    <w:bottom w:val="single" w:color="auto" w:sz="4" w:space="0"/>
                    <w:right w:val="single" w:color="auto" w:sz="4" w:space="0"/>
                  </w:tcBorders>
                  <w:vAlign w:val="center"/>
                </w:tcPr>
                <w:p w14:paraId="28B5DAA3">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0.239</w:t>
                  </w:r>
                </w:p>
              </w:tc>
              <w:tc>
                <w:tcPr>
                  <w:tcW w:w="922" w:type="dxa"/>
                  <w:tcBorders>
                    <w:top w:val="single" w:color="auto" w:sz="4" w:space="0"/>
                    <w:left w:val="nil"/>
                    <w:bottom w:val="single" w:color="auto" w:sz="4" w:space="0"/>
                    <w:right w:val="single" w:color="auto" w:sz="4" w:space="0"/>
                  </w:tcBorders>
                  <w:vAlign w:val="center"/>
                </w:tcPr>
                <w:p w14:paraId="4557F172">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0.804</w:t>
                  </w:r>
                </w:p>
              </w:tc>
              <w:tc>
                <w:tcPr>
                  <w:tcW w:w="921" w:type="dxa"/>
                  <w:tcBorders>
                    <w:top w:val="single" w:color="auto" w:sz="4" w:space="0"/>
                    <w:left w:val="nil"/>
                    <w:bottom w:val="single" w:color="auto" w:sz="4" w:space="0"/>
                    <w:right w:val="single" w:color="auto" w:sz="4" w:space="0"/>
                  </w:tcBorders>
                  <w:vAlign w:val="center"/>
                </w:tcPr>
                <w:p w14:paraId="03F0DF1F">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1.005</w:t>
                  </w:r>
                </w:p>
              </w:tc>
              <w:tc>
                <w:tcPr>
                  <w:tcW w:w="922" w:type="dxa"/>
                  <w:tcBorders>
                    <w:top w:val="single" w:color="auto" w:sz="4" w:space="0"/>
                    <w:left w:val="nil"/>
                    <w:bottom w:val="single" w:color="auto" w:sz="4" w:space="0"/>
                  </w:tcBorders>
                  <w:vAlign w:val="center"/>
                </w:tcPr>
                <w:p w14:paraId="58B93B80">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1.829</w:t>
                  </w:r>
                </w:p>
              </w:tc>
            </w:tr>
            <w:tr w14:paraId="74CA9825">
              <w:tblPrEx>
                <w:tblCellMar>
                  <w:top w:w="0" w:type="dxa"/>
                  <w:left w:w="0" w:type="dxa"/>
                  <w:bottom w:w="0" w:type="dxa"/>
                  <w:right w:w="0" w:type="dxa"/>
                </w:tblCellMar>
              </w:tblPrEx>
              <w:trPr>
                <w:trHeight w:val="454" w:hRule="atLeast"/>
                <w:jc w:val="center"/>
              </w:trPr>
              <w:tc>
                <w:tcPr>
                  <w:tcW w:w="2050" w:type="dxa"/>
                  <w:tcBorders>
                    <w:top w:val="single" w:color="auto" w:sz="4" w:space="0"/>
                    <w:bottom w:val="single" w:color="auto" w:sz="4" w:space="0"/>
                    <w:right w:val="single" w:color="auto" w:sz="4" w:space="0"/>
                  </w:tcBorders>
                  <w:vAlign w:val="center"/>
                </w:tcPr>
                <w:p w14:paraId="5ECB84F1">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粉尘粒径（μm）</w:t>
                  </w:r>
                </w:p>
              </w:tc>
              <w:tc>
                <w:tcPr>
                  <w:tcW w:w="923" w:type="dxa"/>
                  <w:tcBorders>
                    <w:top w:val="single" w:color="auto" w:sz="4" w:space="0"/>
                    <w:left w:val="nil"/>
                    <w:bottom w:val="single" w:color="auto" w:sz="4" w:space="0"/>
                    <w:right w:val="single" w:color="auto" w:sz="4" w:space="0"/>
                  </w:tcBorders>
                  <w:vAlign w:val="center"/>
                </w:tcPr>
                <w:p w14:paraId="32DF4BCA">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450</w:t>
                  </w:r>
                </w:p>
              </w:tc>
              <w:tc>
                <w:tcPr>
                  <w:tcW w:w="922" w:type="dxa"/>
                  <w:tcBorders>
                    <w:top w:val="single" w:color="auto" w:sz="4" w:space="0"/>
                    <w:left w:val="nil"/>
                    <w:bottom w:val="single" w:color="auto" w:sz="4" w:space="0"/>
                    <w:right w:val="single" w:color="auto" w:sz="4" w:space="0"/>
                  </w:tcBorders>
                  <w:vAlign w:val="center"/>
                </w:tcPr>
                <w:p w14:paraId="3EA3B359">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550</w:t>
                  </w:r>
                </w:p>
              </w:tc>
              <w:tc>
                <w:tcPr>
                  <w:tcW w:w="923" w:type="dxa"/>
                  <w:tcBorders>
                    <w:top w:val="single" w:color="auto" w:sz="4" w:space="0"/>
                    <w:left w:val="nil"/>
                    <w:bottom w:val="single" w:color="auto" w:sz="4" w:space="0"/>
                    <w:right w:val="single" w:color="auto" w:sz="4" w:space="0"/>
                  </w:tcBorders>
                  <w:vAlign w:val="center"/>
                </w:tcPr>
                <w:p w14:paraId="34870680">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650</w:t>
                  </w:r>
                </w:p>
              </w:tc>
              <w:tc>
                <w:tcPr>
                  <w:tcW w:w="921" w:type="dxa"/>
                  <w:tcBorders>
                    <w:top w:val="single" w:color="auto" w:sz="4" w:space="0"/>
                    <w:left w:val="nil"/>
                    <w:bottom w:val="single" w:color="auto" w:sz="4" w:space="0"/>
                    <w:right w:val="single" w:color="auto" w:sz="4" w:space="0"/>
                  </w:tcBorders>
                  <w:vAlign w:val="center"/>
                </w:tcPr>
                <w:p w14:paraId="4C7149E7">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750</w:t>
                  </w:r>
                </w:p>
              </w:tc>
              <w:tc>
                <w:tcPr>
                  <w:tcW w:w="922" w:type="dxa"/>
                  <w:tcBorders>
                    <w:top w:val="single" w:color="auto" w:sz="4" w:space="0"/>
                    <w:left w:val="nil"/>
                    <w:bottom w:val="single" w:color="auto" w:sz="4" w:space="0"/>
                    <w:right w:val="single" w:color="auto" w:sz="4" w:space="0"/>
                  </w:tcBorders>
                  <w:vAlign w:val="center"/>
                </w:tcPr>
                <w:p w14:paraId="1F06996A">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850</w:t>
                  </w:r>
                </w:p>
              </w:tc>
              <w:tc>
                <w:tcPr>
                  <w:tcW w:w="921" w:type="dxa"/>
                  <w:tcBorders>
                    <w:top w:val="single" w:color="auto" w:sz="4" w:space="0"/>
                    <w:left w:val="nil"/>
                    <w:bottom w:val="single" w:color="auto" w:sz="4" w:space="0"/>
                    <w:right w:val="single" w:color="auto" w:sz="4" w:space="0"/>
                  </w:tcBorders>
                  <w:vAlign w:val="center"/>
                </w:tcPr>
                <w:p w14:paraId="79AD28CB">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950</w:t>
                  </w:r>
                </w:p>
              </w:tc>
              <w:tc>
                <w:tcPr>
                  <w:tcW w:w="922" w:type="dxa"/>
                  <w:tcBorders>
                    <w:top w:val="single" w:color="auto" w:sz="4" w:space="0"/>
                    <w:left w:val="nil"/>
                    <w:bottom w:val="single" w:color="auto" w:sz="4" w:space="0"/>
                  </w:tcBorders>
                  <w:vAlign w:val="center"/>
                </w:tcPr>
                <w:p w14:paraId="078126D6">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1050</w:t>
                  </w:r>
                </w:p>
              </w:tc>
            </w:tr>
            <w:tr w14:paraId="4023967C">
              <w:tblPrEx>
                <w:tblCellMar>
                  <w:top w:w="0" w:type="dxa"/>
                  <w:left w:w="0" w:type="dxa"/>
                  <w:bottom w:w="0" w:type="dxa"/>
                  <w:right w:w="0" w:type="dxa"/>
                </w:tblCellMar>
              </w:tblPrEx>
              <w:trPr>
                <w:trHeight w:val="454" w:hRule="atLeast"/>
                <w:jc w:val="center"/>
              </w:trPr>
              <w:tc>
                <w:tcPr>
                  <w:tcW w:w="2050" w:type="dxa"/>
                  <w:tcBorders>
                    <w:top w:val="single" w:color="auto" w:sz="4" w:space="0"/>
                    <w:bottom w:val="single" w:color="auto" w:sz="12" w:space="0"/>
                    <w:right w:val="single" w:color="auto" w:sz="4" w:space="0"/>
                  </w:tcBorders>
                  <w:vAlign w:val="center"/>
                </w:tcPr>
                <w:p w14:paraId="494F9A2A">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沉降速度（m/s）</w:t>
                  </w:r>
                </w:p>
              </w:tc>
              <w:tc>
                <w:tcPr>
                  <w:tcW w:w="923" w:type="dxa"/>
                  <w:tcBorders>
                    <w:top w:val="single" w:color="auto" w:sz="4" w:space="0"/>
                    <w:left w:val="nil"/>
                    <w:bottom w:val="single" w:color="auto" w:sz="12" w:space="0"/>
                    <w:right w:val="single" w:color="auto" w:sz="4" w:space="0"/>
                  </w:tcBorders>
                  <w:vAlign w:val="center"/>
                </w:tcPr>
                <w:p w14:paraId="0380B9D5">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2.211</w:t>
                  </w:r>
                </w:p>
              </w:tc>
              <w:tc>
                <w:tcPr>
                  <w:tcW w:w="922" w:type="dxa"/>
                  <w:tcBorders>
                    <w:top w:val="single" w:color="auto" w:sz="4" w:space="0"/>
                    <w:left w:val="nil"/>
                    <w:bottom w:val="single" w:color="auto" w:sz="12" w:space="0"/>
                    <w:right w:val="single" w:color="auto" w:sz="4" w:space="0"/>
                  </w:tcBorders>
                  <w:vAlign w:val="center"/>
                </w:tcPr>
                <w:p w14:paraId="56224735">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2.614</w:t>
                  </w:r>
                </w:p>
              </w:tc>
              <w:tc>
                <w:tcPr>
                  <w:tcW w:w="923" w:type="dxa"/>
                  <w:tcBorders>
                    <w:top w:val="single" w:color="auto" w:sz="4" w:space="0"/>
                    <w:left w:val="nil"/>
                    <w:bottom w:val="single" w:color="auto" w:sz="12" w:space="0"/>
                    <w:right w:val="single" w:color="auto" w:sz="4" w:space="0"/>
                  </w:tcBorders>
                  <w:vAlign w:val="center"/>
                </w:tcPr>
                <w:p w14:paraId="3D824E7F">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3.016</w:t>
                  </w:r>
                </w:p>
              </w:tc>
              <w:tc>
                <w:tcPr>
                  <w:tcW w:w="921" w:type="dxa"/>
                  <w:tcBorders>
                    <w:top w:val="single" w:color="auto" w:sz="4" w:space="0"/>
                    <w:left w:val="nil"/>
                    <w:bottom w:val="single" w:color="auto" w:sz="12" w:space="0"/>
                    <w:right w:val="single" w:color="auto" w:sz="4" w:space="0"/>
                  </w:tcBorders>
                  <w:vAlign w:val="center"/>
                </w:tcPr>
                <w:p w14:paraId="64FC934E">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3.418</w:t>
                  </w:r>
                </w:p>
              </w:tc>
              <w:tc>
                <w:tcPr>
                  <w:tcW w:w="922" w:type="dxa"/>
                  <w:tcBorders>
                    <w:top w:val="single" w:color="auto" w:sz="4" w:space="0"/>
                    <w:left w:val="nil"/>
                    <w:bottom w:val="single" w:color="auto" w:sz="12" w:space="0"/>
                    <w:right w:val="single" w:color="auto" w:sz="4" w:space="0"/>
                  </w:tcBorders>
                  <w:vAlign w:val="center"/>
                </w:tcPr>
                <w:p w14:paraId="6B3C0931">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3.820</w:t>
                  </w:r>
                </w:p>
              </w:tc>
              <w:tc>
                <w:tcPr>
                  <w:tcW w:w="921" w:type="dxa"/>
                  <w:tcBorders>
                    <w:top w:val="single" w:color="auto" w:sz="4" w:space="0"/>
                    <w:left w:val="nil"/>
                    <w:bottom w:val="single" w:color="auto" w:sz="12" w:space="0"/>
                    <w:right w:val="single" w:color="auto" w:sz="4" w:space="0"/>
                  </w:tcBorders>
                  <w:vAlign w:val="center"/>
                </w:tcPr>
                <w:p w14:paraId="39E560A5">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4.222</w:t>
                  </w:r>
                </w:p>
              </w:tc>
              <w:tc>
                <w:tcPr>
                  <w:tcW w:w="922" w:type="dxa"/>
                  <w:tcBorders>
                    <w:top w:val="single" w:color="auto" w:sz="4" w:space="0"/>
                    <w:left w:val="nil"/>
                    <w:bottom w:val="single" w:color="auto" w:sz="12" w:space="0"/>
                  </w:tcBorders>
                  <w:vAlign w:val="center"/>
                </w:tcPr>
                <w:p w14:paraId="68F71246">
                  <w:pPr>
                    <w:keepNext w:val="0"/>
                    <w:keepLines w:val="0"/>
                    <w:pageBreakBefore w:val="0"/>
                    <w:kinsoku/>
                    <w:wordWrap/>
                    <w:overflowPunct/>
                    <w:bidi w:val="0"/>
                    <w:adjustRightInd/>
                    <w:snapToGrid/>
                    <w:spacing w:line="360" w:lineRule="auto"/>
                    <w:ind w:left="0" w:leftChars="0" w:right="0" w:rightChars="0"/>
                    <w:jc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4.624</w:t>
                  </w:r>
                </w:p>
              </w:tc>
            </w:tr>
          </w:tbl>
          <w:p w14:paraId="58E57546">
            <w:pPr>
              <w:keepNext w:val="0"/>
              <w:keepLines w:val="0"/>
              <w:pageBreakBefore w:val="0"/>
              <w:kinsoku/>
              <w:wordWrap/>
              <w:overflowPunct/>
              <w:bidi w:val="0"/>
              <w:adjustRightInd/>
              <w:snapToGrid/>
              <w:spacing w:line="360" w:lineRule="auto"/>
              <w:ind w:left="0" w:leftChars="0" w:right="0" w:rightChars="0" w:firstLine="468" w:firstLineChars="200"/>
              <w:outlineLvl w:val="9"/>
              <w:rPr>
                <w:rFonts w:ascii="Times New Roman" w:hAnsi="Times New Roman" w:cs="Times New Roman"/>
                <w:color w:val="auto"/>
                <w:spacing w:val="-3"/>
                <w:sz w:val="24"/>
                <w:szCs w:val="24"/>
              </w:rPr>
            </w:pPr>
            <w:r>
              <w:rPr>
                <w:rFonts w:ascii="Times New Roman" w:hAnsi="Times New Roman" w:cs="Times New Roman"/>
                <w:color w:val="auto"/>
                <w:spacing w:val="-3"/>
                <w:sz w:val="24"/>
                <w:szCs w:val="24"/>
              </w:rPr>
              <w:t>土石方阶段的粉尘主要来自土方的挖掘和回填扬尘、现场堆放扬尘和运输车辆扬尘，土方的开挖和回填作业产生的扬尘污染与气候有关，晴天大风时对下风向的污染较重，一般情况下在距施工现场100～500m范围以外可符合标准要求。另外根据有关资料，施工扬尘的影响范围可达周围50m左右，在进行洒水作业对路面保持一定湿润度后，扬尘的影响范围可控制在30m范围内。根据类比调查资料，测定时风速为2.4m/s，测试结果表明建筑施工扬尘严重，工地内TSP浓度相当于大气环境标准的1.4～2.5倍，施工扬尘的影响范围达下风向150m处，水泥储料站扬尘影响范围在距其150m处TSP浓度既可降至为1.00mg/m</w:t>
            </w:r>
            <w:r>
              <w:rPr>
                <w:rFonts w:ascii="Times New Roman" w:hAnsi="Times New Roman" w:cs="Times New Roman"/>
                <w:color w:val="auto"/>
                <w:spacing w:val="-3"/>
                <w:sz w:val="24"/>
                <w:szCs w:val="24"/>
                <w:vertAlign w:val="superscript"/>
              </w:rPr>
              <w:t>3</w:t>
            </w:r>
            <w:r>
              <w:rPr>
                <w:rFonts w:ascii="Times New Roman" w:hAnsi="Times New Roman" w:cs="Times New Roman"/>
                <w:color w:val="auto"/>
                <w:spacing w:val="-3"/>
                <w:sz w:val="24"/>
                <w:szCs w:val="24"/>
              </w:rPr>
              <w:t>以下。施工及运输车辆引起的扬尘对路边30m范围以内影响较大，路边的TSP浓度可达10mg/m</w:t>
            </w:r>
            <w:r>
              <w:rPr>
                <w:rFonts w:ascii="Times New Roman" w:hAnsi="Times New Roman" w:cs="Times New Roman"/>
                <w:color w:val="auto"/>
                <w:spacing w:val="-3"/>
                <w:sz w:val="24"/>
                <w:szCs w:val="24"/>
                <w:vertAlign w:val="superscript"/>
              </w:rPr>
              <w:t>3</w:t>
            </w:r>
            <w:r>
              <w:rPr>
                <w:rFonts w:ascii="Times New Roman" w:hAnsi="Times New Roman" w:cs="Times New Roman"/>
                <w:color w:val="auto"/>
                <w:spacing w:val="-3"/>
                <w:sz w:val="24"/>
                <w:szCs w:val="24"/>
              </w:rPr>
              <w:t>以上。为减少项目施工期扬尘可能对其产生的影响，并且减小施工期扬尘的影响范围和影响程度，需要采取洒水、围挡等污染缓解措施。</w:t>
            </w:r>
          </w:p>
          <w:p w14:paraId="1C9D246C">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default" w:ascii="Times New Roman" w:hAnsi="Times New Roman" w:eastAsia="宋体" w:cs="Times New Roman"/>
                <w:color w:val="auto"/>
                <w:sz w:val="24"/>
                <w:szCs w:val="24"/>
              </w:rPr>
            </w:pPr>
            <w:r>
              <w:rPr>
                <w:rFonts w:hint="eastAsia" w:cs="Times New Roman"/>
                <w:color w:val="auto"/>
                <w:sz w:val="24"/>
                <w:szCs w:val="24"/>
                <w:highlight w:val="none"/>
                <w:lang w:eastAsia="zh-CN"/>
              </w:rPr>
              <w:t>根据湖北省出台的</w:t>
            </w:r>
            <w:r>
              <w:rPr>
                <w:rFonts w:hint="eastAsia" w:ascii="Times New Roman" w:hAnsi="Times New Roman" w:cs="Times New Roman"/>
                <w:color w:val="auto"/>
                <w:sz w:val="24"/>
                <w:szCs w:val="24"/>
                <w:highlight w:val="none"/>
              </w:rPr>
              <w:t>《湖北省建筑施工扬尘防治工作实施方案》</w:t>
            </w:r>
            <w:r>
              <w:rPr>
                <w:rFonts w:hint="eastAsia" w:cs="Times New Roman"/>
                <w:color w:val="auto"/>
                <w:sz w:val="24"/>
                <w:szCs w:val="24"/>
                <w:highlight w:val="none"/>
                <w:lang w:eastAsia="zh-CN"/>
              </w:rPr>
              <w:t>文件和</w:t>
            </w:r>
            <w:r>
              <w:rPr>
                <w:rFonts w:hint="eastAsia" w:cs="Times New Roman"/>
                <w:color w:val="auto"/>
                <w:sz w:val="24"/>
                <w:szCs w:val="24"/>
                <w:lang w:eastAsia="zh-CN"/>
              </w:rPr>
              <w:t>鄂州市政府</w:t>
            </w:r>
            <w:r>
              <w:rPr>
                <w:rFonts w:ascii="Times New Roman" w:hAnsi="Times New Roman" w:cs="Times New Roman"/>
                <w:color w:val="auto"/>
                <w:sz w:val="24"/>
                <w:szCs w:val="24"/>
              </w:rPr>
              <w:t>发布的</w:t>
            </w:r>
            <w:r>
              <w:rPr>
                <w:rFonts w:hint="default" w:ascii="Times New Roman" w:hAnsi="Times New Roman" w:eastAsia="宋体" w:cs="Times New Roman"/>
                <w:color w:val="auto"/>
                <w:sz w:val="24"/>
                <w:szCs w:val="24"/>
              </w:rPr>
              <w:t>《鄂州市扬尘污染防治管理办法（修订）》</w:t>
            </w:r>
            <w:r>
              <w:rPr>
                <w:rFonts w:hint="eastAsia" w:cs="Times New Roman"/>
                <w:color w:val="auto"/>
                <w:sz w:val="24"/>
                <w:szCs w:val="24"/>
                <w:lang w:eastAsia="zh-CN"/>
              </w:rPr>
              <w:t>文件的要求，</w:t>
            </w:r>
            <w:r>
              <w:rPr>
                <w:rFonts w:ascii="Times New Roman" w:hAnsi="Times New Roman" w:cs="Times New Roman"/>
                <w:color w:val="auto"/>
                <w:sz w:val="24"/>
                <w:szCs w:val="24"/>
              </w:rPr>
              <w:t>建设单位在项目施工期间必需对施工期间的扬尘污染源严格管理，施工期环境空气防治措施</w:t>
            </w:r>
            <w:r>
              <w:rPr>
                <w:rFonts w:hint="eastAsia" w:cs="Times New Roman"/>
                <w:color w:val="auto"/>
                <w:sz w:val="24"/>
                <w:szCs w:val="24"/>
                <w:lang w:eastAsia="zh-CN"/>
              </w:rPr>
              <w:t>主要有</w:t>
            </w:r>
            <w:r>
              <w:rPr>
                <w:rFonts w:ascii="Times New Roman" w:hAnsi="Times New Roman" w:cs="Times New Roman"/>
                <w:color w:val="auto"/>
                <w:sz w:val="24"/>
                <w:szCs w:val="24"/>
              </w:rPr>
              <w:t>：</w:t>
            </w:r>
          </w:p>
          <w:p w14:paraId="7DB88947">
            <w:pPr>
              <w:pStyle w:val="1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color w:val="auto"/>
                <w:sz w:val="24"/>
                <w:szCs w:val="24"/>
                <w:highlight w:val="none"/>
              </w:rPr>
            </w:pPr>
            <w:r>
              <w:rPr>
                <w:rFonts w:hint="eastAsia"/>
                <w:color w:val="auto"/>
                <w:sz w:val="24"/>
                <w:szCs w:val="24"/>
                <w:highlight w:val="none"/>
              </w:rPr>
              <w:t>①</w:t>
            </w:r>
            <w:r>
              <w:rPr>
                <w:color w:val="auto"/>
                <w:sz w:val="24"/>
                <w:szCs w:val="24"/>
                <w:highlight w:val="none"/>
              </w:rPr>
              <w:t>建立完善建筑施工扬尘防治专项措施报备制度。新开工程提交的安全文明施工保证措施中，必须包含施工总承包单位编制的施工现场扬尘防治管控措施，并由项目总监理工程师审核签字。</w:t>
            </w:r>
          </w:p>
          <w:p w14:paraId="491142FF">
            <w:pPr>
              <w:pStyle w:val="1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cs="Times New Roman"/>
                <w:color w:val="auto"/>
                <w:sz w:val="24"/>
                <w:szCs w:val="24"/>
                <w:lang w:eastAsia="zh-CN"/>
              </w:rPr>
            </w:pPr>
            <w:r>
              <w:rPr>
                <w:rFonts w:hint="eastAsia"/>
                <w:color w:val="auto"/>
                <w:sz w:val="24"/>
                <w:szCs w:val="24"/>
                <w:highlight w:val="none"/>
              </w:rPr>
              <w:t>②</w:t>
            </w:r>
            <w:r>
              <w:rPr>
                <w:color w:val="auto"/>
                <w:sz w:val="24"/>
                <w:szCs w:val="24"/>
                <w:highlight w:val="none"/>
              </w:rPr>
              <w:t>严格实施建筑施工现场封闭管理。房屋建筑施工现场必须采用封闭围挡，主要道路和工地出入口硬化，配备施工车辆冲洗设备。</w:t>
            </w:r>
          </w:p>
          <w:p w14:paraId="797A3C59">
            <w:pPr>
              <w:pStyle w:val="1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cs="Times New Roman"/>
                <w:color w:val="auto"/>
                <w:sz w:val="24"/>
                <w:szCs w:val="24"/>
                <w:lang w:eastAsia="zh-CN"/>
              </w:rPr>
            </w:pPr>
            <w:r>
              <w:rPr>
                <w:rFonts w:hint="eastAsia"/>
                <w:color w:val="auto"/>
                <w:sz w:val="24"/>
                <w:szCs w:val="24"/>
                <w:highlight w:val="none"/>
              </w:rPr>
              <w:t>③</w:t>
            </w:r>
            <w:r>
              <w:rPr>
                <w:color w:val="auto"/>
                <w:sz w:val="24"/>
                <w:szCs w:val="24"/>
                <w:highlight w:val="none"/>
              </w:rPr>
              <w:t>强化施工过程防尘降尘管理。房屋建筑施工现场的水泥等易飞扬细颗粒建筑材料应存放于库房或密闭容器，土方和装修作业时采取喷雾降尘措施，房屋建筑工程裸土应采取覆盖或绿化处置。</w:t>
            </w:r>
          </w:p>
          <w:p w14:paraId="389F1666">
            <w:pPr>
              <w:pStyle w:val="1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cs="Times New Roman"/>
                <w:color w:val="auto"/>
                <w:sz w:val="24"/>
                <w:szCs w:val="24"/>
                <w:lang w:eastAsia="zh-CN"/>
              </w:rPr>
            </w:pPr>
            <w:r>
              <w:rPr>
                <w:rFonts w:hint="eastAsia"/>
                <w:color w:val="auto"/>
                <w:sz w:val="24"/>
                <w:szCs w:val="24"/>
                <w:highlight w:val="none"/>
              </w:rPr>
              <w:t>④</w:t>
            </w:r>
            <w:r>
              <w:rPr>
                <w:color w:val="auto"/>
                <w:sz w:val="24"/>
                <w:szCs w:val="24"/>
                <w:highlight w:val="none"/>
              </w:rPr>
              <w:t>落实建筑垃圾消纳控制措施。房屋建筑工程应采用密闭串桶或容器转运楼层建筑垃圾，建筑垃圾和生活垃圾密闭清运出场，严禁焚烧各类废弃物。</w:t>
            </w:r>
          </w:p>
          <w:p w14:paraId="79EBA3B7">
            <w:pPr>
              <w:pStyle w:val="1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cs="Times New Roman"/>
                <w:color w:val="auto"/>
                <w:sz w:val="24"/>
                <w:szCs w:val="24"/>
                <w:lang w:eastAsia="zh-CN"/>
              </w:rPr>
            </w:pPr>
            <w:r>
              <w:rPr>
                <w:rFonts w:hint="eastAsia"/>
                <w:color w:val="auto"/>
                <w:sz w:val="24"/>
                <w:szCs w:val="24"/>
                <w:highlight w:val="none"/>
              </w:rPr>
              <w:t>⑤</w:t>
            </w:r>
            <w:r>
              <w:rPr>
                <w:color w:val="auto"/>
                <w:sz w:val="24"/>
                <w:szCs w:val="24"/>
                <w:highlight w:val="none"/>
              </w:rPr>
              <w:t>完善市政工程扬尘防治手段。市政基础设施工程应根据现场条件设立固定或活动的围挡、警示标志，临近主要道路和居民生活区的一侧设置双层密目网，定时洒水喷雾降尘，定时清理排水系统，施工泥浆采用密闭容器存放，配备施工车辆冲洗设备。</w:t>
            </w:r>
          </w:p>
          <w:p w14:paraId="02521C26">
            <w:pPr>
              <w:pStyle w:val="1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cs="Times New Roman"/>
                <w:color w:val="auto"/>
                <w:sz w:val="24"/>
                <w:szCs w:val="24"/>
                <w:lang w:eastAsia="zh-CN"/>
              </w:rPr>
            </w:pPr>
            <w:r>
              <w:rPr>
                <w:rFonts w:hint="eastAsia"/>
                <w:color w:val="auto"/>
                <w:sz w:val="24"/>
                <w:szCs w:val="24"/>
                <w:highlight w:val="none"/>
              </w:rPr>
              <w:t>⑥</w:t>
            </w:r>
            <w:r>
              <w:rPr>
                <w:color w:val="auto"/>
                <w:sz w:val="24"/>
                <w:szCs w:val="24"/>
                <w:highlight w:val="none"/>
              </w:rPr>
              <w:t>完善拆除工程防治手段。施工区域设置硬质围挡及醒目警示标志，采取持续加压喷淋压尘或其他压尘措施抑制扬尘产生，5级以上风力或空气质量严重污染等恶劣天气时必须停止拆除作业。</w:t>
            </w:r>
          </w:p>
          <w:p w14:paraId="30E8694B">
            <w:pPr>
              <w:pStyle w:val="1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default" w:ascii="Times New Roman" w:hAnsi="Times New Roman" w:eastAsia="宋体" w:cs="Times New Roman"/>
                <w:color w:val="auto"/>
                <w:sz w:val="24"/>
                <w:szCs w:val="24"/>
              </w:rPr>
            </w:pPr>
            <w:r>
              <w:rPr>
                <w:rFonts w:hint="eastAsia"/>
                <w:color w:val="auto"/>
                <w:sz w:val="24"/>
                <w:szCs w:val="24"/>
                <w:highlight w:val="none"/>
              </w:rPr>
              <w:t>⑦</w:t>
            </w:r>
            <w:r>
              <w:rPr>
                <w:color w:val="auto"/>
                <w:sz w:val="24"/>
                <w:szCs w:val="24"/>
                <w:highlight w:val="none"/>
              </w:rPr>
              <w:t>加强预拌混凝土生产、运输环节管控。严格执行《预拌混凝土绿色生产管理规程》，采取覆盖、洒水（喷雾）、封闭、除尘等措施，有效控制因堆放、装卸、运输、搅拌等产生的粉尘污染，逐步建成绿色环保搅拌站。新、改、扩建预拌混凝土生产场地同步实施环保配套设施建设。搅拌楼生产应当实施封闭并采取防尘措施，搅拌站厂区出入口应当设置洗车台和冲洗设施。混凝土运输车辆应当采取预防渗漏措施，避免在运输途中滴、撒、漏。</w:t>
            </w:r>
          </w:p>
          <w:p w14:paraId="1D5402C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cs="Times New Roman"/>
                <w:color w:val="auto"/>
                <w:sz w:val="24"/>
                <w:szCs w:val="24"/>
              </w:rPr>
            </w:pPr>
            <w:r>
              <w:rPr>
                <w:rFonts w:ascii="Times New Roman" w:hAnsi="Times New Roman" w:cs="Times New Roman"/>
                <w:color w:val="auto"/>
                <w:sz w:val="24"/>
                <w:szCs w:val="24"/>
              </w:rPr>
              <w:t>通过采取以上措施，</w:t>
            </w:r>
            <w:r>
              <w:rPr>
                <w:rFonts w:hint="eastAsia" w:ascii="Times New Roman" w:hAnsi="Times New Roman" w:cs="Times New Roman"/>
                <w:color w:val="auto"/>
                <w:sz w:val="24"/>
                <w:szCs w:val="24"/>
                <w:lang w:eastAsia="zh-CN"/>
              </w:rPr>
              <w:t>施工期扬尘达到</w:t>
            </w:r>
            <w:r>
              <w:rPr>
                <w:rFonts w:hint="default" w:ascii="Times New Roman" w:hAnsi="Times New Roman" w:cs="Times New Roman"/>
                <w:color w:val="auto"/>
                <w:sz w:val="24"/>
                <w:szCs w:val="24"/>
              </w:rPr>
              <w:t>《大气污染物综合排放标准》</w:t>
            </w:r>
            <w:r>
              <w:rPr>
                <w:rFonts w:hint="eastAsia" w:ascii="Times New Roman" w:hAnsi="Times New Roman" w:cs="Times New Roman"/>
                <w:color w:val="auto"/>
                <w:sz w:val="24"/>
                <w:szCs w:val="24"/>
                <w:lang w:eastAsia="zh-CN"/>
              </w:rPr>
              <w:t>（</w:t>
            </w:r>
            <w:r>
              <w:rPr>
                <w:rFonts w:hint="default" w:ascii="Times New Roman" w:hAnsi="Times New Roman" w:cs="Times New Roman"/>
                <w:color w:val="auto"/>
                <w:sz w:val="24"/>
                <w:szCs w:val="24"/>
              </w:rPr>
              <w:t>GB16297-1996</w:t>
            </w:r>
            <w:r>
              <w:rPr>
                <w:rFonts w:hint="eastAsia" w:ascii="Times New Roman" w:hAnsi="Times New Roman" w:cs="Times New Roman"/>
                <w:color w:val="auto"/>
                <w:sz w:val="24"/>
                <w:szCs w:val="24"/>
                <w:lang w:eastAsia="zh-CN"/>
              </w:rPr>
              <w:t>）</w:t>
            </w:r>
            <w:r>
              <w:rPr>
                <w:rFonts w:hint="default" w:ascii="Times New Roman" w:hAnsi="Times New Roman" w:cs="Times New Roman"/>
                <w:color w:val="auto"/>
                <w:sz w:val="24"/>
                <w:szCs w:val="24"/>
              </w:rPr>
              <w:t>表2</w:t>
            </w:r>
            <w:r>
              <w:rPr>
                <w:rFonts w:hint="eastAsia" w:ascii="Times New Roman" w:hAnsi="Times New Roman" w:cs="Times New Roman"/>
                <w:color w:val="auto"/>
                <w:sz w:val="24"/>
                <w:szCs w:val="24"/>
                <w:lang w:eastAsia="zh-CN"/>
              </w:rPr>
              <w:t>新污染源大气污染物无组织排放监控浓度限值，</w:t>
            </w:r>
            <w:r>
              <w:rPr>
                <w:rFonts w:ascii="Times New Roman" w:hAnsi="Times New Roman" w:cs="Times New Roman"/>
                <w:color w:val="auto"/>
                <w:sz w:val="24"/>
                <w:szCs w:val="24"/>
              </w:rPr>
              <w:t>可最大限度的降低施工期粉尘对周边居民的影响。施工扬尘随着施工期的结束而自然消失，其影响也是相对短暂的。</w:t>
            </w:r>
          </w:p>
          <w:p w14:paraId="2804450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cs="Times New Roman"/>
                <w:color w:val="auto"/>
                <w:sz w:val="24"/>
                <w:szCs w:val="24"/>
              </w:rPr>
            </w:pPr>
            <w:r>
              <w:rPr>
                <w:rFonts w:hint="eastAsia" w:cs="Times New Roman"/>
                <w:color w:val="auto"/>
                <w:sz w:val="24"/>
                <w:szCs w:val="24"/>
                <w:lang w:val="en-US" w:eastAsia="zh-CN"/>
              </w:rPr>
              <w:t>1.2、</w:t>
            </w:r>
            <w:r>
              <w:rPr>
                <w:rFonts w:ascii="Times New Roman" w:hAnsi="Times New Roman" w:cs="Times New Roman"/>
                <w:color w:val="auto"/>
                <w:sz w:val="24"/>
                <w:szCs w:val="24"/>
              </w:rPr>
              <w:t>燃油废气</w:t>
            </w:r>
          </w:p>
          <w:p w14:paraId="07D0CBED">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sz w:val="24"/>
                <w:szCs w:val="24"/>
              </w:rPr>
            </w:pPr>
            <w:r>
              <w:rPr>
                <w:rFonts w:ascii="Times New Roman" w:hAnsi="Times New Roman" w:cs="Times New Roman"/>
                <w:color w:val="auto"/>
                <w:sz w:val="24"/>
                <w:szCs w:val="24"/>
              </w:rPr>
              <w:t>施工期各种运输车辆在运行的过程中都会产生燃油废气，其主要成分为</w:t>
            </w:r>
            <w:r>
              <w:rPr>
                <w:rFonts w:ascii="Times New Roman" w:hAnsi="Times New Roman" w:cs="Times New Roman"/>
                <w:color w:val="auto"/>
                <w:sz w:val="24"/>
                <w:szCs w:val="24"/>
                <w:lang w:val="zh-CN"/>
              </w:rPr>
              <w:t>SO</w:t>
            </w:r>
            <w:r>
              <w:rPr>
                <w:rFonts w:ascii="Times New Roman" w:hAnsi="Times New Roman" w:cs="Times New Roman"/>
                <w:color w:val="auto"/>
                <w:sz w:val="24"/>
                <w:szCs w:val="24"/>
                <w:vertAlign w:val="subscript"/>
                <w:lang w:val="zh-CN"/>
              </w:rPr>
              <w:t>2</w:t>
            </w:r>
            <w:r>
              <w:rPr>
                <w:rFonts w:ascii="Times New Roman" w:hAnsi="Times New Roman" w:cs="Times New Roman"/>
                <w:color w:val="auto"/>
                <w:sz w:val="24"/>
                <w:szCs w:val="24"/>
                <w:lang w:val="zh-CN"/>
              </w:rPr>
              <w:t>、HC、NO</w:t>
            </w:r>
            <w:r>
              <w:rPr>
                <w:rFonts w:ascii="Times New Roman" w:hAnsi="Times New Roman" w:cs="Times New Roman"/>
                <w:color w:val="auto"/>
                <w:sz w:val="24"/>
                <w:szCs w:val="24"/>
              </w:rPr>
              <w:t>等，这些污染物主要对施工现场区域有一定影响，但由于这些污染物排放量很小，又为非连续性排放，通过加强设备维修保养等措施且经大气稀释扩散后对大气环境的影响小。</w:t>
            </w:r>
          </w:p>
          <w:p w14:paraId="7DFE6ADB">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sz w:val="24"/>
              </w:rPr>
            </w:pPr>
            <w:r>
              <w:rPr>
                <w:rFonts w:hint="eastAsia" w:cs="Times New Roman"/>
                <w:color w:val="auto"/>
                <w:sz w:val="24"/>
                <w:lang w:val="en-US" w:eastAsia="zh-CN"/>
              </w:rPr>
              <w:t>1.3、</w:t>
            </w:r>
            <w:r>
              <w:rPr>
                <w:rFonts w:ascii="Times New Roman" w:hAnsi="Times New Roman" w:cs="Times New Roman"/>
                <w:color w:val="auto"/>
                <w:sz w:val="24"/>
              </w:rPr>
              <w:t>装修废气</w:t>
            </w:r>
          </w:p>
          <w:p w14:paraId="3D496248">
            <w:pPr>
              <w:keepNext w:val="0"/>
              <w:keepLines w:val="0"/>
              <w:pageBreakBefore w:val="0"/>
              <w:kinsoku/>
              <w:wordWrap/>
              <w:overflowPunct/>
              <w:topLinePunct/>
              <w:bidi w:val="0"/>
              <w:adjustRightInd/>
              <w:snapToGrid/>
              <w:spacing w:line="360" w:lineRule="auto"/>
              <w:ind w:left="0" w:leftChars="0" w:right="0" w:rightChars="0" w:firstLine="482"/>
              <w:outlineLvl w:val="9"/>
              <w:rPr>
                <w:rFonts w:ascii="Times New Roman" w:hAnsi="Times New Roman" w:cs="Times New Roman"/>
                <w:color w:val="auto"/>
                <w:kern w:val="0"/>
                <w:sz w:val="24"/>
              </w:rPr>
            </w:pPr>
            <w:r>
              <w:rPr>
                <w:rFonts w:ascii="Times New Roman" w:hAnsi="Times New Roman" w:cs="Times New Roman"/>
                <w:color w:val="auto"/>
                <w:kern w:val="0"/>
                <w:sz w:val="24"/>
              </w:rPr>
              <w:t>根据工程分析，装修废气主要为油漆废气及甲醛。</w:t>
            </w:r>
            <w:r>
              <w:rPr>
                <w:rFonts w:ascii="Times New Roman" w:hAnsi="Times New Roman" w:cs="Times New Roman"/>
                <w:color w:val="auto"/>
                <w:sz w:val="24"/>
              </w:rPr>
              <w:t>本项目装修期间会向周围大气环境排放油漆废气（主要为甲苯和二甲苯），对人体有一定影响。</w:t>
            </w:r>
            <w:r>
              <w:rPr>
                <w:rFonts w:ascii="Times New Roman" w:hAnsi="Times New Roman" w:cs="Times New Roman"/>
                <w:color w:val="auto"/>
                <w:kern w:val="0"/>
                <w:sz w:val="24"/>
              </w:rPr>
              <w:t>甲醛是种原生毒物，空气中甲醛对室内暴露者的健康影响主要是嗅到异味、刺激眼和呼吸道粘膜、免疫功能异常、肝肺损伤等。人的甲醛嗅觉为0.06-0.07 mg/Nm</w:t>
            </w:r>
            <w:r>
              <w:rPr>
                <w:rFonts w:ascii="Times New Roman" w:hAnsi="Times New Roman" w:cs="Times New Roman"/>
                <w:color w:val="auto"/>
                <w:kern w:val="0"/>
                <w:sz w:val="24"/>
                <w:vertAlign w:val="superscript"/>
              </w:rPr>
              <w:t>3</w:t>
            </w:r>
            <w:r>
              <w:rPr>
                <w:rFonts w:ascii="Times New Roman" w:hAnsi="Times New Roman" w:cs="Times New Roman"/>
                <w:color w:val="auto"/>
                <w:kern w:val="0"/>
                <w:sz w:val="24"/>
              </w:rPr>
              <w:t>。根据有关文献资料，一般建筑物新装修后，甲醛峰值浓度为0.2mg/Nm</w:t>
            </w:r>
            <w:r>
              <w:rPr>
                <w:rFonts w:ascii="Times New Roman" w:hAnsi="Times New Roman" w:cs="Times New Roman"/>
                <w:color w:val="auto"/>
                <w:kern w:val="0"/>
                <w:sz w:val="24"/>
                <w:vertAlign w:val="superscript"/>
              </w:rPr>
              <w:t>3</w:t>
            </w:r>
            <w:r>
              <w:rPr>
                <w:rFonts w:ascii="Times New Roman" w:hAnsi="Times New Roman" w:cs="Times New Roman"/>
                <w:color w:val="auto"/>
                <w:kern w:val="0"/>
                <w:sz w:val="24"/>
              </w:rPr>
              <w:t>左右，对人体有一定的影响。</w:t>
            </w:r>
          </w:p>
          <w:p w14:paraId="0705E6B5">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rPr>
            </w:pPr>
            <w:r>
              <w:rPr>
                <w:rFonts w:ascii="Times New Roman" w:hAnsi="Times New Roman" w:cs="Times New Roman"/>
                <w:color w:val="auto"/>
                <w:kern w:val="0"/>
                <w:sz w:val="24"/>
              </w:rPr>
              <w:t>故在装修完毕后应充分开窗换气，并最好空房隔1个月之后再入住，使室内空气中各项污染指标达到《室内空气质量标准》</w:t>
            </w:r>
            <w:r>
              <w:rPr>
                <w:rFonts w:hint="eastAsia" w:cs="Times New Roman"/>
                <w:color w:val="auto"/>
                <w:kern w:val="0"/>
                <w:sz w:val="24"/>
                <w:lang w:eastAsia="zh-CN"/>
              </w:rPr>
              <w:t>（</w:t>
            </w:r>
            <w:r>
              <w:rPr>
                <w:rFonts w:ascii="Times New Roman" w:hAnsi="Times New Roman" w:cs="Times New Roman"/>
                <w:color w:val="auto"/>
                <w:kern w:val="0"/>
                <w:sz w:val="24"/>
              </w:rPr>
              <w:t>GB/T18883-2002</w:t>
            </w:r>
            <w:r>
              <w:rPr>
                <w:rFonts w:hint="eastAsia" w:cs="Times New Roman"/>
                <w:color w:val="auto"/>
                <w:kern w:val="0"/>
                <w:sz w:val="24"/>
                <w:lang w:eastAsia="zh-CN"/>
              </w:rPr>
              <w:t>）</w:t>
            </w:r>
            <w:r>
              <w:rPr>
                <w:rFonts w:ascii="Times New Roman" w:hAnsi="Times New Roman" w:cs="Times New Roman"/>
                <w:color w:val="auto"/>
                <w:kern w:val="0"/>
                <w:sz w:val="24"/>
              </w:rPr>
              <w:t>、2001年制定的《室内空气质量卫生规范》及《民用建筑工程室内环境污染控制规范》的限值要求，避免对室内环境造成污染、对人体产生不良的影响。</w:t>
            </w:r>
          </w:p>
          <w:p w14:paraId="7D206584">
            <w:pPr>
              <w:pStyle w:val="30"/>
              <w:spacing w:after="0"/>
              <w:rPr>
                <w:b/>
                <w:color w:val="auto"/>
              </w:rPr>
            </w:pPr>
            <w:r>
              <w:rPr>
                <w:rFonts w:hint="eastAsia"/>
                <w:b/>
                <w:color w:val="auto"/>
                <w:lang w:val="en-US" w:eastAsia="zh-CN"/>
              </w:rPr>
              <w:t>2、</w:t>
            </w:r>
            <w:r>
              <w:rPr>
                <w:b/>
                <w:color w:val="auto"/>
              </w:rPr>
              <w:t>水环境影响分析</w:t>
            </w:r>
          </w:p>
          <w:p w14:paraId="380D2469">
            <w:pPr>
              <w:pStyle w:val="30"/>
              <w:spacing w:after="0"/>
              <w:rPr>
                <w:color w:val="auto"/>
              </w:rPr>
            </w:pPr>
            <w:r>
              <w:rPr>
                <w:rFonts w:hint="eastAsia"/>
                <w:color w:val="auto"/>
                <w:lang w:val="en-US" w:eastAsia="zh-CN"/>
              </w:rPr>
              <w:t>2.1、施工期</w:t>
            </w:r>
            <w:r>
              <w:rPr>
                <w:color w:val="auto"/>
              </w:rPr>
              <w:t>生活污水</w:t>
            </w:r>
          </w:p>
          <w:p w14:paraId="3AD3545D">
            <w:pPr>
              <w:pStyle w:val="30"/>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rightChars="0" w:firstLine="468" w:firstLineChars="200"/>
              <w:jc w:val="both"/>
              <w:textAlignment w:val="auto"/>
              <w:outlineLvl w:val="9"/>
              <w:rPr>
                <w:rFonts w:hint="default" w:ascii="Times New Roman" w:hAnsi="Times New Roman" w:eastAsia="宋体" w:cs="Times New Roman"/>
                <w:bCs/>
                <w:color w:val="auto"/>
                <w:spacing w:val="-3"/>
                <w:szCs w:val="24"/>
              </w:rPr>
            </w:pPr>
            <w:r>
              <w:rPr>
                <w:rFonts w:hint="default" w:ascii="Times New Roman" w:hAnsi="Times New Roman" w:eastAsia="宋体" w:cs="Times New Roman"/>
                <w:bCs/>
                <w:color w:val="auto"/>
                <w:spacing w:val="-3"/>
              </w:rPr>
              <w:t>项目</w:t>
            </w:r>
            <w:r>
              <w:rPr>
                <w:rFonts w:hint="eastAsia" w:cs="Times New Roman"/>
                <w:bCs/>
                <w:color w:val="auto"/>
                <w:spacing w:val="-3"/>
                <w:lang w:eastAsia="zh-CN"/>
              </w:rPr>
              <w:t>已与葛店政府部门协商好，在项目施工期间就将市政污水管网接入项目所在地</w:t>
            </w:r>
            <w:r>
              <w:rPr>
                <w:rFonts w:hint="default" w:ascii="Times New Roman" w:hAnsi="Times New Roman" w:eastAsia="宋体" w:cs="Times New Roman"/>
                <w:bCs/>
                <w:color w:val="auto"/>
                <w:spacing w:val="-3"/>
              </w:rPr>
              <w:t>，</w:t>
            </w:r>
            <w:r>
              <w:rPr>
                <w:rFonts w:hint="eastAsia" w:cs="Times New Roman"/>
                <w:bCs/>
                <w:color w:val="auto"/>
                <w:spacing w:val="-3"/>
                <w:lang w:eastAsia="zh-CN"/>
              </w:rPr>
              <w:t>同时项目将在施工期设置</w:t>
            </w:r>
            <w:r>
              <w:rPr>
                <w:rFonts w:hint="default" w:ascii="Times New Roman" w:hAnsi="Times New Roman" w:eastAsia="宋体" w:cs="Times New Roman"/>
                <w:bCs/>
                <w:color w:val="auto"/>
                <w:spacing w:val="-3"/>
              </w:rPr>
              <w:t>临时</w:t>
            </w:r>
            <w:r>
              <w:rPr>
                <w:rFonts w:hint="default" w:ascii="Times New Roman" w:hAnsi="Times New Roman" w:eastAsia="宋体" w:cs="Times New Roman"/>
                <w:bCs/>
                <w:color w:val="auto"/>
                <w:spacing w:val="-3"/>
                <w:lang w:eastAsia="zh-CN"/>
              </w:rPr>
              <w:t>简易</w:t>
            </w:r>
            <w:r>
              <w:rPr>
                <w:rFonts w:hint="default" w:ascii="Times New Roman" w:hAnsi="Times New Roman" w:eastAsia="宋体" w:cs="Times New Roman"/>
                <w:bCs/>
                <w:color w:val="auto"/>
                <w:spacing w:val="-3"/>
              </w:rPr>
              <w:t>化粪池</w:t>
            </w:r>
            <w:r>
              <w:rPr>
                <w:rFonts w:hint="eastAsia" w:cs="Times New Roman"/>
                <w:bCs/>
                <w:color w:val="auto"/>
                <w:spacing w:val="-3"/>
                <w:lang w:eastAsia="zh-CN"/>
              </w:rPr>
              <w:t>，则</w:t>
            </w:r>
            <w:r>
              <w:rPr>
                <w:rFonts w:hint="default" w:ascii="Times New Roman" w:hAnsi="Times New Roman" w:eastAsia="宋体" w:cs="Times New Roman"/>
                <w:bCs/>
                <w:color w:val="auto"/>
                <w:spacing w:val="-3"/>
                <w:lang w:eastAsia="zh-CN"/>
              </w:rPr>
              <w:t>施工期</w:t>
            </w:r>
            <w:r>
              <w:rPr>
                <w:rFonts w:hint="default" w:ascii="Times New Roman" w:hAnsi="Times New Roman" w:eastAsia="宋体" w:cs="Times New Roman"/>
                <w:bCs/>
                <w:color w:val="auto"/>
                <w:spacing w:val="-3"/>
              </w:rPr>
              <w:t>生活污水</w:t>
            </w:r>
            <w:r>
              <w:rPr>
                <w:rFonts w:hint="eastAsia" w:cs="Times New Roman"/>
                <w:bCs/>
                <w:color w:val="auto"/>
                <w:spacing w:val="-3"/>
                <w:lang w:eastAsia="zh-CN"/>
              </w:rPr>
              <w:t>在经过</w:t>
            </w:r>
            <w:r>
              <w:rPr>
                <w:rFonts w:hint="default" w:ascii="Times New Roman" w:hAnsi="Times New Roman" w:eastAsia="宋体" w:cs="Times New Roman"/>
                <w:bCs/>
                <w:color w:val="auto"/>
                <w:spacing w:val="-3"/>
              </w:rPr>
              <w:t>临时</w:t>
            </w:r>
            <w:r>
              <w:rPr>
                <w:rFonts w:hint="default" w:ascii="Times New Roman" w:hAnsi="Times New Roman" w:eastAsia="宋体" w:cs="Times New Roman"/>
                <w:bCs/>
                <w:color w:val="auto"/>
                <w:spacing w:val="-3"/>
                <w:lang w:eastAsia="zh-CN"/>
              </w:rPr>
              <w:t>简易</w:t>
            </w:r>
            <w:r>
              <w:rPr>
                <w:rFonts w:hint="default" w:ascii="Times New Roman" w:hAnsi="Times New Roman" w:eastAsia="宋体" w:cs="Times New Roman"/>
                <w:bCs/>
                <w:color w:val="auto"/>
                <w:spacing w:val="-3"/>
              </w:rPr>
              <w:t>化粪池处理后</w:t>
            </w:r>
            <w:r>
              <w:rPr>
                <w:rFonts w:hint="default" w:ascii="Times New Roman" w:hAnsi="Times New Roman" w:eastAsia="宋体" w:cs="Times New Roman"/>
                <w:bCs/>
                <w:color w:val="auto"/>
                <w:spacing w:val="-3"/>
                <w:lang w:eastAsia="zh-CN"/>
              </w:rPr>
              <w:t>达到</w:t>
            </w:r>
            <w:r>
              <w:rPr>
                <w:rFonts w:hint="default" w:ascii="Times New Roman" w:hAnsi="Times New Roman" w:eastAsia="宋体" w:cs="Times New Roman"/>
                <w:bCs/>
                <w:color w:val="auto"/>
                <w:spacing w:val="-3"/>
              </w:rPr>
              <w:t>《污水综合排放标准》（GB8978-1996）</w:t>
            </w:r>
            <w:r>
              <w:rPr>
                <w:rFonts w:hint="default" w:ascii="Times New Roman" w:hAnsi="Times New Roman" w:eastAsia="宋体" w:cs="Times New Roman"/>
                <w:bCs/>
                <w:color w:val="auto"/>
                <w:spacing w:val="-3"/>
                <w:lang w:eastAsia="zh-CN"/>
              </w:rPr>
              <w:t>表</w:t>
            </w:r>
            <w:r>
              <w:rPr>
                <w:rFonts w:hint="default" w:ascii="Times New Roman" w:hAnsi="Times New Roman" w:eastAsia="宋体" w:cs="Times New Roman"/>
                <w:bCs/>
                <w:color w:val="auto"/>
                <w:spacing w:val="-3"/>
                <w:lang w:val="en-US" w:eastAsia="zh-CN"/>
              </w:rPr>
              <w:t>4</w:t>
            </w:r>
            <w:r>
              <w:rPr>
                <w:rFonts w:hint="default" w:ascii="Times New Roman" w:hAnsi="Times New Roman" w:eastAsia="宋体" w:cs="Times New Roman"/>
                <w:bCs/>
                <w:color w:val="auto"/>
                <w:spacing w:val="-3"/>
              </w:rPr>
              <w:t>三级标准，</w:t>
            </w:r>
            <w:r>
              <w:rPr>
                <w:rFonts w:hint="default" w:ascii="Times New Roman" w:hAnsi="Times New Roman" w:eastAsia="宋体" w:cs="Times New Roman"/>
                <w:bCs/>
                <w:color w:val="auto"/>
                <w:spacing w:val="-3"/>
                <w:lang w:eastAsia="zh-CN"/>
              </w:rPr>
              <w:t>同时氨氮达到</w:t>
            </w:r>
            <w:r>
              <w:rPr>
                <w:rFonts w:hint="default" w:ascii="Times New Roman" w:hAnsi="Times New Roman" w:eastAsia="宋体" w:cs="Times New Roman"/>
                <w:bCs/>
                <w:color w:val="auto"/>
                <w:spacing w:val="-3"/>
              </w:rPr>
              <w:t>《污水</w:t>
            </w:r>
            <w:r>
              <w:rPr>
                <w:rFonts w:hint="default" w:ascii="Times New Roman" w:hAnsi="Times New Roman" w:eastAsia="宋体" w:cs="Times New Roman"/>
                <w:bCs/>
                <w:color w:val="auto"/>
                <w:spacing w:val="-3"/>
                <w:lang w:eastAsia="zh-CN"/>
              </w:rPr>
              <w:t>排入城镇下水道水质</w:t>
            </w:r>
            <w:r>
              <w:rPr>
                <w:rFonts w:hint="default" w:ascii="Times New Roman" w:hAnsi="Times New Roman" w:eastAsia="宋体" w:cs="Times New Roman"/>
                <w:bCs/>
                <w:color w:val="auto"/>
                <w:spacing w:val="-3"/>
              </w:rPr>
              <w:t>标准》（GB</w:t>
            </w:r>
            <w:r>
              <w:rPr>
                <w:rFonts w:hint="default" w:ascii="Times New Roman" w:hAnsi="Times New Roman" w:eastAsia="宋体" w:cs="Times New Roman"/>
                <w:bCs/>
                <w:color w:val="auto"/>
                <w:spacing w:val="-3"/>
                <w:lang w:val="en-US" w:eastAsia="zh-CN"/>
              </w:rPr>
              <w:t>/T31962</w:t>
            </w:r>
            <w:r>
              <w:rPr>
                <w:rFonts w:hint="default" w:ascii="Times New Roman" w:hAnsi="Times New Roman" w:eastAsia="宋体" w:cs="Times New Roman"/>
                <w:bCs/>
                <w:color w:val="auto"/>
                <w:spacing w:val="-3"/>
              </w:rPr>
              <w:t>-</w:t>
            </w:r>
            <w:r>
              <w:rPr>
                <w:rFonts w:hint="default" w:ascii="Times New Roman" w:hAnsi="Times New Roman" w:eastAsia="宋体" w:cs="Times New Roman"/>
                <w:bCs/>
                <w:color w:val="auto"/>
                <w:spacing w:val="-3"/>
                <w:lang w:val="en-US" w:eastAsia="zh-CN"/>
              </w:rPr>
              <w:t>2015</w:t>
            </w:r>
            <w:r>
              <w:rPr>
                <w:rFonts w:hint="default" w:ascii="Times New Roman" w:hAnsi="Times New Roman" w:eastAsia="宋体" w:cs="Times New Roman"/>
                <w:bCs/>
                <w:color w:val="auto"/>
                <w:spacing w:val="-3"/>
              </w:rPr>
              <w:t>）</w:t>
            </w:r>
            <w:r>
              <w:rPr>
                <w:rFonts w:hint="default" w:ascii="Times New Roman" w:hAnsi="Times New Roman" w:eastAsia="宋体" w:cs="Times New Roman"/>
                <w:bCs/>
                <w:color w:val="auto"/>
                <w:spacing w:val="-3"/>
                <w:lang w:eastAsia="zh-CN"/>
              </w:rPr>
              <w:t>中</w:t>
            </w:r>
            <w:r>
              <w:rPr>
                <w:rFonts w:hint="default" w:ascii="Times New Roman" w:hAnsi="Times New Roman" w:eastAsia="宋体" w:cs="Times New Roman"/>
                <w:bCs/>
                <w:color w:val="auto"/>
                <w:spacing w:val="-3"/>
                <w:lang w:val="en-US" w:eastAsia="zh-CN"/>
              </w:rPr>
              <w:t>B级排放标准后排</w:t>
            </w:r>
            <w:r>
              <w:rPr>
                <w:rFonts w:hint="default" w:ascii="Times New Roman" w:hAnsi="Times New Roman" w:eastAsia="宋体" w:cs="Times New Roman"/>
                <w:bCs/>
                <w:color w:val="auto"/>
                <w:spacing w:val="-3"/>
              </w:rPr>
              <w:t>入市政污水管网，</w:t>
            </w:r>
            <w:r>
              <w:rPr>
                <w:rFonts w:hint="eastAsia" w:cs="Times New Roman"/>
                <w:bCs/>
                <w:color w:val="auto"/>
                <w:spacing w:val="-3"/>
                <w:lang w:eastAsia="zh-CN"/>
              </w:rPr>
              <w:t>再通过市政污水管网排入葛店污水处理厂，</w:t>
            </w:r>
            <w:r>
              <w:rPr>
                <w:rFonts w:hint="default" w:ascii="Times New Roman" w:hAnsi="Times New Roman" w:eastAsia="宋体" w:cs="Times New Roman"/>
                <w:bCs/>
                <w:color w:val="auto"/>
                <w:spacing w:val="-3"/>
              </w:rPr>
              <w:t>经葛店污水处理厂处理后</w:t>
            </w:r>
            <w:r>
              <w:rPr>
                <w:rFonts w:hint="eastAsia" w:cs="Times New Roman"/>
                <w:bCs/>
                <w:color w:val="auto"/>
                <w:spacing w:val="-3"/>
                <w:lang w:eastAsia="zh-CN"/>
              </w:rPr>
              <w:t>达到</w:t>
            </w:r>
            <w:r>
              <w:rPr>
                <w:rFonts w:hint="default" w:ascii="Times New Roman" w:hAnsi="Times New Roman" w:cs="Times New Roman" w:eastAsiaTheme="minorEastAsia"/>
                <w:color w:val="auto"/>
                <w:spacing w:val="-3"/>
                <w:sz w:val="24"/>
              </w:rPr>
              <w:t>《城镇污水处理厂污染物排放标准》</w:t>
            </w:r>
            <w:r>
              <w:rPr>
                <w:rFonts w:hint="eastAsia" w:cs="Times New Roman" w:eastAsiaTheme="minorEastAsia"/>
                <w:color w:val="auto"/>
                <w:spacing w:val="-3"/>
                <w:sz w:val="24"/>
                <w:lang w:eastAsia="zh-CN"/>
              </w:rPr>
              <w:t>（</w:t>
            </w:r>
            <w:r>
              <w:rPr>
                <w:rFonts w:hint="default" w:ascii="Times New Roman" w:hAnsi="Times New Roman" w:cs="Times New Roman" w:eastAsiaTheme="minorEastAsia"/>
                <w:color w:val="auto"/>
                <w:spacing w:val="-3"/>
                <w:sz w:val="24"/>
              </w:rPr>
              <w:t>GB18918-2002</w:t>
            </w:r>
            <w:r>
              <w:rPr>
                <w:rFonts w:hint="eastAsia" w:cs="Times New Roman" w:eastAsiaTheme="minorEastAsia"/>
                <w:color w:val="auto"/>
                <w:spacing w:val="-3"/>
                <w:sz w:val="24"/>
                <w:lang w:eastAsia="zh-CN"/>
              </w:rPr>
              <w:t>）</w:t>
            </w:r>
            <w:r>
              <w:rPr>
                <w:rFonts w:hint="default" w:ascii="Times New Roman" w:hAnsi="Times New Roman" w:cs="Times New Roman" w:eastAsiaTheme="minorEastAsia"/>
                <w:color w:val="auto"/>
                <w:spacing w:val="-3"/>
                <w:sz w:val="24"/>
              </w:rPr>
              <w:t>的一级</w:t>
            </w:r>
            <w:r>
              <w:rPr>
                <w:rFonts w:hint="eastAsia" w:cs="Times New Roman" w:eastAsiaTheme="minorEastAsia"/>
                <w:color w:val="auto"/>
                <w:spacing w:val="-3"/>
                <w:sz w:val="24"/>
                <w:lang w:val="en-US" w:eastAsia="zh-CN"/>
              </w:rPr>
              <w:t>A</w:t>
            </w:r>
            <w:r>
              <w:rPr>
                <w:rFonts w:hint="default" w:ascii="Times New Roman" w:hAnsi="Times New Roman" w:cs="Times New Roman" w:eastAsiaTheme="minorEastAsia"/>
                <w:color w:val="auto"/>
                <w:spacing w:val="-3"/>
                <w:sz w:val="24"/>
              </w:rPr>
              <w:t>标准，</w:t>
            </w:r>
            <w:r>
              <w:rPr>
                <w:rFonts w:hint="eastAsia" w:ascii="Times New Roman" w:hAnsi="Times New Roman" w:cs="Times New Roman" w:eastAsiaTheme="minorEastAsia"/>
                <w:color w:val="auto"/>
                <w:spacing w:val="-3"/>
                <w:sz w:val="24"/>
                <w:lang w:eastAsia="zh-CN"/>
              </w:rPr>
              <w:t>尾水排入长江</w:t>
            </w:r>
            <w:r>
              <w:rPr>
                <w:rFonts w:hint="eastAsia" w:cs="Times New Roman" w:eastAsiaTheme="minorEastAsia"/>
                <w:color w:val="auto"/>
                <w:spacing w:val="-3"/>
                <w:sz w:val="24"/>
                <w:lang w:eastAsia="zh-CN"/>
              </w:rPr>
              <w:t>。由此可见</w:t>
            </w:r>
            <w:r>
              <w:rPr>
                <w:rFonts w:hint="default" w:ascii="Times New Roman" w:hAnsi="Times New Roman" w:eastAsia="宋体" w:cs="Times New Roman"/>
                <w:bCs/>
                <w:color w:val="auto"/>
                <w:spacing w:val="-3"/>
                <w:szCs w:val="24"/>
              </w:rPr>
              <w:t>废水不会对地表水环境造成明显影响，环境可以接受。</w:t>
            </w:r>
          </w:p>
          <w:p w14:paraId="0C94514A">
            <w:pPr>
              <w:pStyle w:val="30"/>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rightChars="0" w:firstLine="480" w:firstLineChars="200"/>
              <w:jc w:val="both"/>
              <w:textAlignment w:val="auto"/>
              <w:outlineLvl w:val="9"/>
              <w:rPr>
                <w:color w:val="auto"/>
              </w:rPr>
            </w:pPr>
            <w:r>
              <w:rPr>
                <w:rFonts w:hint="eastAsia"/>
                <w:color w:val="auto"/>
                <w:lang w:val="en-US" w:eastAsia="zh-CN"/>
              </w:rPr>
              <w:t>2.2、</w:t>
            </w:r>
            <w:r>
              <w:rPr>
                <w:color w:val="auto"/>
              </w:rPr>
              <w:t>施工废水</w:t>
            </w:r>
          </w:p>
          <w:p w14:paraId="47C64358">
            <w:pPr>
              <w:spacing w:line="360" w:lineRule="auto"/>
              <w:ind w:firstLine="480"/>
              <w:rPr>
                <w:color w:val="auto"/>
                <w:sz w:val="24"/>
              </w:rPr>
            </w:pPr>
            <w:r>
              <w:rPr>
                <w:color w:val="auto"/>
                <w:sz w:val="24"/>
              </w:rPr>
              <w:t>项目在建筑施工过程中会产生施工废水，其主要污染因子为悬浮物（SS）浓度可达2000～4000mg/L。</w:t>
            </w:r>
            <w:r>
              <w:rPr>
                <w:rFonts w:hint="eastAsia"/>
                <w:color w:val="auto"/>
                <w:sz w:val="24"/>
              </w:rPr>
              <w:t>项目建设过程中</w:t>
            </w:r>
            <w:r>
              <w:rPr>
                <w:color w:val="auto"/>
                <w:sz w:val="24"/>
              </w:rPr>
              <w:t>采取以下</w:t>
            </w:r>
            <w:r>
              <w:rPr>
                <w:rFonts w:hint="eastAsia"/>
                <w:color w:val="auto"/>
                <w:sz w:val="24"/>
              </w:rPr>
              <w:t>了</w:t>
            </w:r>
            <w:r>
              <w:rPr>
                <w:color w:val="auto"/>
                <w:sz w:val="24"/>
              </w:rPr>
              <w:t>措施：</w:t>
            </w:r>
          </w:p>
          <w:p w14:paraId="11A23736">
            <w:pPr>
              <w:pStyle w:val="39"/>
              <w:keepNext w:val="0"/>
              <w:keepLines w:val="0"/>
              <w:pageBreakBefore w:val="0"/>
              <w:widowControl/>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（1）</w:t>
            </w:r>
            <w:r>
              <w:rPr>
                <w:rFonts w:hint="default" w:ascii="Times New Roman" w:hAnsi="Times New Roman" w:cs="Times New Roman" w:eastAsiaTheme="minorEastAsia"/>
                <w:color w:val="auto"/>
                <w:kern w:val="2"/>
                <w:sz w:val="24"/>
                <w:szCs w:val="24"/>
                <w:lang w:val="en-US" w:eastAsia="zh-CN" w:bidi="ar-SA"/>
              </w:rPr>
              <w:t>砂石料冲洗废水</w:t>
            </w:r>
          </w:p>
          <w:p w14:paraId="581F8F52">
            <w:pPr>
              <w:pStyle w:val="39"/>
              <w:keepNext w:val="0"/>
              <w:keepLines w:val="0"/>
              <w:pageBreakBefore w:val="0"/>
              <w:widowControl/>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kern w:val="2"/>
                <w:sz w:val="24"/>
                <w:szCs w:val="24"/>
                <w:lang w:val="en-US" w:eastAsia="zh-CN" w:bidi="ar-SA"/>
              </w:rPr>
            </w:pPr>
            <w:r>
              <w:rPr>
                <w:rFonts w:hint="default" w:ascii="Times New Roman" w:hAnsi="Times New Roman" w:cs="Times New Roman" w:eastAsiaTheme="minorEastAsia"/>
                <w:color w:val="auto"/>
                <w:kern w:val="2"/>
                <w:sz w:val="24"/>
                <w:szCs w:val="24"/>
                <w:lang w:val="en-US" w:eastAsia="zh-CN" w:bidi="ar-SA"/>
              </w:rPr>
              <w:t>其悬浮物含量大，需建沉降池，悬浮物进行沉淀后排放。部分废水澄清后可用于建筑工地洒水防尘。人工运输水泥砂浆时，应避免泄漏，泄漏水泥砂浆应及时清理。运浆容器和搅拌用具尽量集中放置，及时清洗，冲洗水引入沉降池。</w:t>
            </w:r>
          </w:p>
          <w:p w14:paraId="01701335">
            <w:pPr>
              <w:pStyle w:val="39"/>
              <w:keepNext w:val="0"/>
              <w:keepLines w:val="0"/>
              <w:pageBreakBefore w:val="0"/>
              <w:widowControl/>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（2）</w:t>
            </w:r>
            <w:r>
              <w:rPr>
                <w:rFonts w:hint="default" w:ascii="Times New Roman" w:hAnsi="Times New Roman" w:cs="Times New Roman" w:eastAsiaTheme="minorEastAsia"/>
                <w:color w:val="auto"/>
                <w:kern w:val="2"/>
                <w:sz w:val="24"/>
                <w:szCs w:val="24"/>
                <w:lang w:val="en-US" w:eastAsia="zh-CN" w:bidi="ar-SA"/>
              </w:rPr>
              <w:t>混凝土养护废水</w:t>
            </w:r>
          </w:p>
          <w:p w14:paraId="416FDCA6">
            <w:pPr>
              <w:pStyle w:val="39"/>
              <w:keepNext w:val="0"/>
              <w:keepLines w:val="0"/>
              <w:pageBreakBefore w:val="0"/>
              <w:widowControl/>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kern w:val="2"/>
                <w:sz w:val="24"/>
                <w:szCs w:val="24"/>
                <w:lang w:val="en-US" w:eastAsia="zh-CN" w:bidi="ar-SA"/>
              </w:rPr>
            </w:pPr>
            <w:r>
              <w:rPr>
                <w:rFonts w:hint="default" w:ascii="Times New Roman" w:hAnsi="Times New Roman" w:cs="Times New Roman" w:eastAsiaTheme="minorEastAsia"/>
                <w:color w:val="auto"/>
                <w:kern w:val="2"/>
                <w:sz w:val="24"/>
                <w:szCs w:val="24"/>
                <w:lang w:val="en-US" w:eastAsia="zh-CN" w:bidi="ar-SA"/>
              </w:rPr>
              <w:t>混凝土养护可以直接用薄膜或塑料溶液喷刷在混凝土表面，待溶液挥发后，与混凝土表面结合成一层塑料薄膜，使混凝土与空气隔离，封闭混凝土中水分不再蒸发外逸，水泥依靠混凝土中水分完成水化作用。其多余废水经沉淀处理后，上清液可回用。</w:t>
            </w:r>
          </w:p>
          <w:p w14:paraId="31AC5725">
            <w:pPr>
              <w:pStyle w:val="39"/>
              <w:keepNext w:val="0"/>
              <w:keepLines w:val="0"/>
              <w:pageBreakBefore w:val="0"/>
              <w:widowControl/>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（3）</w:t>
            </w:r>
            <w:r>
              <w:rPr>
                <w:rFonts w:hint="default" w:ascii="Times New Roman" w:hAnsi="Times New Roman" w:cs="Times New Roman" w:eastAsiaTheme="minorEastAsia"/>
                <w:color w:val="auto"/>
                <w:kern w:val="2"/>
                <w:sz w:val="24"/>
                <w:szCs w:val="24"/>
                <w:lang w:val="en-US" w:eastAsia="zh-CN" w:bidi="ar-SA"/>
              </w:rPr>
              <w:t>机械和车辆冲洗废水</w:t>
            </w:r>
          </w:p>
          <w:p w14:paraId="03BA4F42">
            <w:pPr>
              <w:pStyle w:val="39"/>
              <w:keepNext w:val="0"/>
              <w:keepLines w:val="0"/>
              <w:pageBreakBefore w:val="0"/>
              <w:widowControl/>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kern w:val="2"/>
                <w:sz w:val="24"/>
                <w:szCs w:val="24"/>
                <w:lang w:val="en-US" w:eastAsia="zh-CN" w:bidi="ar-SA"/>
              </w:rPr>
            </w:pPr>
            <w:r>
              <w:rPr>
                <w:rFonts w:hint="default" w:ascii="Times New Roman" w:hAnsi="Times New Roman" w:cs="Times New Roman" w:eastAsiaTheme="minorEastAsia"/>
                <w:color w:val="auto"/>
                <w:kern w:val="2"/>
                <w:sz w:val="24"/>
                <w:szCs w:val="24"/>
                <w:lang w:val="en-US" w:eastAsia="zh-CN" w:bidi="ar-SA"/>
              </w:rPr>
              <w:t>主要为含油废水，应尽量要求施工机械和车辆到附近专门清洗点或修理点进行清洗和修理，小部分在项目区内进行清洗和修理的施工机械、车辆所产生的含油废水或废弃物，不得随意弃置和倾流，可用容器收集，回收利用，以防止油污染。</w:t>
            </w:r>
          </w:p>
          <w:p w14:paraId="243C9DDA">
            <w:pPr>
              <w:pStyle w:val="30"/>
              <w:keepNext w:val="0"/>
              <w:keepLines w:val="0"/>
              <w:pageBreakBefore w:val="0"/>
              <w:kinsoku/>
              <w:wordWrap/>
              <w:overflowPunct/>
              <w:topLinePunct w:val="0"/>
              <w:autoSpaceDE/>
              <w:autoSpaceDN/>
              <w:bidi w:val="0"/>
              <w:adjustRightInd/>
              <w:snapToGrid/>
              <w:spacing w:after="0" w:afterLines="0" w:line="360" w:lineRule="auto"/>
              <w:ind w:left="0" w:leftChars="0" w:right="0" w:rightChars="0" w:firstLine="460" w:firstLineChars="200"/>
              <w:jc w:val="both"/>
              <w:textAlignment w:val="auto"/>
              <w:rPr>
                <w:rFonts w:hint="eastAsia"/>
                <w:bCs/>
                <w:snapToGrid/>
                <w:color w:val="auto"/>
                <w:spacing w:val="-5"/>
              </w:rPr>
            </w:pPr>
            <w:r>
              <w:rPr>
                <w:rFonts w:hint="eastAsia"/>
                <w:bCs/>
                <w:snapToGrid/>
                <w:color w:val="auto"/>
                <w:spacing w:val="-5"/>
                <w:lang w:eastAsia="zh-CN"/>
              </w:rPr>
              <w:t>施工期废水均得到了妥善的处理，</w:t>
            </w:r>
            <w:r>
              <w:rPr>
                <w:rFonts w:hint="eastAsia"/>
                <w:bCs/>
                <w:snapToGrid/>
                <w:color w:val="auto"/>
                <w:spacing w:val="-5"/>
                <w:sz w:val="24"/>
                <w:szCs w:val="24"/>
                <w:lang w:eastAsia="zh-CN"/>
              </w:rPr>
              <w:t>禁止直接排入</w:t>
            </w:r>
            <w:r>
              <w:rPr>
                <w:rFonts w:hint="eastAsia" w:ascii="Times New Roman" w:hAnsi="Times New Roman" w:eastAsia="宋体" w:cs="Times New Roman"/>
                <w:color w:val="auto"/>
                <w:sz w:val="24"/>
                <w:szCs w:val="24"/>
              </w:rPr>
              <w:t>周边港渠</w:t>
            </w:r>
            <w:r>
              <w:rPr>
                <w:rFonts w:hint="eastAsia" w:cs="Times New Roman"/>
                <w:color w:val="auto"/>
                <w:sz w:val="24"/>
                <w:szCs w:val="24"/>
                <w:lang w:eastAsia="zh-CN"/>
              </w:rPr>
              <w:t>，</w:t>
            </w:r>
            <w:r>
              <w:rPr>
                <w:rFonts w:hint="eastAsia"/>
                <w:bCs/>
                <w:snapToGrid/>
                <w:color w:val="auto"/>
                <w:spacing w:val="-5"/>
              </w:rPr>
              <w:t>随着施工阶段的结束，污染也随之消失。施工期废水没有对地表水造成明显环境影响。</w:t>
            </w:r>
          </w:p>
          <w:p w14:paraId="081CAE4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b/>
                <w:bCs/>
                <w:color w:val="auto"/>
                <w:sz w:val="24"/>
                <w:szCs w:val="24"/>
              </w:rPr>
            </w:pPr>
            <w:r>
              <w:rPr>
                <w:rFonts w:ascii="Times New Roman" w:hAnsi="Times New Roman" w:cs="Times New Roman"/>
                <w:b/>
                <w:bCs/>
                <w:color w:val="auto"/>
                <w:sz w:val="24"/>
                <w:szCs w:val="24"/>
              </w:rPr>
              <w:t>3、声环境影响分析</w:t>
            </w:r>
          </w:p>
          <w:p w14:paraId="68B2FE40">
            <w:pPr>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施工期间对周围声环境的影响主要来自于各种施工机械、运输工具产生的噪声及振动。项目施工期噪声包括土建施工和安装两阶段的生产噪声。在土建施工过程中，包括有：土方挖掘、基础桩基施工、土方回填、钢体切割和焊接、脚手架搭接、混凝土搅拌输送、模板架设、砂石料及其他物料垂直运输等多种生产过程。在安装过程中又包括有：电力系统安装、给排水系统安装、安全防火消防系统安装、地下室通风系统安装、通信系统安装以及室内外的墙体装修。在施工期部分噪声源及相应的生产噪声限值列如表7-</w:t>
            </w:r>
            <w:r>
              <w:rPr>
                <w:rFonts w:hint="eastAsia" w:cs="Times New Roman"/>
                <w:color w:val="auto"/>
                <w:sz w:val="24"/>
                <w:szCs w:val="24"/>
                <w:lang w:val="en-US" w:eastAsia="zh-CN"/>
              </w:rPr>
              <w:t>4</w:t>
            </w:r>
            <w:r>
              <w:rPr>
                <w:rFonts w:ascii="Times New Roman" w:hAnsi="Times New Roman" w:cs="Times New Roman"/>
                <w:color w:val="auto"/>
                <w:sz w:val="24"/>
                <w:szCs w:val="24"/>
              </w:rPr>
              <w:t>。</w:t>
            </w:r>
          </w:p>
          <w:p w14:paraId="6C174CA6">
            <w:pPr>
              <w:spacing w:before="156" w:beforeLines="50"/>
              <w:jc w:val="center"/>
              <w:rPr>
                <w:rFonts w:ascii="Times New Roman" w:hAnsi="Times New Roman" w:eastAsia="Times New Roman" w:cs="Times New Roman"/>
                <w:b/>
                <w:bCs/>
                <w:color w:val="auto"/>
                <w:sz w:val="21"/>
                <w:szCs w:val="21"/>
              </w:rPr>
            </w:pPr>
            <w:r>
              <w:rPr>
                <w:rFonts w:ascii="宋体" w:hAnsi="Times New Roman" w:cs="Times New Roman"/>
                <w:b/>
                <w:bCs/>
                <w:color w:val="auto"/>
                <w:sz w:val="21"/>
                <w:szCs w:val="21"/>
              </w:rPr>
              <w:t>表</w:t>
            </w:r>
            <w:r>
              <w:rPr>
                <w:rFonts w:ascii="Times New Roman" w:hAnsi="Times New Roman" w:eastAsia="Times New Roman" w:cs="Times New Roman"/>
                <w:b/>
                <w:bCs/>
                <w:color w:val="auto"/>
                <w:sz w:val="21"/>
                <w:szCs w:val="21"/>
              </w:rPr>
              <w:t>7-</w:t>
            </w:r>
            <w:r>
              <w:rPr>
                <w:rFonts w:hint="eastAsia" w:cs="Times New Roman"/>
                <w:b/>
                <w:bCs/>
                <w:color w:val="auto"/>
                <w:sz w:val="21"/>
                <w:szCs w:val="21"/>
                <w:lang w:val="en-US" w:eastAsia="zh-CN"/>
              </w:rPr>
              <w:t>4</w:t>
            </w:r>
            <w:r>
              <w:rPr>
                <w:rFonts w:ascii="Times New Roman" w:hAnsi="Times New Roman" w:eastAsia="Times New Roman" w:cs="Times New Roman"/>
                <w:b/>
                <w:bCs/>
                <w:color w:val="auto"/>
                <w:sz w:val="21"/>
                <w:szCs w:val="21"/>
              </w:rPr>
              <w:t xml:space="preserve">  </w:t>
            </w:r>
            <w:r>
              <w:rPr>
                <w:rFonts w:ascii="宋体" w:hAnsi="Times New Roman" w:cs="Times New Roman"/>
                <w:b/>
                <w:bCs/>
                <w:color w:val="auto"/>
                <w:sz w:val="21"/>
                <w:szCs w:val="21"/>
              </w:rPr>
              <w:t>主要施工机械噪声源强度及其影响预测</w:t>
            </w:r>
            <w:r>
              <w:rPr>
                <w:rFonts w:ascii="Times New Roman" w:hAnsi="Times New Roman" w:eastAsia="Times New Roman" w:cs="Times New Roman"/>
                <w:b/>
                <w:bCs/>
                <w:color w:val="auto"/>
                <w:sz w:val="21"/>
                <w:szCs w:val="21"/>
              </w:rPr>
              <w:t xml:space="preserve">  </w:t>
            </w:r>
            <w:r>
              <w:rPr>
                <w:rFonts w:ascii="宋体" w:hAnsi="Times New Roman" w:cs="Times New Roman"/>
                <w:b/>
                <w:bCs/>
                <w:color w:val="auto"/>
                <w:sz w:val="21"/>
                <w:szCs w:val="21"/>
              </w:rPr>
              <w:t>单位</w:t>
            </w:r>
            <w:r>
              <w:rPr>
                <w:rFonts w:ascii="Times New Roman" w:hAnsi="Times New Roman" w:eastAsia="Times New Roman" w:cs="Times New Roman"/>
                <w:b/>
                <w:bCs/>
                <w:color w:val="auto"/>
                <w:sz w:val="21"/>
                <w:szCs w:val="21"/>
              </w:rPr>
              <w:t>:dB(A)</w:t>
            </w:r>
          </w:p>
          <w:tbl>
            <w:tblPr>
              <w:tblStyle w:val="15"/>
              <w:tblW w:w="8504" w:type="dxa"/>
              <w:tblInd w:w="215" w:type="dxa"/>
              <w:tblLayout w:type="fixed"/>
              <w:tblCellMar>
                <w:top w:w="0" w:type="dxa"/>
                <w:left w:w="108" w:type="dxa"/>
                <w:bottom w:w="0" w:type="dxa"/>
                <w:right w:w="108" w:type="dxa"/>
              </w:tblCellMar>
            </w:tblPr>
            <w:tblGrid>
              <w:gridCol w:w="1237"/>
              <w:gridCol w:w="1751"/>
              <w:gridCol w:w="1000"/>
              <w:gridCol w:w="904"/>
              <w:gridCol w:w="902"/>
              <w:gridCol w:w="904"/>
              <w:gridCol w:w="903"/>
              <w:gridCol w:w="903"/>
            </w:tblGrid>
            <w:tr w14:paraId="1CC45852">
              <w:tblPrEx>
                <w:tblCellMar>
                  <w:top w:w="0" w:type="dxa"/>
                  <w:left w:w="108" w:type="dxa"/>
                  <w:bottom w:w="0" w:type="dxa"/>
                  <w:right w:w="108" w:type="dxa"/>
                </w:tblCellMar>
              </w:tblPrEx>
              <w:trPr>
                <w:trHeight w:val="454" w:hRule="atLeast"/>
              </w:trPr>
              <w:tc>
                <w:tcPr>
                  <w:tcW w:w="1237" w:type="dxa"/>
                  <w:vMerge w:val="restart"/>
                  <w:tcBorders>
                    <w:top w:val="single" w:color="auto" w:sz="12" w:space="0"/>
                    <w:bottom w:val="single" w:color="auto" w:sz="4" w:space="0"/>
                    <w:right w:val="single" w:color="auto" w:sz="4" w:space="0"/>
                  </w:tcBorders>
                  <w:vAlign w:val="center"/>
                </w:tcPr>
                <w:p w14:paraId="115B935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施工</w:t>
                  </w:r>
                </w:p>
                <w:p w14:paraId="34E06ED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阶段</w:t>
                  </w:r>
                </w:p>
              </w:tc>
              <w:tc>
                <w:tcPr>
                  <w:tcW w:w="1751" w:type="dxa"/>
                  <w:vMerge w:val="restart"/>
                  <w:tcBorders>
                    <w:top w:val="single" w:color="auto" w:sz="12" w:space="0"/>
                    <w:left w:val="nil"/>
                    <w:bottom w:val="single" w:color="auto" w:sz="4" w:space="0"/>
                    <w:right w:val="single" w:color="auto" w:sz="4" w:space="0"/>
                  </w:tcBorders>
                  <w:vAlign w:val="center"/>
                </w:tcPr>
                <w:p w14:paraId="199FF3AA">
                  <w:pPr>
                    <w:keepNext w:val="0"/>
                    <w:keepLines w:val="0"/>
                    <w:pageBreakBefore w:val="0"/>
                    <w:kinsoku/>
                    <w:wordWrap/>
                    <w:overflowPunct/>
                    <w:topLinePunct w:val="0"/>
                    <w:autoSpaceDE/>
                    <w:autoSpaceDN/>
                    <w:bidi w:val="0"/>
                    <w:adjustRightInd/>
                    <w:snapToGrid/>
                    <w:spacing w:line="240" w:lineRule="auto"/>
                    <w:ind w:left="0" w:leftChars="0" w:right="0" w:rightChars="0" w:firstLine="12" w:firstLineChars="6"/>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主要噪声源</w:t>
                  </w:r>
                </w:p>
              </w:tc>
              <w:tc>
                <w:tcPr>
                  <w:tcW w:w="1000" w:type="dxa"/>
                  <w:vMerge w:val="restart"/>
                  <w:tcBorders>
                    <w:top w:val="single" w:color="auto" w:sz="12" w:space="0"/>
                    <w:left w:val="nil"/>
                    <w:bottom w:val="single" w:color="auto" w:sz="4" w:space="0"/>
                    <w:right w:val="single" w:color="auto" w:sz="4" w:space="0"/>
                  </w:tcBorders>
                  <w:vAlign w:val="center"/>
                </w:tcPr>
                <w:p w14:paraId="415119E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声级</w:t>
                  </w:r>
                </w:p>
              </w:tc>
              <w:tc>
                <w:tcPr>
                  <w:tcW w:w="4516" w:type="dxa"/>
                  <w:gridSpan w:val="5"/>
                  <w:tcBorders>
                    <w:top w:val="single" w:color="auto" w:sz="12" w:space="0"/>
                    <w:left w:val="nil"/>
                    <w:bottom w:val="single" w:color="auto" w:sz="4" w:space="0"/>
                  </w:tcBorders>
                  <w:vAlign w:val="center"/>
                </w:tcPr>
                <w:p w14:paraId="73F98AB2">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距声源距离（m）</w:t>
                  </w:r>
                </w:p>
              </w:tc>
            </w:tr>
            <w:tr w14:paraId="554BCFB7">
              <w:tblPrEx>
                <w:tblCellMar>
                  <w:top w:w="0" w:type="dxa"/>
                  <w:left w:w="108" w:type="dxa"/>
                  <w:bottom w:w="0" w:type="dxa"/>
                  <w:right w:w="108" w:type="dxa"/>
                </w:tblCellMar>
              </w:tblPrEx>
              <w:trPr>
                <w:trHeight w:val="454" w:hRule="atLeast"/>
              </w:trPr>
              <w:tc>
                <w:tcPr>
                  <w:tcW w:w="1237" w:type="dxa"/>
                  <w:vMerge w:val="continue"/>
                  <w:tcBorders>
                    <w:top w:val="single" w:color="auto" w:sz="12" w:space="0"/>
                    <w:bottom w:val="single" w:color="auto" w:sz="4" w:space="0"/>
                    <w:right w:val="single" w:color="auto" w:sz="4" w:space="0"/>
                  </w:tcBorders>
                  <w:vAlign w:val="center"/>
                </w:tcPr>
                <w:p w14:paraId="14C2B65C">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eastAsia="宋体" w:cs="Times New Roman"/>
                      <w:color w:val="auto"/>
                      <w:sz w:val="21"/>
                      <w:szCs w:val="21"/>
                    </w:rPr>
                  </w:pPr>
                </w:p>
              </w:tc>
              <w:tc>
                <w:tcPr>
                  <w:tcW w:w="1751" w:type="dxa"/>
                  <w:vMerge w:val="continue"/>
                  <w:tcBorders>
                    <w:top w:val="single" w:color="auto" w:sz="12" w:space="0"/>
                    <w:left w:val="nil"/>
                    <w:bottom w:val="single" w:color="auto" w:sz="4" w:space="0"/>
                    <w:right w:val="single" w:color="auto" w:sz="4" w:space="0"/>
                  </w:tcBorders>
                  <w:vAlign w:val="center"/>
                </w:tcPr>
                <w:p w14:paraId="22A87DBD">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eastAsia="宋体" w:cs="Times New Roman"/>
                      <w:color w:val="auto"/>
                      <w:sz w:val="21"/>
                      <w:szCs w:val="21"/>
                    </w:rPr>
                  </w:pPr>
                </w:p>
              </w:tc>
              <w:tc>
                <w:tcPr>
                  <w:tcW w:w="1000" w:type="dxa"/>
                  <w:vMerge w:val="continue"/>
                  <w:tcBorders>
                    <w:top w:val="single" w:color="auto" w:sz="12" w:space="0"/>
                    <w:left w:val="nil"/>
                    <w:bottom w:val="single" w:color="auto" w:sz="4" w:space="0"/>
                    <w:right w:val="single" w:color="auto" w:sz="4" w:space="0"/>
                  </w:tcBorders>
                  <w:vAlign w:val="center"/>
                </w:tcPr>
                <w:p w14:paraId="02138CDD">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eastAsia="宋体" w:cs="Times New Roman"/>
                      <w:color w:val="auto"/>
                      <w:sz w:val="21"/>
                      <w:szCs w:val="21"/>
                    </w:rPr>
                  </w:pPr>
                </w:p>
              </w:tc>
              <w:tc>
                <w:tcPr>
                  <w:tcW w:w="904" w:type="dxa"/>
                  <w:tcBorders>
                    <w:top w:val="single" w:color="auto" w:sz="4" w:space="0"/>
                    <w:left w:val="nil"/>
                    <w:bottom w:val="single" w:color="auto" w:sz="4" w:space="0"/>
                    <w:right w:val="single" w:color="auto" w:sz="4" w:space="0"/>
                  </w:tcBorders>
                  <w:vAlign w:val="center"/>
                </w:tcPr>
                <w:p w14:paraId="20C9C83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w:t>
                  </w:r>
                </w:p>
              </w:tc>
              <w:tc>
                <w:tcPr>
                  <w:tcW w:w="902" w:type="dxa"/>
                  <w:tcBorders>
                    <w:top w:val="single" w:color="auto" w:sz="4" w:space="0"/>
                    <w:left w:val="nil"/>
                    <w:bottom w:val="single" w:color="auto" w:sz="4" w:space="0"/>
                    <w:right w:val="single" w:color="auto" w:sz="4" w:space="0"/>
                  </w:tcBorders>
                  <w:vAlign w:val="center"/>
                </w:tcPr>
                <w:p w14:paraId="50C558B1">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40</w:t>
                  </w:r>
                </w:p>
              </w:tc>
              <w:tc>
                <w:tcPr>
                  <w:tcW w:w="904" w:type="dxa"/>
                  <w:tcBorders>
                    <w:top w:val="single" w:color="auto" w:sz="4" w:space="0"/>
                    <w:left w:val="nil"/>
                    <w:bottom w:val="single" w:color="auto" w:sz="4" w:space="0"/>
                    <w:right w:val="single" w:color="auto" w:sz="4" w:space="0"/>
                  </w:tcBorders>
                  <w:vAlign w:val="center"/>
                </w:tcPr>
                <w:p w14:paraId="6ED6377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60</w:t>
                  </w:r>
                </w:p>
              </w:tc>
              <w:tc>
                <w:tcPr>
                  <w:tcW w:w="903" w:type="dxa"/>
                  <w:tcBorders>
                    <w:top w:val="single" w:color="auto" w:sz="4" w:space="0"/>
                    <w:left w:val="nil"/>
                    <w:bottom w:val="single" w:color="auto" w:sz="4" w:space="0"/>
                    <w:right w:val="single" w:color="auto" w:sz="4" w:space="0"/>
                  </w:tcBorders>
                  <w:vAlign w:val="center"/>
                </w:tcPr>
                <w:p w14:paraId="48437C2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80</w:t>
                  </w:r>
                </w:p>
              </w:tc>
              <w:tc>
                <w:tcPr>
                  <w:tcW w:w="903" w:type="dxa"/>
                  <w:tcBorders>
                    <w:top w:val="single" w:color="auto" w:sz="4" w:space="0"/>
                    <w:left w:val="nil"/>
                    <w:bottom w:val="single" w:color="auto" w:sz="4" w:space="0"/>
                  </w:tcBorders>
                  <w:vAlign w:val="center"/>
                </w:tcPr>
                <w:p w14:paraId="3EB185A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100</w:t>
                  </w:r>
                </w:p>
              </w:tc>
            </w:tr>
            <w:tr w14:paraId="46A5072C">
              <w:tblPrEx>
                <w:tblCellMar>
                  <w:top w:w="0" w:type="dxa"/>
                  <w:left w:w="108" w:type="dxa"/>
                  <w:bottom w:w="0" w:type="dxa"/>
                  <w:right w:w="108" w:type="dxa"/>
                </w:tblCellMar>
              </w:tblPrEx>
              <w:trPr>
                <w:trHeight w:val="454" w:hRule="atLeast"/>
              </w:trPr>
              <w:tc>
                <w:tcPr>
                  <w:tcW w:w="1237" w:type="dxa"/>
                  <w:tcBorders>
                    <w:top w:val="single" w:color="auto" w:sz="4" w:space="0"/>
                    <w:bottom w:val="single" w:color="auto" w:sz="4" w:space="0"/>
                    <w:right w:val="single" w:color="auto" w:sz="4" w:space="0"/>
                  </w:tcBorders>
                  <w:vAlign w:val="center"/>
                </w:tcPr>
                <w:p w14:paraId="58E5B42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土石方</w:t>
                  </w:r>
                </w:p>
                <w:p w14:paraId="09F2E80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阶段</w:t>
                  </w:r>
                </w:p>
              </w:tc>
              <w:tc>
                <w:tcPr>
                  <w:tcW w:w="1751" w:type="dxa"/>
                  <w:tcBorders>
                    <w:top w:val="single" w:color="auto" w:sz="4" w:space="0"/>
                    <w:left w:val="nil"/>
                    <w:bottom w:val="single" w:color="auto" w:sz="4" w:space="0"/>
                    <w:right w:val="single" w:color="auto" w:sz="4" w:space="0"/>
                  </w:tcBorders>
                  <w:vAlign w:val="center"/>
                </w:tcPr>
                <w:p w14:paraId="5474AE4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推土机、</w:t>
                  </w:r>
                </w:p>
                <w:p w14:paraId="58B95F1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挖掘机等</w:t>
                  </w:r>
                </w:p>
              </w:tc>
              <w:tc>
                <w:tcPr>
                  <w:tcW w:w="1000" w:type="dxa"/>
                  <w:tcBorders>
                    <w:top w:val="single" w:color="auto" w:sz="4" w:space="0"/>
                    <w:left w:val="nil"/>
                    <w:bottom w:val="single" w:color="auto" w:sz="4" w:space="0"/>
                    <w:right w:val="single" w:color="auto" w:sz="4" w:space="0"/>
                  </w:tcBorders>
                  <w:vAlign w:val="center"/>
                </w:tcPr>
                <w:p w14:paraId="5A14E907">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87-102</w:t>
                  </w:r>
                </w:p>
              </w:tc>
              <w:tc>
                <w:tcPr>
                  <w:tcW w:w="904" w:type="dxa"/>
                  <w:tcBorders>
                    <w:top w:val="single" w:color="auto" w:sz="4" w:space="0"/>
                    <w:left w:val="nil"/>
                    <w:bottom w:val="single" w:color="auto" w:sz="4" w:space="0"/>
                    <w:right w:val="single" w:color="auto" w:sz="4" w:space="0"/>
                  </w:tcBorders>
                  <w:vAlign w:val="center"/>
                </w:tcPr>
                <w:p w14:paraId="626DAD9A">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69-84</w:t>
                  </w:r>
                </w:p>
              </w:tc>
              <w:tc>
                <w:tcPr>
                  <w:tcW w:w="902" w:type="dxa"/>
                  <w:tcBorders>
                    <w:top w:val="single" w:color="auto" w:sz="4" w:space="0"/>
                    <w:left w:val="nil"/>
                    <w:bottom w:val="single" w:color="auto" w:sz="4" w:space="0"/>
                    <w:right w:val="single" w:color="auto" w:sz="4" w:space="0"/>
                  </w:tcBorders>
                  <w:vAlign w:val="center"/>
                </w:tcPr>
                <w:p w14:paraId="6C401C7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55-70</w:t>
                  </w:r>
                </w:p>
              </w:tc>
              <w:tc>
                <w:tcPr>
                  <w:tcW w:w="904" w:type="dxa"/>
                  <w:tcBorders>
                    <w:top w:val="single" w:color="auto" w:sz="4" w:space="0"/>
                    <w:left w:val="nil"/>
                    <w:bottom w:val="single" w:color="auto" w:sz="4" w:space="0"/>
                    <w:right w:val="single" w:color="auto" w:sz="4" w:space="0"/>
                  </w:tcBorders>
                  <w:vAlign w:val="center"/>
                </w:tcPr>
                <w:p w14:paraId="589D244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51-66</w:t>
                  </w:r>
                </w:p>
              </w:tc>
              <w:tc>
                <w:tcPr>
                  <w:tcW w:w="903" w:type="dxa"/>
                  <w:tcBorders>
                    <w:top w:val="single" w:color="auto" w:sz="4" w:space="0"/>
                    <w:left w:val="nil"/>
                    <w:bottom w:val="single" w:color="auto" w:sz="4" w:space="0"/>
                    <w:right w:val="single" w:color="auto" w:sz="4" w:space="0"/>
                  </w:tcBorders>
                  <w:vAlign w:val="center"/>
                </w:tcPr>
                <w:p w14:paraId="431C138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49-64</w:t>
                  </w:r>
                </w:p>
              </w:tc>
              <w:tc>
                <w:tcPr>
                  <w:tcW w:w="903" w:type="dxa"/>
                  <w:tcBorders>
                    <w:top w:val="single" w:color="auto" w:sz="4" w:space="0"/>
                    <w:left w:val="nil"/>
                    <w:bottom w:val="single" w:color="auto" w:sz="4" w:space="0"/>
                  </w:tcBorders>
                  <w:vAlign w:val="center"/>
                </w:tcPr>
                <w:p w14:paraId="4AAE247B">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47-62</w:t>
                  </w:r>
                </w:p>
              </w:tc>
            </w:tr>
            <w:tr w14:paraId="3F5F2F1E">
              <w:tblPrEx>
                <w:tblCellMar>
                  <w:top w:w="0" w:type="dxa"/>
                  <w:left w:w="108" w:type="dxa"/>
                  <w:bottom w:w="0" w:type="dxa"/>
                  <w:right w:w="108" w:type="dxa"/>
                </w:tblCellMar>
              </w:tblPrEx>
              <w:trPr>
                <w:trHeight w:val="454" w:hRule="atLeast"/>
              </w:trPr>
              <w:tc>
                <w:tcPr>
                  <w:tcW w:w="1237" w:type="dxa"/>
                  <w:tcBorders>
                    <w:top w:val="single" w:color="auto" w:sz="4" w:space="0"/>
                    <w:bottom w:val="single" w:color="auto" w:sz="4" w:space="0"/>
                    <w:right w:val="single" w:color="auto" w:sz="4" w:space="0"/>
                  </w:tcBorders>
                  <w:vAlign w:val="center"/>
                </w:tcPr>
                <w:p w14:paraId="2E2B831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结构阶段</w:t>
                  </w:r>
                </w:p>
              </w:tc>
              <w:tc>
                <w:tcPr>
                  <w:tcW w:w="1751" w:type="dxa"/>
                  <w:tcBorders>
                    <w:top w:val="single" w:color="auto" w:sz="4" w:space="0"/>
                    <w:left w:val="nil"/>
                    <w:bottom w:val="single" w:color="auto" w:sz="4" w:space="0"/>
                    <w:right w:val="single" w:color="auto" w:sz="4" w:space="0"/>
                  </w:tcBorders>
                  <w:vAlign w:val="center"/>
                </w:tcPr>
                <w:p w14:paraId="498F7C0C">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运输车辆</w:t>
                  </w:r>
                </w:p>
              </w:tc>
              <w:tc>
                <w:tcPr>
                  <w:tcW w:w="1000" w:type="dxa"/>
                  <w:tcBorders>
                    <w:top w:val="single" w:color="auto" w:sz="4" w:space="0"/>
                    <w:left w:val="nil"/>
                    <w:bottom w:val="single" w:color="auto" w:sz="4" w:space="0"/>
                    <w:right w:val="single" w:color="auto" w:sz="4" w:space="0"/>
                  </w:tcBorders>
                  <w:vAlign w:val="center"/>
                </w:tcPr>
                <w:p w14:paraId="6D5AE9D3">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87-102</w:t>
                  </w:r>
                </w:p>
              </w:tc>
              <w:tc>
                <w:tcPr>
                  <w:tcW w:w="904" w:type="dxa"/>
                  <w:tcBorders>
                    <w:top w:val="single" w:color="auto" w:sz="4" w:space="0"/>
                    <w:left w:val="nil"/>
                    <w:bottom w:val="single" w:color="auto" w:sz="4" w:space="0"/>
                    <w:right w:val="single" w:color="auto" w:sz="4" w:space="0"/>
                  </w:tcBorders>
                  <w:vAlign w:val="center"/>
                </w:tcPr>
                <w:p w14:paraId="3D7DE7E4">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69-84</w:t>
                  </w:r>
                </w:p>
              </w:tc>
              <w:tc>
                <w:tcPr>
                  <w:tcW w:w="902" w:type="dxa"/>
                  <w:tcBorders>
                    <w:top w:val="single" w:color="auto" w:sz="4" w:space="0"/>
                    <w:left w:val="nil"/>
                    <w:bottom w:val="single" w:color="auto" w:sz="4" w:space="0"/>
                    <w:right w:val="single" w:color="auto" w:sz="4" w:space="0"/>
                  </w:tcBorders>
                  <w:vAlign w:val="center"/>
                </w:tcPr>
                <w:p w14:paraId="16BFAC60">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55-70</w:t>
                  </w:r>
                </w:p>
              </w:tc>
              <w:tc>
                <w:tcPr>
                  <w:tcW w:w="904" w:type="dxa"/>
                  <w:tcBorders>
                    <w:top w:val="single" w:color="auto" w:sz="4" w:space="0"/>
                    <w:left w:val="nil"/>
                    <w:bottom w:val="single" w:color="auto" w:sz="4" w:space="0"/>
                    <w:right w:val="single" w:color="auto" w:sz="4" w:space="0"/>
                  </w:tcBorders>
                  <w:vAlign w:val="center"/>
                </w:tcPr>
                <w:p w14:paraId="4153552E">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51-66</w:t>
                  </w:r>
                </w:p>
              </w:tc>
              <w:tc>
                <w:tcPr>
                  <w:tcW w:w="903" w:type="dxa"/>
                  <w:tcBorders>
                    <w:top w:val="single" w:color="auto" w:sz="4" w:space="0"/>
                    <w:left w:val="nil"/>
                    <w:bottom w:val="single" w:color="auto" w:sz="4" w:space="0"/>
                    <w:right w:val="single" w:color="auto" w:sz="4" w:space="0"/>
                  </w:tcBorders>
                  <w:vAlign w:val="center"/>
                </w:tcPr>
                <w:p w14:paraId="5031DFB8">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49-64</w:t>
                  </w:r>
                </w:p>
              </w:tc>
              <w:tc>
                <w:tcPr>
                  <w:tcW w:w="903" w:type="dxa"/>
                  <w:tcBorders>
                    <w:top w:val="single" w:color="auto" w:sz="4" w:space="0"/>
                    <w:left w:val="nil"/>
                    <w:bottom w:val="single" w:color="auto" w:sz="4" w:space="0"/>
                  </w:tcBorders>
                  <w:vAlign w:val="center"/>
                </w:tcPr>
                <w:p w14:paraId="26F2E1ED">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47-62</w:t>
                  </w:r>
                </w:p>
              </w:tc>
            </w:tr>
            <w:tr w14:paraId="0E6882D9">
              <w:tblPrEx>
                <w:tblCellMar>
                  <w:top w:w="0" w:type="dxa"/>
                  <w:left w:w="108" w:type="dxa"/>
                  <w:bottom w:w="0" w:type="dxa"/>
                  <w:right w:w="108" w:type="dxa"/>
                </w:tblCellMar>
              </w:tblPrEx>
              <w:trPr>
                <w:trHeight w:val="454" w:hRule="atLeast"/>
              </w:trPr>
              <w:tc>
                <w:tcPr>
                  <w:tcW w:w="2988" w:type="dxa"/>
                  <w:gridSpan w:val="2"/>
                  <w:tcBorders>
                    <w:top w:val="single" w:color="auto" w:sz="4" w:space="0"/>
                    <w:bottom w:val="single" w:color="auto" w:sz="12" w:space="0"/>
                    <w:right w:val="single" w:color="auto" w:sz="4" w:space="0"/>
                  </w:tcBorders>
                  <w:vAlign w:val="center"/>
                </w:tcPr>
                <w:p w14:paraId="2B6DBE0F">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《建筑施工场界噪声排放标准》（GB12523-2011）标准</w:t>
                  </w:r>
                </w:p>
              </w:tc>
              <w:tc>
                <w:tcPr>
                  <w:tcW w:w="5516" w:type="dxa"/>
                  <w:gridSpan w:val="6"/>
                  <w:tcBorders>
                    <w:top w:val="single" w:color="auto" w:sz="4" w:space="0"/>
                    <w:left w:val="nil"/>
                    <w:bottom w:val="single" w:color="auto" w:sz="12" w:space="0"/>
                  </w:tcBorders>
                  <w:vAlign w:val="center"/>
                </w:tcPr>
                <w:p w14:paraId="54E2EF8E">
                  <w:pPr>
                    <w:keepNext w:val="0"/>
                    <w:keepLines w:val="0"/>
                    <w:pageBreakBefore w:val="0"/>
                    <w:kinsoku/>
                    <w:wordWrap/>
                    <w:overflowPunct/>
                    <w:topLinePunct w:val="0"/>
                    <w:autoSpaceDE/>
                    <w:autoSpaceDN/>
                    <w:bidi w:val="0"/>
                    <w:adjustRightInd/>
                    <w:snapToGrid/>
                    <w:spacing w:line="240" w:lineRule="auto"/>
                    <w:ind w:left="0" w:leftChars="0" w:right="0" w:rightChars="0" w:firstLine="1680" w:firstLineChars="8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昼间≤70  夜间≤55</w:t>
                  </w:r>
                </w:p>
              </w:tc>
            </w:tr>
          </w:tbl>
          <w:p w14:paraId="38E88F23">
            <w:pPr>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由上表可以看出，在60米范围内，施工噪声均有可能超过建筑施工厂界噪声限值的情况出现，项目周边</w:t>
            </w:r>
            <w:r>
              <w:rPr>
                <w:rFonts w:hint="eastAsia" w:cs="Times New Roman"/>
                <w:color w:val="auto"/>
                <w:sz w:val="24"/>
                <w:szCs w:val="24"/>
                <w:lang w:eastAsia="zh-CN"/>
              </w:rPr>
              <w:t>葛店开发区地税局</w:t>
            </w:r>
            <w:r>
              <w:rPr>
                <w:rFonts w:ascii="Times New Roman" w:hAnsi="Times New Roman" w:cs="Times New Roman"/>
                <w:color w:val="auto"/>
                <w:sz w:val="24"/>
                <w:szCs w:val="24"/>
              </w:rPr>
              <w:t>距离厂界1</w:t>
            </w:r>
            <w:r>
              <w:rPr>
                <w:rFonts w:hint="eastAsia" w:cs="Times New Roman"/>
                <w:color w:val="auto"/>
                <w:sz w:val="24"/>
                <w:szCs w:val="24"/>
                <w:lang w:val="en-US" w:eastAsia="zh-CN"/>
              </w:rPr>
              <w:t>0</w:t>
            </w:r>
            <w:r>
              <w:rPr>
                <w:rFonts w:ascii="Times New Roman" w:hAnsi="Times New Roman" w:cs="Times New Roman"/>
                <w:color w:val="auto"/>
                <w:sz w:val="24"/>
                <w:szCs w:val="24"/>
              </w:rPr>
              <w:t>m，</w:t>
            </w:r>
            <w:r>
              <w:rPr>
                <w:rFonts w:hint="eastAsia" w:cs="Times New Roman"/>
                <w:color w:val="auto"/>
                <w:sz w:val="24"/>
                <w:szCs w:val="24"/>
                <w:lang w:eastAsia="zh-CN"/>
              </w:rPr>
              <w:t>张铁村城中村改造一期项目小区住宅楼</w:t>
            </w:r>
            <w:r>
              <w:rPr>
                <w:rFonts w:ascii="Times New Roman" w:hAnsi="Times New Roman" w:cs="Times New Roman"/>
                <w:color w:val="auto"/>
                <w:sz w:val="24"/>
                <w:szCs w:val="24"/>
              </w:rPr>
              <w:t>距离厂界</w:t>
            </w:r>
            <w:r>
              <w:rPr>
                <w:rFonts w:hint="eastAsia" w:cs="Times New Roman"/>
                <w:color w:val="auto"/>
                <w:sz w:val="24"/>
                <w:szCs w:val="24"/>
                <w:lang w:val="en-US" w:eastAsia="zh-CN"/>
              </w:rPr>
              <w:t>10</w:t>
            </w:r>
            <w:r>
              <w:rPr>
                <w:rFonts w:ascii="Times New Roman" w:hAnsi="Times New Roman" w:cs="Times New Roman"/>
                <w:color w:val="auto"/>
                <w:sz w:val="24"/>
                <w:szCs w:val="24"/>
              </w:rPr>
              <w:t>m，</w:t>
            </w:r>
            <w:r>
              <w:rPr>
                <w:rFonts w:hint="eastAsia" w:cs="Times New Roman"/>
                <w:color w:val="auto"/>
                <w:sz w:val="24"/>
                <w:szCs w:val="24"/>
                <w:lang w:eastAsia="zh-CN"/>
              </w:rPr>
              <w:t>昊城景都小区住宅楼</w:t>
            </w:r>
            <w:r>
              <w:rPr>
                <w:rFonts w:ascii="Times New Roman" w:hAnsi="Times New Roman" w:cs="Times New Roman"/>
                <w:color w:val="auto"/>
                <w:sz w:val="24"/>
                <w:szCs w:val="24"/>
              </w:rPr>
              <w:t>距离厂界</w:t>
            </w:r>
            <w:r>
              <w:rPr>
                <w:rFonts w:hint="eastAsia" w:cs="Times New Roman"/>
                <w:color w:val="auto"/>
                <w:sz w:val="24"/>
                <w:szCs w:val="24"/>
                <w:lang w:val="en-US" w:eastAsia="zh-CN"/>
              </w:rPr>
              <w:t>20</w:t>
            </w:r>
            <w:r>
              <w:rPr>
                <w:rFonts w:ascii="Times New Roman" w:hAnsi="Times New Roman" w:cs="Times New Roman"/>
                <w:color w:val="auto"/>
                <w:sz w:val="24"/>
                <w:szCs w:val="24"/>
              </w:rPr>
              <w:t>m</w:t>
            </w:r>
            <w:r>
              <w:rPr>
                <w:rFonts w:hint="eastAsia" w:cs="Times New Roman"/>
                <w:color w:val="auto"/>
                <w:sz w:val="24"/>
                <w:szCs w:val="24"/>
                <w:lang w:eastAsia="zh-CN"/>
              </w:rPr>
              <w:t>，</w:t>
            </w:r>
            <w:r>
              <w:rPr>
                <w:rFonts w:ascii="Times New Roman" w:hAnsi="Times New Roman" w:cs="Times New Roman"/>
                <w:color w:val="auto"/>
                <w:sz w:val="24"/>
                <w:szCs w:val="24"/>
              </w:rPr>
              <w:t>受本项目施工噪声一定影响。</w:t>
            </w:r>
          </w:p>
          <w:p w14:paraId="2135767D">
            <w:pPr>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为了最大程度的减少施工噪声对居民的影响，本评价对施工噪声的控制提出以下要求和建议：</w:t>
            </w:r>
          </w:p>
          <w:p w14:paraId="79E39F7C">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1</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合理安排施工时间，在夜间(22:00-6:00)禁止使用高噪声设备，如打桩机、破碎机、推土机、挖掘机、打夯机、发电机、电锯、混凝土电动震捣机等，优先选用静压桩等先进建设工艺。</w:t>
            </w:r>
          </w:p>
          <w:p w14:paraId="7D6E2A63">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2</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合理布置噪声源设备：在不影响施工情况下将噪声设备尽量不集中安排，并将其移至距离居民住宅较远处，为保障居民区一个良好的生活环境，强噪声设备至敏感点距离至少在50m以外，同时对固定的机械设备尽量入棚操作。</w:t>
            </w:r>
          </w:p>
          <w:p w14:paraId="79DD3559">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3</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在施工过程中，对混凝土搅拌、金属窗加工等发出高频噪声的生产过程尽量不安排在现场施工，建议采用商品混凝土和成品窗；大型建筑构件，应在施工现场外预制，然后运到施工现场再行安装。</w:t>
            </w:r>
          </w:p>
          <w:p w14:paraId="5DE99564">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4</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对于确需夜间施工的施工活动，施工单位必须事前报经</w:t>
            </w:r>
            <w:r>
              <w:rPr>
                <w:rFonts w:hint="eastAsia" w:cs="Times New Roman"/>
                <w:color w:val="auto"/>
                <w:sz w:val="24"/>
                <w:szCs w:val="24"/>
                <w:lang w:eastAsia="zh-CN"/>
              </w:rPr>
              <w:t>葛店开发区</w:t>
            </w:r>
            <w:r>
              <w:rPr>
                <w:rFonts w:ascii="Times New Roman" w:hAnsi="Times New Roman" w:cs="Times New Roman"/>
                <w:color w:val="auto"/>
                <w:sz w:val="24"/>
                <w:szCs w:val="24"/>
              </w:rPr>
              <w:t>政府批准，同时执行建筑施工噪声申报登记制度，在工程开工15日前填写《建筑施工场地噪声管理审批表》，向当地环境保护主管部门申报。并于施工前两天公告附近居民。做好与周边单位、居民的沟通工作，</w:t>
            </w:r>
            <w:r>
              <w:rPr>
                <w:rFonts w:ascii="Times New Roman" w:hAnsi="Times New Roman" w:cs="Times New Roman"/>
                <w:color w:val="auto"/>
              </w:rPr>
              <w:t>如有</w:t>
            </w:r>
            <w:r>
              <w:rPr>
                <w:rFonts w:ascii="Times New Roman" w:hAnsi="Times New Roman" w:cs="Times New Roman"/>
                <w:color w:val="auto"/>
                <w:sz w:val="24"/>
                <w:szCs w:val="24"/>
              </w:rPr>
              <w:t>发出高分贝噪声的施工内容或必须进行夜间施工时，施工单位在施工前，应当主动地将发出高分贝噪声的施工及夜间施工的时间、内容、降噪措施以及应急情况处置等情况与施工现场周边的上述敏感点进行沟通，并取得这些单位和市民的谅解；同时，将上述内容以“告示”形式张贴在施工现场周围，接受社会的监督。</w:t>
            </w:r>
          </w:p>
          <w:p w14:paraId="615DBC40">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5</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运输车辆进出施工现场控制或禁止鸣喇叭，减少交通噪声。</w:t>
            </w:r>
          </w:p>
          <w:p w14:paraId="159F28C3">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6</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制定施工噪声控制备用应急方案，重视噪声源头的治理工作。当常规噪声控制措施不能满足要求，出现噪声扰民情况，应及时对产生噪声的设备和施工工艺停止施工，并检查噪声防治措施的可靠性。</w:t>
            </w:r>
          </w:p>
          <w:p w14:paraId="6AA71602">
            <w:pPr>
              <w:keepNext w:val="0"/>
              <w:keepLines w:val="0"/>
              <w:pageBreakBefore w:val="0"/>
              <w:kinsoku/>
              <w:wordWrap/>
              <w:overflowPunct/>
              <w:bidi w:val="0"/>
              <w:adjustRightInd/>
              <w:snapToGrid/>
              <w:spacing w:line="360" w:lineRule="auto"/>
              <w:ind w:left="0" w:leftChars="0" w:right="0" w:rightChars="0" w:firstLine="480" w:firstLineChars="200"/>
              <w:outlineLvl w:val="9"/>
              <w:rPr>
                <w:rFonts w:ascii="Times New Roman" w:hAnsi="Times New Roman" w:cs="Times New Roman"/>
                <w:color w:val="auto"/>
                <w:kern w:val="0"/>
                <w:sz w:val="24"/>
              </w:rPr>
            </w:pPr>
            <w:r>
              <w:rPr>
                <w:rFonts w:ascii="Times New Roman" w:hAnsi="Times New Roman" w:cs="Times New Roman"/>
                <w:color w:val="auto"/>
                <w:sz w:val="24"/>
                <w:szCs w:val="24"/>
              </w:rPr>
              <w:t>总之，建设单位必须全面落实上述要求，不得对周围居民产生扰民现象，并使施工各阶段噪声符合《建筑施工场界环境噪声排放标准》(GB12523-2011)中的规定。</w:t>
            </w:r>
          </w:p>
          <w:p w14:paraId="259469F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b/>
                <w:bCs/>
                <w:color w:val="auto"/>
                <w:sz w:val="24"/>
                <w:szCs w:val="24"/>
              </w:rPr>
            </w:pPr>
            <w:r>
              <w:rPr>
                <w:rFonts w:ascii="Times New Roman" w:hAnsi="Times New Roman" w:cs="Times New Roman"/>
                <w:b/>
                <w:bCs/>
                <w:color w:val="auto"/>
                <w:sz w:val="24"/>
                <w:szCs w:val="24"/>
              </w:rPr>
              <w:t>4、固体废物环境影响分析</w:t>
            </w:r>
          </w:p>
          <w:p w14:paraId="53F18CE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项目所产生的固体废弃物主要来源于施工人员日常生活产生的生活垃圾及废建筑材料、施工弃方。</w:t>
            </w:r>
          </w:p>
          <w:p w14:paraId="6FBFE7D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施工过程中建筑垃圾产生量约</w:t>
            </w:r>
            <w:r>
              <w:rPr>
                <w:rFonts w:hint="eastAsia" w:cs="Times New Roman"/>
                <w:color w:val="auto"/>
                <w:sz w:val="24"/>
                <w:szCs w:val="24"/>
                <w:lang w:val="en-US" w:eastAsia="zh-CN"/>
              </w:rPr>
              <w:t>2565.67</w:t>
            </w:r>
            <w:r>
              <w:rPr>
                <w:rFonts w:ascii="Times New Roman" w:hAnsi="Times New Roman" w:cs="Times New Roman"/>
                <w:color w:val="auto"/>
                <w:sz w:val="24"/>
                <w:szCs w:val="24"/>
              </w:rPr>
              <w:t>t，建设单位应与当地城管部门协商，将建</w:t>
            </w:r>
          </w:p>
          <w:p w14:paraId="486B51A5">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筑垃圾堆放在城管部门指定的倒渣地点，分类收集并尽可能的回收再利用，不能回收利用的则应及时清理出施工现场交由市政环卫部门进行集中处理，不得造成二次污染。建筑垃圾应临时堆放在防风、防雨设施内。</w:t>
            </w:r>
          </w:p>
          <w:p w14:paraId="75D9EA0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生活垃圾主要是工地工人废弃物品，施工期共产生生活垃圾约</w:t>
            </w:r>
            <w:r>
              <w:rPr>
                <w:rFonts w:hint="eastAsia" w:cs="Times New Roman"/>
                <w:color w:val="auto"/>
                <w:sz w:val="24"/>
                <w:szCs w:val="24"/>
                <w:lang w:val="en-US" w:eastAsia="zh-CN"/>
              </w:rPr>
              <w:t>30.66t</w:t>
            </w:r>
            <w:r>
              <w:rPr>
                <w:rFonts w:ascii="Times New Roman" w:hAnsi="Times New Roman" w:cs="Times New Roman"/>
                <w:color w:val="auto"/>
                <w:sz w:val="24"/>
                <w:szCs w:val="24"/>
              </w:rPr>
              <w:t>。生活垃圾以有机垃圾为主，易产生腐烂，发酵，同时由于发酵而蚊蝇滋生，并产生臭气污染环境，所以在建设期间，生活垃圾要集中定点收集，纳入生活垃圾清运系统及时清运。</w:t>
            </w:r>
          </w:p>
          <w:p w14:paraId="265FEAAF">
            <w:pPr>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根据建设方提供的</w:t>
            </w:r>
            <w:r>
              <w:rPr>
                <w:rFonts w:ascii="Times New Roman" w:hAnsi="Times New Roman" w:cs="Times New Roman"/>
                <w:color w:val="auto"/>
                <w:sz w:val="24"/>
                <w:szCs w:val="24"/>
              </w:rPr>
              <w:t>资料，项目地下室挖方高度约5米，覆土层</w:t>
            </w:r>
            <w:r>
              <w:rPr>
                <w:rFonts w:hint="eastAsia" w:ascii="Times New Roman" w:hAnsi="Times New Roman" w:cs="Times New Roman"/>
                <w:color w:val="auto"/>
                <w:sz w:val="24"/>
                <w:szCs w:val="24"/>
                <w:lang w:eastAsia="zh-CN"/>
              </w:rPr>
              <w:t>约</w:t>
            </w:r>
            <w:r>
              <w:rPr>
                <w:rFonts w:hint="eastAsia" w:ascii="Times New Roman" w:hAnsi="Times New Roman" w:cs="Times New Roman"/>
                <w:color w:val="auto"/>
                <w:sz w:val="24"/>
                <w:szCs w:val="24"/>
                <w:lang w:val="en-US" w:eastAsia="zh-CN"/>
              </w:rPr>
              <w:t>2.1</w:t>
            </w:r>
            <w:r>
              <w:rPr>
                <w:rFonts w:ascii="Times New Roman" w:hAnsi="Times New Roman" w:cs="Times New Roman"/>
                <w:color w:val="auto"/>
                <w:sz w:val="24"/>
                <w:szCs w:val="24"/>
              </w:rPr>
              <w:t>米，地下</w:t>
            </w:r>
            <w:r>
              <w:rPr>
                <w:rFonts w:hint="eastAsia" w:ascii="Times New Roman" w:hAnsi="Times New Roman" w:cs="Times New Roman"/>
                <w:color w:val="auto"/>
                <w:sz w:val="24"/>
                <w:szCs w:val="24"/>
                <w:lang w:eastAsia="zh-CN"/>
              </w:rPr>
              <w:t>建筑</w:t>
            </w:r>
            <w:r>
              <w:rPr>
                <w:rFonts w:ascii="Times New Roman" w:hAnsi="Times New Roman" w:cs="Times New Roman"/>
                <w:color w:val="auto"/>
                <w:sz w:val="24"/>
                <w:szCs w:val="24"/>
              </w:rPr>
              <w:t>面积</w:t>
            </w:r>
            <w:r>
              <w:rPr>
                <w:rFonts w:hint="eastAsia" w:cs="Times New Roman"/>
                <w:color w:val="auto"/>
                <w:sz w:val="24"/>
                <w:szCs w:val="24"/>
                <w:lang w:val="en-US" w:eastAsia="zh-CN"/>
              </w:rPr>
              <w:t>12872.67</w:t>
            </w:r>
            <w:r>
              <w:rPr>
                <w:rFonts w:ascii="Times New Roman" w:hAnsi="Times New Roman" w:cs="Times New Roman"/>
                <w:color w:val="auto"/>
                <w:sz w:val="24"/>
                <w:szCs w:val="24"/>
              </w:rPr>
              <w:t>m</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，经初步核算，本项目挖方</w:t>
            </w:r>
            <w:r>
              <w:rPr>
                <w:rFonts w:hint="eastAsia" w:cs="Times New Roman"/>
                <w:color w:val="auto"/>
                <w:sz w:val="24"/>
                <w:szCs w:val="24"/>
                <w:lang w:val="en-US" w:eastAsia="zh-CN"/>
              </w:rPr>
              <w:t>135163.035</w:t>
            </w:r>
            <w:r>
              <w:rPr>
                <w:rFonts w:ascii="Times New Roman" w:hAnsi="Times New Roman" w:cs="Times New Roman"/>
                <w:color w:val="auto"/>
              </w:rPr>
              <w:t>m</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，覆土层回填</w:t>
            </w:r>
            <w:r>
              <w:rPr>
                <w:rFonts w:hint="eastAsia" w:ascii="Times New Roman" w:hAnsi="Times New Roman" w:cs="Times New Roman"/>
                <w:color w:val="auto"/>
                <w:sz w:val="24"/>
                <w:szCs w:val="24"/>
                <w:lang w:val="en-US" w:eastAsia="zh-CN"/>
              </w:rPr>
              <w:t>1</w:t>
            </w:r>
            <w:r>
              <w:rPr>
                <w:rFonts w:hint="eastAsia" w:cs="Times New Roman"/>
                <w:color w:val="auto"/>
                <w:sz w:val="24"/>
                <w:szCs w:val="24"/>
                <w:lang w:val="en-US" w:eastAsia="zh-CN"/>
              </w:rPr>
              <w:t>000</w:t>
            </w:r>
            <w:r>
              <w:rPr>
                <w:rFonts w:hint="eastAsia" w:ascii="Times New Roman" w:hAnsi="Times New Roman" w:cs="Times New Roman"/>
                <w:color w:val="auto"/>
                <w:sz w:val="24"/>
                <w:szCs w:val="24"/>
                <w:lang w:val="en-US" w:eastAsia="zh-CN"/>
              </w:rPr>
              <w:t>00</w:t>
            </w:r>
            <w:r>
              <w:rPr>
                <w:rFonts w:ascii="Times New Roman" w:hAnsi="Times New Roman" w:cs="Times New Roman"/>
                <w:color w:val="auto"/>
              </w:rPr>
              <w:t>m</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，剩下土石方用于小区内绿化，小区绿化面积</w:t>
            </w:r>
            <w:r>
              <w:rPr>
                <w:rFonts w:hint="eastAsia" w:cs="Times New Roman"/>
                <w:color w:val="auto"/>
                <w:sz w:val="24"/>
                <w:szCs w:val="24"/>
                <w:lang w:val="en-US" w:eastAsia="zh-CN"/>
              </w:rPr>
              <w:t>7808.28</w:t>
            </w:r>
            <w:r>
              <w:rPr>
                <w:rFonts w:ascii="Times New Roman" w:hAnsi="Times New Roman" w:cs="Times New Roman"/>
                <w:color w:val="auto"/>
                <w:sz w:val="24"/>
                <w:szCs w:val="24"/>
              </w:rPr>
              <w:t>m</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，绿化覆土主要以地表草被、灌木、乔木为主，绿化覆土厚度平均按0.6m计，则项目绿化覆土共计</w:t>
            </w:r>
            <w:r>
              <w:rPr>
                <w:rFonts w:hint="eastAsia" w:cs="Times New Roman"/>
                <w:color w:val="auto"/>
                <w:sz w:val="24"/>
                <w:szCs w:val="24"/>
                <w:lang w:val="en-US" w:eastAsia="zh-CN"/>
              </w:rPr>
              <w:t>4684.986</w:t>
            </w:r>
            <w:r>
              <w:rPr>
                <w:rFonts w:ascii="Times New Roman" w:hAnsi="Times New Roman" w:cs="Times New Roman"/>
                <w:color w:val="auto"/>
                <w:sz w:val="24"/>
                <w:szCs w:val="24"/>
              </w:rPr>
              <w:t>m</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，弃方</w:t>
            </w:r>
            <w:r>
              <w:rPr>
                <w:rFonts w:hint="eastAsia" w:cs="Times New Roman"/>
                <w:color w:val="auto"/>
                <w:sz w:val="24"/>
                <w:szCs w:val="24"/>
                <w:lang w:val="en-US" w:eastAsia="zh-CN"/>
              </w:rPr>
              <w:t>30478.049</w:t>
            </w:r>
            <w:r>
              <w:rPr>
                <w:rFonts w:ascii="Times New Roman" w:hAnsi="Times New Roman" w:cs="Times New Roman"/>
                <w:color w:val="auto"/>
                <w:sz w:val="24"/>
                <w:szCs w:val="24"/>
              </w:rPr>
              <w:t>m</w:t>
            </w:r>
            <w:r>
              <w:rPr>
                <w:rFonts w:hint="eastAsia" w:cs="Times New Roman"/>
                <w:color w:val="auto"/>
                <w:sz w:val="24"/>
                <w:szCs w:val="24"/>
                <w:vertAlign w:val="superscript"/>
                <w:lang w:val="en-US" w:eastAsia="zh-CN"/>
              </w:rPr>
              <w:t>3</w:t>
            </w:r>
            <w:r>
              <w:rPr>
                <w:rFonts w:ascii="Times New Roman" w:hAnsi="Times New Roman" w:cs="Times New Roman"/>
                <w:color w:val="auto"/>
              </w:rPr>
              <w:t>，</w:t>
            </w:r>
            <w:r>
              <w:rPr>
                <w:rFonts w:ascii="Times New Roman" w:hAnsi="Times New Roman" w:cs="Times New Roman"/>
                <w:color w:val="auto"/>
                <w:sz w:val="24"/>
                <w:szCs w:val="24"/>
              </w:rPr>
              <w:t>剩余土石方按照相关规定，委托专业的渣土清运公司及时进行处理，弃方运输车辆应当采取密闭措施，不得超载运输，不得车轮带泥，不得遗撒、泄漏。</w:t>
            </w:r>
          </w:p>
          <w:p w14:paraId="19AAC1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68" w:firstLineChars="200"/>
              <w:jc w:val="both"/>
              <w:textAlignment w:val="auto"/>
              <w:outlineLvl w:val="9"/>
              <w:rPr>
                <w:rFonts w:ascii="Times New Roman" w:hAnsi="Times New Roman" w:cs="Times New Roman"/>
                <w:color w:val="auto"/>
                <w:spacing w:val="-3"/>
                <w:kern w:val="0"/>
                <w:sz w:val="24"/>
                <w:szCs w:val="24"/>
              </w:rPr>
            </w:pPr>
            <w:r>
              <w:rPr>
                <w:rFonts w:ascii="Times New Roman" w:hAnsi="Times New Roman" w:cs="Times New Roman"/>
                <w:color w:val="auto"/>
                <w:spacing w:val="-3"/>
                <w:kern w:val="0"/>
                <w:sz w:val="24"/>
                <w:szCs w:val="24"/>
              </w:rPr>
              <w:t>各施工阶段的固体废物按照相关规定及时清运处理，将不会对周围环境产生影响。</w:t>
            </w:r>
          </w:p>
          <w:p w14:paraId="10176D8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b/>
                <w:bCs/>
                <w:color w:val="auto"/>
                <w:sz w:val="24"/>
                <w:szCs w:val="24"/>
              </w:rPr>
            </w:pPr>
            <w:r>
              <w:rPr>
                <w:rFonts w:ascii="Times New Roman" w:hAnsi="Times New Roman" w:cs="Times New Roman"/>
                <w:b/>
                <w:bCs/>
                <w:color w:val="auto"/>
                <w:sz w:val="24"/>
                <w:szCs w:val="24"/>
              </w:rPr>
              <w:t>5、生态影响</w:t>
            </w:r>
          </w:p>
          <w:p w14:paraId="51580EDD">
            <w:pPr>
              <w:spacing w:line="360" w:lineRule="auto"/>
              <w:ind w:firstLine="480" w:firstLineChars="200"/>
              <w:rPr>
                <w:rFonts w:ascii="Times New Roman" w:hAnsi="Times New Roman" w:cs="Times New Roman"/>
                <w:b/>
                <w:bCs/>
                <w:color w:val="auto"/>
                <w:sz w:val="24"/>
                <w:szCs w:val="24"/>
              </w:rPr>
            </w:pPr>
            <w:r>
              <w:rPr>
                <w:rFonts w:ascii="Times New Roman" w:hAnsi="Times New Roman" w:cs="Times New Roman"/>
                <w:color w:val="auto"/>
                <w:sz w:val="24"/>
                <w:szCs w:val="24"/>
              </w:rPr>
              <w:t>项目选址区域地表分布一定植被，施工期会对该区域地表植被造成破坏，地表原有结构、土地利用现状发生局部改变，大量挖掘土方若遇下雨会造成水土流失。因此，要尽量缩短工期，避免雨天施工。在项目建成后期，应及时采取绿化措施，以恢复植被，防止水土流失，减少对生态环境的影响。</w:t>
            </w:r>
          </w:p>
          <w:p w14:paraId="048C1FE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ascii="Times New Roman" w:hAnsi="Times New Roman" w:cs="Times New Roman"/>
                <w:b/>
                <w:bCs/>
                <w:color w:val="auto"/>
                <w:sz w:val="28"/>
                <w:szCs w:val="28"/>
              </w:rPr>
            </w:pPr>
            <w:r>
              <w:rPr>
                <w:rFonts w:hint="eastAsia" w:cs="Times New Roman"/>
                <w:b/>
                <w:bCs/>
                <w:color w:val="auto"/>
                <w:sz w:val="28"/>
                <w:szCs w:val="28"/>
                <w:lang w:eastAsia="zh-CN"/>
              </w:rPr>
              <w:t>二、</w:t>
            </w:r>
            <w:r>
              <w:rPr>
                <w:rFonts w:ascii="Times New Roman" w:hAnsi="Times New Roman" w:cs="Times New Roman"/>
                <w:b/>
                <w:bCs/>
                <w:color w:val="auto"/>
                <w:sz w:val="28"/>
                <w:szCs w:val="28"/>
              </w:rPr>
              <w:t>营运期环境影响分析：</w:t>
            </w:r>
          </w:p>
          <w:p w14:paraId="7374CF5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cs="Times New Roman"/>
                <w:b/>
                <w:bCs/>
                <w:color w:val="auto"/>
                <w:sz w:val="28"/>
                <w:szCs w:val="28"/>
              </w:rPr>
            </w:pPr>
            <w:r>
              <w:rPr>
                <w:rFonts w:hint="eastAsia" w:cs="Times New Roman"/>
                <w:b/>
                <w:bCs/>
                <w:color w:val="auto"/>
                <w:sz w:val="24"/>
                <w:szCs w:val="24"/>
                <w:lang w:val="en-US" w:eastAsia="zh-CN"/>
              </w:rPr>
              <w:t>1、</w:t>
            </w:r>
            <w:r>
              <w:rPr>
                <w:rFonts w:ascii="Times New Roman" w:hAnsi="Times New Roman" w:cs="Times New Roman"/>
                <w:b/>
                <w:bCs/>
                <w:color w:val="auto"/>
                <w:sz w:val="24"/>
                <w:szCs w:val="24"/>
              </w:rPr>
              <w:t>大气环境影响分析</w:t>
            </w:r>
          </w:p>
          <w:p w14:paraId="21DD476C">
            <w:pPr>
              <w:spacing w:line="360" w:lineRule="auto"/>
              <w:ind w:firstLine="480"/>
              <w:rPr>
                <w:color w:val="auto"/>
                <w:sz w:val="24"/>
                <w:szCs w:val="24"/>
              </w:rPr>
            </w:pPr>
            <w:r>
              <w:rPr>
                <w:color w:val="auto"/>
                <w:sz w:val="24"/>
                <w:szCs w:val="24"/>
              </w:rPr>
              <w:t>本项目运营期对环境空气的影响主要来源于</w:t>
            </w:r>
            <w:r>
              <w:rPr>
                <w:rFonts w:hint="eastAsia"/>
                <w:color w:val="auto"/>
                <w:sz w:val="24"/>
                <w:szCs w:val="24"/>
              </w:rPr>
              <w:t>天然气燃烧废气、油烟废气、汽车尾气、垃圾恶臭等</w:t>
            </w:r>
            <w:r>
              <w:rPr>
                <w:color w:val="auto"/>
                <w:sz w:val="24"/>
                <w:szCs w:val="24"/>
              </w:rPr>
              <w:t>。</w:t>
            </w:r>
          </w:p>
          <w:p w14:paraId="397F7399">
            <w:pPr>
              <w:spacing w:line="360" w:lineRule="auto"/>
              <w:ind w:firstLine="480" w:firstLineChars="200"/>
              <w:rPr>
                <w:rFonts w:hint="eastAsia"/>
                <w:color w:val="auto"/>
                <w:sz w:val="24"/>
                <w:szCs w:val="24"/>
              </w:rPr>
            </w:pPr>
            <w:r>
              <w:rPr>
                <w:rFonts w:hint="eastAsia"/>
                <w:color w:val="auto"/>
                <w:sz w:val="24"/>
                <w:szCs w:val="24"/>
                <w:lang w:val="en-US" w:eastAsia="zh-CN"/>
              </w:rPr>
              <w:t>1.1、</w:t>
            </w:r>
            <w:r>
              <w:rPr>
                <w:rFonts w:hint="eastAsia"/>
                <w:color w:val="auto"/>
                <w:sz w:val="24"/>
                <w:szCs w:val="24"/>
              </w:rPr>
              <w:t>天燃气废气</w:t>
            </w:r>
          </w:p>
          <w:p w14:paraId="6F32E222">
            <w:pPr>
              <w:pStyle w:val="9"/>
              <w:spacing w:line="360" w:lineRule="auto"/>
              <w:ind w:firstLine="480"/>
              <w:rPr>
                <w:rFonts w:ascii="Times New Roman" w:hAnsi="宋体"/>
                <w:color w:val="auto"/>
                <w:sz w:val="24"/>
                <w:lang w:val="en-US" w:eastAsia="zh-CN"/>
              </w:rPr>
            </w:pPr>
            <w:r>
              <w:rPr>
                <w:rFonts w:ascii="Times New Roman" w:hAnsi="宋体"/>
                <w:color w:val="auto"/>
                <w:kern w:val="0"/>
                <w:sz w:val="24"/>
                <w:szCs w:val="24"/>
                <w:lang w:val="en-US" w:eastAsia="zh-CN"/>
              </w:rPr>
              <w:t>本项目建成后住宅居民采用天然气为燃料，居民人均用气量</w:t>
            </w:r>
            <w:r>
              <w:rPr>
                <w:rFonts w:ascii="Times New Roman" w:hAnsi="宋体"/>
                <w:color w:val="auto"/>
                <w:sz w:val="24"/>
                <w:lang w:val="en-US" w:eastAsia="zh-CN"/>
              </w:rPr>
              <w:t>按</w:t>
            </w:r>
            <w:r>
              <w:rPr>
                <w:rFonts w:ascii="Times New Roman" w:hAnsi="Times New Roman"/>
                <w:color w:val="auto"/>
                <w:sz w:val="24"/>
                <w:lang w:val="en-US" w:eastAsia="zh-CN"/>
              </w:rPr>
              <w:t>0.35m</w:t>
            </w:r>
            <w:r>
              <w:rPr>
                <w:rFonts w:ascii="Times New Roman" w:hAnsi="Times New Roman"/>
                <w:color w:val="auto"/>
                <w:sz w:val="24"/>
                <w:vertAlign w:val="superscript"/>
                <w:lang w:val="en-US" w:eastAsia="zh-CN"/>
              </w:rPr>
              <w:t>3</w:t>
            </w:r>
            <w:r>
              <w:rPr>
                <w:rFonts w:ascii="Times New Roman" w:hAnsi="Times New Roman"/>
                <w:color w:val="auto"/>
                <w:sz w:val="24"/>
                <w:lang w:val="en-US" w:eastAsia="zh-CN"/>
              </w:rPr>
              <w:t>/d</w:t>
            </w:r>
            <w:r>
              <w:rPr>
                <w:rFonts w:ascii="Times New Roman" w:hAnsi="宋体"/>
                <w:color w:val="auto"/>
                <w:sz w:val="24"/>
                <w:lang w:val="en-US" w:eastAsia="zh-CN"/>
              </w:rPr>
              <w:t>计，用气人口按</w:t>
            </w:r>
            <w:r>
              <w:rPr>
                <w:rFonts w:hint="eastAsia" w:ascii="Times New Roman" w:hAnsi="宋体"/>
                <w:color w:val="auto"/>
                <w:sz w:val="24"/>
                <w:lang w:val="en-US" w:eastAsia="zh-CN"/>
              </w:rPr>
              <w:t>2112</w:t>
            </w:r>
            <w:r>
              <w:rPr>
                <w:rFonts w:ascii="Times New Roman" w:hAnsi="宋体"/>
                <w:color w:val="auto"/>
                <w:sz w:val="24"/>
                <w:lang w:val="en-US" w:eastAsia="zh-CN"/>
              </w:rPr>
              <w:t>人计，日用气量为</w:t>
            </w:r>
            <w:r>
              <w:rPr>
                <w:rFonts w:hint="eastAsia" w:ascii="Times New Roman" w:hAnsi="宋体"/>
                <w:color w:val="auto"/>
                <w:sz w:val="24"/>
                <w:lang w:val="en-US" w:eastAsia="zh-CN"/>
              </w:rPr>
              <w:t>739.2</w:t>
            </w:r>
            <w:r>
              <w:rPr>
                <w:rFonts w:ascii="Times New Roman" w:hAnsi="Times New Roman"/>
                <w:color w:val="auto"/>
                <w:sz w:val="24"/>
                <w:lang w:val="en-US" w:eastAsia="zh-CN"/>
              </w:rPr>
              <w:t>m</w:t>
            </w:r>
            <w:r>
              <w:rPr>
                <w:rFonts w:ascii="Times New Roman" w:hAnsi="Times New Roman"/>
                <w:color w:val="auto"/>
                <w:sz w:val="24"/>
                <w:vertAlign w:val="superscript"/>
                <w:lang w:val="en-US" w:eastAsia="zh-CN"/>
              </w:rPr>
              <w:t>3</w:t>
            </w:r>
            <w:r>
              <w:rPr>
                <w:rFonts w:ascii="Times New Roman" w:hAnsi="Times New Roman"/>
                <w:color w:val="auto"/>
                <w:sz w:val="24"/>
                <w:lang w:val="en-US" w:eastAsia="zh-CN"/>
              </w:rPr>
              <w:t>/d</w:t>
            </w:r>
            <w:r>
              <w:rPr>
                <w:rFonts w:ascii="Times New Roman" w:hAnsi="宋体"/>
                <w:color w:val="auto"/>
                <w:sz w:val="24"/>
                <w:lang w:val="en-US" w:eastAsia="zh-CN"/>
              </w:rPr>
              <w:t>，并考虑</w:t>
            </w:r>
            <w:r>
              <w:rPr>
                <w:rFonts w:ascii="Times New Roman" w:hAnsi="Times New Roman"/>
                <w:color w:val="auto"/>
                <w:sz w:val="24"/>
                <w:lang w:val="en-US" w:eastAsia="zh-CN"/>
              </w:rPr>
              <w:t>10%</w:t>
            </w:r>
            <w:r>
              <w:rPr>
                <w:rFonts w:ascii="Times New Roman" w:hAnsi="宋体"/>
                <w:color w:val="auto"/>
                <w:sz w:val="24"/>
                <w:lang w:val="en-US" w:eastAsia="zh-CN"/>
              </w:rPr>
              <w:t>的不可预见用气量，则全年用气量约为</w:t>
            </w:r>
            <w:r>
              <w:rPr>
                <w:rFonts w:hint="eastAsia" w:ascii="Times New Roman" w:hAnsi="宋体"/>
                <w:color w:val="auto"/>
                <w:sz w:val="24"/>
                <w:lang w:val="en-US" w:eastAsia="zh-CN"/>
              </w:rPr>
              <w:t>296788.8</w:t>
            </w:r>
            <w:r>
              <w:rPr>
                <w:rFonts w:ascii="Times New Roman" w:hAnsi="Times New Roman"/>
                <w:color w:val="auto"/>
                <w:sz w:val="24"/>
                <w:lang w:val="en-US" w:eastAsia="zh-CN"/>
              </w:rPr>
              <w:t>m</w:t>
            </w:r>
            <w:r>
              <w:rPr>
                <w:rFonts w:ascii="Times New Roman" w:hAnsi="Times New Roman"/>
                <w:color w:val="auto"/>
                <w:sz w:val="24"/>
                <w:vertAlign w:val="superscript"/>
                <w:lang w:val="en-US" w:eastAsia="zh-CN"/>
              </w:rPr>
              <w:t>3</w:t>
            </w:r>
            <w:r>
              <w:rPr>
                <w:rFonts w:ascii="Times New Roman" w:hAnsi="Times New Roman"/>
                <w:color w:val="auto"/>
                <w:sz w:val="24"/>
                <w:lang w:val="en-US" w:eastAsia="zh-CN"/>
              </w:rPr>
              <w:t>/a</w:t>
            </w:r>
            <w:r>
              <w:rPr>
                <w:rFonts w:hint="eastAsia" w:ascii="Times New Roman" w:hAnsi="Times New Roman"/>
                <w:color w:val="auto"/>
                <w:sz w:val="24"/>
                <w:lang w:val="en-US" w:eastAsia="zh-CN"/>
              </w:rPr>
              <w:t>（一年按365天计）</w:t>
            </w:r>
            <w:r>
              <w:rPr>
                <w:rFonts w:ascii="Times New Roman" w:hAnsi="宋体"/>
                <w:color w:val="auto"/>
                <w:sz w:val="24"/>
                <w:lang w:val="en-US" w:eastAsia="zh-CN"/>
              </w:rPr>
              <w:t>。</w:t>
            </w:r>
          </w:p>
          <w:p w14:paraId="52DDEAFF">
            <w:pPr>
              <w:pStyle w:val="9"/>
              <w:spacing w:line="360" w:lineRule="auto"/>
              <w:ind w:firstLine="480"/>
              <w:rPr>
                <w:rFonts w:hint="eastAsia" w:ascii="Times New Roman" w:hAnsi="宋体"/>
                <w:color w:val="auto"/>
                <w:sz w:val="24"/>
                <w:lang w:val="en-US" w:eastAsia="zh-CN"/>
              </w:rPr>
            </w:pPr>
            <w:r>
              <w:rPr>
                <w:rFonts w:hint="eastAsia" w:ascii="Times New Roman" w:hAnsi="宋体"/>
                <w:color w:val="auto"/>
                <w:sz w:val="24"/>
                <w:lang w:val="en-US" w:eastAsia="zh-CN"/>
              </w:rPr>
              <w:t>本项目在设计中考虑了住户的天然气燃烧废气通过预留烟气管道由楼顶排放，同时天然气属于清洁能源，产生的污染物浓度低，能够实现达标排放。</w:t>
            </w:r>
          </w:p>
          <w:p w14:paraId="5C405603">
            <w:pPr>
              <w:pStyle w:val="9"/>
              <w:spacing w:line="360" w:lineRule="auto"/>
              <w:ind w:firstLine="480"/>
              <w:rPr>
                <w:rFonts w:hint="eastAsia" w:ascii="Times New Roman" w:hAnsi="宋体"/>
                <w:color w:val="auto"/>
                <w:sz w:val="24"/>
                <w:lang w:val="en-US" w:eastAsia="zh-CN"/>
              </w:rPr>
            </w:pPr>
            <w:r>
              <w:rPr>
                <w:rFonts w:hint="eastAsia" w:ascii="Times New Roman" w:hAnsi="宋体"/>
                <w:color w:val="auto"/>
                <w:sz w:val="24"/>
                <w:lang w:val="en-US" w:eastAsia="zh-CN"/>
              </w:rPr>
              <w:t>1.2、居民油烟废气</w:t>
            </w:r>
          </w:p>
          <w:p w14:paraId="260DB7F0">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根据本地区居民饮食习惯，每户食用油用量约为0.15kg/天，烹饪过程中挥发至空气中的油烟为食用油的3%，</w:t>
            </w:r>
            <w:r>
              <w:rPr>
                <w:rFonts w:hint="eastAsia" w:cs="Times New Roman"/>
                <w:bCs/>
                <w:color w:val="auto"/>
                <w:sz w:val="24"/>
                <w:szCs w:val="24"/>
                <w:lang w:eastAsia="zh-CN"/>
              </w:rPr>
              <w:t>则</w:t>
            </w:r>
            <w:r>
              <w:rPr>
                <w:rFonts w:hint="default" w:ascii="Times New Roman" w:hAnsi="Times New Roman" w:cs="Times New Roman"/>
                <w:bCs/>
                <w:color w:val="auto"/>
                <w:sz w:val="24"/>
                <w:szCs w:val="24"/>
              </w:rPr>
              <w:t>项目产生的油烟每户每天约为0.0045kg，总户数</w:t>
            </w:r>
            <w:r>
              <w:rPr>
                <w:rFonts w:hint="eastAsia" w:cs="Times New Roman"/>
                <w:bCs/>
                <w:color w:val="auto"/>
                <w:sz w:val="24"/>
                <w:szCs w:val="24"/>
                <w:lang w:eastAsia="zh-CN"/>
              </w:rPr>
              <w:t>为</w:t>
            </w:r>
            <w:r>
              <w:rPr>
                <w:rFonts w:hint="eastAsia" w:cs="Times New Roman"/>
                <w:bCs/>
                <w:color w:val="auto"/>
                <w:sz w:val="24"/>
                <w:szCs w:val="24"/>
                <w:lang w:val="en-US" w:eastAsia="zh-CN"/>
              </w:rPr>
              <w:t>660</w:t>
            </w:r>
            <w:r>
              <w:rPr>
                <w:rFonts w:hint="default" w:ascii="Times New Roman" w:hAnsi="Times New Roman" w:cs="Times New Roman"/>
                <w:bCs/>
                <w:color w:val="auto"/>
                <w:sz w:val="24"/>
                <w:szCs w:val="24"/>
              </w:rPr>
              <w:t>户，</w:t>
            </w:r>
            <w:r>
              <w:rPr>
                <w:rFonts w:hint="eastAsia" w:cs="Times New Roman"/>
                <w:bCs/>
                <w:color w:val="auto"/>
                <w:sz w:val="24"/>
                <w:szCs w:val="24"/>
                <w:lang w:eastAsia="zh-CN"/>
              </w:rPr>
              <w:t>一年按</w:t>
            </w:r>
            <w:r>
              <w:rPr>
                <w:rFonts w:hint="eastAsia" w:cs="Times New Roman"/>
                <w:bCs/>
                <w:color w:val="auto"/>
                <w:sz w:val="24"/>
                <w:szCs w:val="24"/>
                <w:lang w:val="en-US" w:eastAsia="zh-CN"/>
              </w:rPr>
              <w:t>365天计，则</w:t>
            </w:r>
            <w:r>
              <w:rPr>
                <w:rFonts w:hint="default" w:ascii="Times New Roman" w:hAnsi="Times New Roman" w:cs="Times New Roman"/>
                <w:bCs/>
                <w:color w:val="auto"/>
                <w:sz w:val="24"/>
                <w:szCs w:val="24"/>
              </w:rPr>
              <w:t>居民烹饪油烟年产生总量约为</w:t>
            </w:r>
            <w:r>
              <w:rPr>
                <w:rFonts w:hint="eastAsia" w:cs="Times New Roman"/>
                <w:bCs/>
                <w:color w:val="auto"/>
                <w:sz w:val="24"/>
                <w:szCs w:val="24"/>
                <w:lang w:val="en-US" w:eastAsia="zh-CN"/>
              </w:rPr>
              <w:t>1.084</w:t>
            </w:r>
            <w:r>
              <w:rPr>
                <w:rFonts w:hint="default" w:ascii="Times New Roman" w:hAnsi="Times New Roman" w:cs="Times New Roman"/>
                <w:bCs/>
                <w:color w:val="auto"/>
                <w:sz w:val="24"/>
                <w:szCs w:val="24"/>
              </w:rPr>
              <w:t>t。拟建项目在厨房内设计了内置排油烟道，并预留了油烟净化器的安装位置，产生的油烟净化后经内置式排油烟道引至各楼栋屋顶排放。</w:t>
            </w:r>
            <w:r>
              <w:rPr>
                <w:rFonts w:hAnsi="宋体"/>
                <w:color w:val="auto"/>
                <w:sz w:val="24"/>
              </w:rPr>
              <w:t>一般居民均采用家用抽油烟机，油烟平均去除率按</w:t>
            </w:r>
            <w:r>
              <w:rPr>
                <w:color w:val="auto"/>
                <w:sz w:val="24"/>
              </w:rPr>
              <w:t>80%</w:t>
            </w:r>
            <w:r>
              <w:rPr>
                <w:rFonts w:hAnsi="宋体"/>
                <w:color w:val="auto"/>
                <w:sz w:val="24"/>
              </w:rPr>
              <w:t>计，经过油烟器净化处理后排放量为</w:t>
            </w:r>
            <w:r>
              <w:rPr>
                <w:rFonts w:hint="eastAsia" w:hAnsi="宋体"/>
                <w:color w:val="auto"/>
                <w:sz w:val="24"/>
                <w:lang w:val="en-US" w:eastAsia="zh-CN"/>
              </w:rPr>
              <w:t>0.2168</w:t>
            </w:r>
            <w:r>
              <w:rPr>
                <w:color w:val="auto"/>
                <w:sz w:val="24"/>
              </w:rPr>
              <w:t>t/a</w:t>
            </w:r>
            <w:r>
              <w:rPr>
                <w:rFonts w:hAnsi="宋体"/>
                <w:color w:val="auto"/>
                <w:sz w:val="24"/>
              </w:rPr>
              <w:t>。</w:t>
            </w:r>
          </w:p>
          <w:p w14:paraId="7E455ED3">
            <w:pPr>
              <w:spacing w:line="360" w:lineRule="auto"/>
              <w:ind w:firstLine="480" w:firstLineChars="200"/>
              <w:rPr>
                <w:rFonts w:hint="eastAsia"/>
                <w:color w:val="auto"/>
                <w:sz w:val="24"/>
                <w:szCs w:val="24"/>
              </w:rPr>
            </w:pPr>
            <w:r>
              <w:rPr>
                <w:rFonts w:hint="eastAsia"/>
                <w:color w:val="auto"/>
                <w:sz w:val="24"/>
                <w:szCs w:val="24"/>
                <w:lang w:val="en-US" w:eastAsia="zh-CN"/>
              </w:rPr>
              <w:t>1.3、</w:t>
            </w:r>
            <w:r>
              <w:rPr>
                <w:rFonts w:hint="eastAsia"/>
                <w:color w:val="auto"/>
                <w:sz w:val="24"/>
                <w:szCs w:val="24"/>
              </w:rPr>
              <w:t>汽车尾气</w:t>
            </w:r>
          </w:p>
          <w:p w14:paraId="066B042C">
            <w:pPr>
              <w:spacing w:line="360" w:lineRule="auto"/>
              <w:ind w:firstLine="530" w:firstLineChars="221"/>
              <w:rPr>
                <w:color w:val="auto"/>
                <w:sz w:val="24"/>
              </w:rPr>
            </w:pPr>
            <w:r>
              <w:rPr>
                <w:rFonts w:hAnsi="宋体"/>
                <w:color w:val="auto"/>
                <w:sz w:val="24"/>
              </w:rPr>
              <w:t>进出住宅区停车场的各种车辆产生汽车尾气主要污染因子是</w:t>
            </w:r>
            <w:r>
              <w:rPr>
                <w:color w:val="auto"/>
                <w:sz w:val="24"/>
              </w:rPr>
              <w:t>CO</w:t>
            </w:r>
            <w:r>
              <w:rPr>
                <w:rFonts w:hAnsi="宋体"/>
                <w:color w:val="auto"/>
                <w:sz w:val="24"/>
              </w:rPr>
              <w:t>、</w:t>
            </w:r>
            <w:r>
              <w:rPr>
                <w:color w:val="auto"/>
                <w:sz w:val="24"/>
              </w:rPr>
              <w:t>NO</w:t>
            </w:r>
            <w:r>
              <w:rPr>
                <w:color w:val="auto"/>
                <w:sz w:val="24"/>
                <w:vertAlign w:val="subscript"/>
              </w:rPr>
              <w:t>2</w:t>
            </w:r>
            <w:r>
              <w:rPr>
                <w:rFonts w:hAnsi="宋体"/>
                <w:color w:val="auto"/>
                <w:sz w:val="24"/>
              </w:rPr>
              <w:t>、</w:t>
            </w:r>
            <w:r>
              <w:rPr>
                <w:color w:val="auto"/>
                <w:sz w:val="24"/>
              </w:rPr>
              <w:t>THC</w:t>
            </w:r>
            <w:r>
              <w:rPr>
                <w:rFonts w:hAnsi="宋体"/>
                <w:color w:val="auto"/>
                <w:sz w:val="24"/>
              </w:rPr>
              <w:t>，尾气主要是油料不完全燃烧产生的。当空气与燃油的体积比较大时</w:t>
            </w:r>
            <w:r>
              <w:rPr>
                <w:color w:val="auto"/>
                <w:sz w:val="24"/>
              </w:rPr>
              <w:t>(</w:t>
            </w:r>
            <w:r>
              <w:rPr>
                <w:rFonts w:hAnsi="宋体"/>
                <w:color w:val="auto"/>
                <w:sz w:val="24"/>
              </w:rPr>
              <w:t>大于</w:t>
            </w:r>
            <w:r>
              <w:rPr>
                <w:color w:val="auto"/>
                <w:sz w:val="24"/>
              </w:rPr>
              <w:t>14.5)</w:t>
            </w:r>
            <w:r>
              <w:rPr>
                <w:rFonts w:hAnsi="宋体"/>
                <w:color w:val="auto"/>
                <w:sz w:val="24"/>
              </w:rPr>
              <w:t>，燃油完全燃烧，产生</w:t>
            </w:r>
            <w:r>
              <w:rPr>
                <w:color w:val="auto"/>
                <w:sz w:val="24"/>
              </w:rPr>
              <w:t>CO</w:t>
            </w:r>
            <w:r>
              <w:rPr>
                <w:color w:val="auto"/>
                <w:sz w:val="24"/>
                <w:vertAlign w:val="subscript"/>
              </w:rPr>
              <w:t>2</w:t>
            </w:r>
            <w:r>
              <w:rPr>
                <w:rFonts w:hAnsi="宋体"/>
                <w:color w:val="auto"/>
                <w:sz w:val="24"/>
              </w:rPr>
              <w:t>和</w:t>
            </w:r>
            <w:r>
              <w:rPr>
                <w:color w:val="auto"/>
                <w:sz w:val="24"/>
              </w:rPr>
              <w:t>H</w:t>
            </w:r>
            <w:r>
              <w:rPr>
                <w:color w:val="auto"/>
                <w:sz w:val="24"/>
                <w:vertAlign w:val="subscript"/>
              </w:rPr>
              <w:t>2</w:t>
            </w:r>
            <w:r>
              <w:rPr>
                <w:color w:val="auto"/>
                <w:sz w:val="24"/>
              </w:rPr>
              <w:t>O</w:t>
            </w:r>
            <w:r>
              <w:rPr>
                <w:rFonts w:hAnsi="宋体"/>
                <w:color w:val="auto"/>
                <w:sz w:val="24"/>
              </w:rPr>
              <w:t>；当空气与燃油的体积比较低</w:t>
            </w:r>
            <w:r>
              <w:rPr>
                <w:color w:val="auto"/>
                <w:sz w:val="24"/>
              </w:rPr>
              <w:t>(</w:t>
            </w:r>
            <w:r>
              <w:rPr>
                <w:rFonts w:hAnsi="宋体"/>
                <w:color w:val="auto"/>
                <w:sz w:val="24"/>
              </w:rPr>
              <w:t>小于</w:t>
            </w:r>
            <w:r>
              <w:rPr>
                <w:color w:val="auto"/>
                <w:sz w:val="24"/>
              </w:rPr>
              <w:t>14.5)</w:t>
            </w:r>
            <w:r>
              <w:rPr>
                <w:rFonts w:hAnsi="宋体"/>
                <w:color w:val="auto"/>
                <w:sz w:val="24"/>
              </w:rPr>
              <w:t>时，燃油不充分燃烧，将产生</w:t>
            </w:r>
            <w:r>
              <w:rPr>
                <w:color w:val="auto"/>
                <w:sz w:val="24"/>
              </w:rPr>
              <w:t>THC</w:t>
            </w:r>
            <w:r>
              <w:rPr>
                <w:rFonts w:hAnsi="宋体"/>
                <w:color w:val="auto"/>
                <w:sz w:val="24"/>
              </w:rPr>
              <w:t>、</w:t>
            </w:r>
            <w:r>
              <w:rPr>
                <w:color w:val="auto"/>
                <w:sz w:val="24"/>
              </w:rPr>
              <w:t>CO</w:t>
            </w:r>
            <w:r>
              <w:rPr>
                <w:rFonts w:hAnsi="宋体"/>
                <w:color w:val="auto"/>
                <w:sz w:val="24"/>
              </w:rPr>
              <w:t>和</w:t>
            </w:r>
            <w:r>
              <w:rPr>
                <w:color w:val="auto"/>
                <w:sz w:val="24"/>
              </w:rPr>
              <w:t>NO</w:t>
            </w:r>
            <w:r>
              <w:rPr>
                <w:color w:val="auto"/>
                <w:sz w:val="24"/>
                <w:vertAlign w:val="subscript"/>
              </w:rPr>
              <w:t>2</w:t>
            </w:r>
            <w:r>
              <w:rPr>
                <w:rFonts w:hAnsi="宋体"/>
                <w:color w:val="auto"/>
                <w:sz w:val="24"/>
              </w:rPr>
              <w:t>等污染物。</w:t>
            </w:r>
          </w:p>
          <w:p w14:paraId="6075F26E">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9"/>
              <w:rPr>
                <w:rFonts w:hint="default" w:ascii="Times New Roman" w:hAnsi="Times New Roman" w:cs="Times New Roman"/>
                <w:color w:val="auto"/>
                <w:spacing w:val="0"/>
                <w:kern w:val="0"/>
                <w:sz w:val="24"/>
              </w:rPr>
            </w:pPr>
            <w:r>
              <w:rPr>
                <w:rFonts w:hint="default" w:ascii="Times New Roman" w:hAnsi="Times New Roman" w:cs="Times New Roman"/>
                <w:color w:val="auto"/>
                <w:sz w:val="24"/>
                <w:szCs w:val="24"/>
              </w:rPr>
              <w:t>本项目住宅区建有地上、地下停车位</w:t>
            </w:r>
            <w:r>
              <w:rPr>
                <w:rFonts w:hint="eastAsia" w:cs="Times New Roman"/>
                <w:color w:val="auto"/>
                <w:sz w:val="24"/>
                <w:szCs w:val="24"/>
                <w:lang w:val="en-US" w:eastAsia="zh-CN"/>
              </w:rPr>
              <w:t>339</w:t>
            </w:r>
            <w:r>
              <w:rPr>
                <w:rFonts w:hint="default" w:ascii="Times New Roman" w:hAnsi="Times New Roman" w:cs="Times New Roman"/>
                <w:color w:val="auto"/>
                <w:sz w:val="24"/>
                <w:szCs w:val="24"/>
              </w:rPr>
              <w:t xml:space="preserve">个。根据工程分析对停车位废气排放源强的估算，本项目停车场各污染物排放量分别为CO </w:t>
            </w:r>
            <w:r>
              <w:rPr>
                <w:rFonts w:hint="eastAsia" w:cs="Times New Roman"/>
                <w:color w:val="auto"/>
                <w:sz w:val="24"/>
                <w:szCs w:val="24"/>
                <w:lang w:val="en-US" w:eastAsia="zh-CN"/>
              </w:rPr>
              <w:t>1.29</w:t>
            </w:r>
            <w:r>
              <w:rPr>
                <w:rFonts w:hint="default" w:ascii="Times New Roman" w:hAnsi="Times New Roman" w:cs="Times New Roman"/>
                <w:color w:val="auto"/>
                <w:sz w:val="24"/>
                <w:szCs w:val="24"/>
                <w:lang w:val="en-US" w:eastAsia="zh-CN"/>
              </w:rPr>
              <w:t>kg</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h</w:t>
            </w:r>
            <w:r>
              <w:rPr>
                <w:rFonts w:hint="default" w:ascii="Times New Roman" w:hAnsi="Times New Roman" w:cs="Times New Roman"/>
                <w:color w:val="auto"/>
                <w:sz w:val="24"/>
                <w:szCs w:val="24"/>
              </w:rPr>
              <w:t xml:space="preserve">、THC </w:t>
            </w:r>
            <w:r>
              <w:rPr>
                <w:rFonts w:hint="eastAsia" w:cs="Times New Roman"/>
                <w:color w:val="auto"/>
                <w:sz w:val="24"/>
                <w:szCs w:val="24"/>
                <w:lang w:val="en-US" w:eastAsia="zh-CN"/>
              </w:rPr>
              <w:t>0.30</w:t>
            </w:r>
            <w:r>
              <w:rPr>
                <w:rFonts w:hint="default" w:ascii="Times New Roman" w:hAnsi="Times New Roman" w:cs="Times New Roman"/>
                <w:color w:val="auto"/>
                <w:sz w:val="24"/>
                <w:szCs w:val="24"/>
                <w:lang w:val="en-US" w:eastAsia="zh-CN"/>
              </w:rPr>
              <w:t>kg</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h</w:t>
            </w:r>
            <w:r>
              <w:rPr>
                <w:rFonts w:hint="default" w:ascii="Times New Roman" w:hAnsi="Times New Roman" w:cs="Times New Roman"/>
                <w:color w:val="auto"/>
                <w:sz w:val="24"/>
                <w:szCs w:val="24"/>
              </w:rPr>
              <w:t>、NO</w:t>
            </w:r>
            <w:r>
              <w:rPr>
                <w:rFonts w:hint="default" w:ascii="Times New Roman" w:hAnsi="Times New Roman" w:cs="Times New Roman"/>
                <w:color w:val="auto"/>
                <w:sz w:val="24"/>
                <w:szCs w:val="24"/>
                <w:vertAlign w:val="subscript"/>
              </w:rPr>
              <w:t>2</w:t>
            </w:r>
            <w:r>
              <w:rPr>
                <w:rFonts w:hint="default" w:ascii="Times New Roman" w:hAnsi="Times New Roman" w:cs="Times New Roman"/>
                <w:color w:val="auto"/>
                <w:sz w:val="24"/>
                <w:szCs w:val="24"/>
              </w:rPr>
              <w:t xml:space="preserve"> </w:t>
            </w:r>
            <w:r>
              <w:rPr>
                <w:rFonts w:hint="eastAsia" w:cs="Times New Roman"/>
                <w:color w:val="auto"/>
                <w:sz w:val="24"/>
                <w:szCs w:val="24"/>
                <w:lang w:val="en-US" w:eastAsia="zh-CN"/>
              </w:rPr>
              <w:t>0.027</w:t>
            </w:r>
            <w:r>
              <w:rPr>
                <w:rFonts w:hint="default" w:ascii="Times New Roman" w:hAnsi="Times New Roman" w:cs="Times New Roman"/>
                <w:color w:val="auto"/>
                <w:sz w:val="24"/>
                <w:szCs w:val="24"/>
                <w:lang w:val="en-US" w:eastAsia="zh-CN"/>
              </w:rPr>
              <w:t>kg</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h，一天早晚高峰各1个小时，</w:t>
            </w:r>
            <w:r>
              <w:rPr>
                <w:rFonts w:hint="default" w:ascii="Times New Roman" w:hAnsi="Times New Roman" w:cs="Times New Roman"/>
                <w:color w:val="auto"/>
                <w:sz w:val="24"/>
                <w:lang w:val="en-US" w:eastAsia="zh-CN"/>
              </w:rPr>
              <w:t>一年按365天计，则</w:t>
            </w:r>
            <w:r>
              <w:rPr>
                <w:rFonts w:hint="default" w:ascii="Times New Roman" w:hAnsi="Times New Roman" w:cs="Times New Roman"/>
                <w:color w:val="auto"/>
                <w:sz w:val="24"/>
              </w:rPr>
              <w:t>各污染物</w:t>
            </w:r>
            <w:r>
              <w:rPr>
                <w:rFonts w:hint="default" w:ascii="Times New Roman" w:hAnsi="Times New Roman" w:cs="Times New Roman"/>
                <w:color w:val="auto"/>
                <w:sz w:val="24"/>
                <w:lang w:eastAsia="zh-CN"/>
              </w:rPr>
              <w:t>年</w:t>
            </w:r>
            <w:r>
              <w:rPr>
                <w:rFonts w:hint="default" w:ascii="Times New Roman" w:hAnsi="Times New Roman" w:cs="Times New Roman"/>
                <w:color w:val="auto"/>
                <w:sz w:val="24"/>
              </w:rPr>
              <w:t>排放量</w:t>
            </w:r>
            <w:r>
              <w:rPr>
                <w:rFonts w:hint="default" w:ascii="Times New Roman" w:hAnsi="Times New Roman" w:cs="Times New Roman"/>
                <w:color w:val="auto"/>
                <w:sz w:val="24"/>
                <w:lang w:eastAsia="zh-CN"/>
              </w:rPr>
              <w:t>为</w:t>
            </w:r>
            <w:r>
              <w:rPr>
                <w:rFonts w:hint="default" w:ascii="Times New Roman" w:hAnsi="Times New Roman" w:cs="Times New Roman"/>
                <w:color w:val="auto"/>
                <w:sz w:val="24"/>
              </w:rPr>
              <w:t xml:space="preserve">CO </w:t>
            </w:r>
            <w:r>
              <w:rPr>
                <w:rFonts w:hint="eastAsia" w:cs="Times New Roman"/>
                <w:color w:val="auto"/>
                <w:sz w:val="24"/>
                <w:lang w:val="en-US" w:eastAsia="zh-CN"/>
              </w:rPr>
              <w:t>0.94</w:t>
            </w:r>
            <w:r>
              <w:rPr>
                <w:rFonts w:hint="default" w:ascii="Times New Roman" w:hAnsi="Times New Roman" w:cs="Times New Roman"/>
                <w:color w:val="auto"/>
                <w:sz w:val="24"/>
                <w:lang w:val="en-US" w:eastAsia="zh-CN"/>
              </w:rPr>
              <w:t>t</w:t>
            </w:r>
            <w:r>
              <w:rPr>
                <w:rFonts w:hint="default" w:ascii="Times New Roman" w:hAnsi="Times New Roman" w:cs="Times New Roman"/>
                <w:color w:val="auto"/>
                <w:sz w:val="24"/>
              </w:rPr>
              <w:t xml:space="preserve">、THC </w:t>
            </w:r>
            <w:r>
              <w:rPr>
                <w:rFonts w:hint="eastAsia" w:cs="Times New Roman"/>
                <w:color w:val="auto"/>
                <w:sz w:val="24"/>
                <w:lang w:val="en-US" w:eastAsia="zh-CN"/>
              </w:rPr>
              <w:t>0.22</w:t>
            </w:r>
            <w:r>
              <w:rPr>
                <w:rFonts w:hint="default" w:ascii="Times New Roman" w:hAnsi="Times New Roman" w:cs="Times New Roman"/>
                <w:color w:val="auto"/>
                <w:sz w:val="24"/>
                <w:lang w:val="en-US" w:eastAsia="zh-CN"/>
              </w:rPr>
              <w:t>t</w:t>
            </w:r>
            <w:r>
              <w:rPr>
                <w:rFonts w:hint="default" w:ascii="Times New Roman" w:hAnsi="Times New Roman" w:cs="Times New Roman"/>
                <w:color w:val="auto"/>
                <w:sz w:val="24"/>
              </w:rPr>
              <w:t>、NO</w:t>
            </w:r>
            <w:r>
              <w:rPr>
                <w:rFonts w:hint="default" w:ascii="Times New Roman" w:hAnsi="Times New Roman" w:cs="Times New Roman"/>
                <w:color w:val="auto"/>
                <w:sz w:val="24"/>
                <w:vertAlign w:val="subscript"/>
              </w:rPr>
              <w:t>2</w:t>
            </w:r>
            <w:r>
              <w:rPr>
                <w:rFonts w:hint="default" w:ascii="Times New Roman" w:hAnsi="Times New Roman" w:cs="Times New Roman"/>
                <w:color w:val="auto"/>
                <w:sz w:val="24"/>
              </w:rPr>
              <w:t xml:space="preserve"> </w:t>
            </w:r>
            <w:r>
              <w:rPr>
                <w:rFonts w:hint="eastAsia" w:cs="Times New Roman"/>
                <w:color w:val="auto"/>
                <w:sz w:val="24"/>
                <w:lang w:val="en-US" w:eastAsia="zh-CN"/>
              </w:rPr>
              <w:t>0.020</w:t>
            </w:r>
            <w:r>
              <w:rPr>
                <w:rFonts w:hint="default" w:ascii="Times New Roman" w:hAnsi="Times New Roman" w:cs="Times New Roman"/>
                <w:color w:val="auto"/>
                <w:sz w:val="24"/>
                <w:lang w:val="en-US" w:eastAsia="zh-CN"/>
              </w:rPr>
              <w:t>t</w:t>
            </w:r>
            <w:r>
              <w:rPr>
                <w:rFonts w:hint="default" w:ascii="Times New Roman" w:hAnsi="Times New Roman" w:cs="Times New Roman"/>
                <w:color w:val="auto"/>
                <w:sz w:val="24"/>
              </w:rPr>
              <w:t>。本项目地下车库产生的尾气由抽排风系统抽至地面排风口处排放，地下车库设置了排风口，排风口的位置位于小区的绿化处，朝向背对住宅和商业楼，汽车尾气经地面排气筒排出，不会造成地下停车场局部环境空气污染。</w:t>
            </w:r>
            <w:r>
              <w:rPr>
                <w:rFonts w:hint="default" w:ascii="Times New Roman" w:hAnsi="Times New Roman" w:cs="Times New Roman"/>
                <w:color w:val="auto"/>
                <w:kern w:val="0"/>
                <w:sz w:val="24"/>
              </w:rPr>
              <w:t>地面停车场分布较</w:t>
            </w:r>
            <w:r>
              <w:rPr>
                <w:rFonts w:hint="default" w:ascii="Times New Roman" w:hAnsi="Times New Roman" w:cs="Times New Roman"/>
                <w:color w:val="auto"/>
                <w:sz w:val="24"/>
              </w:rPr>
              <w:t>为分散，产生的汽车尾气通过自然通风扩散稀释，</w:t>
            </w:r>
            <w:r>
              <w:rPr>
                <w:rFonts w:hint="default" w:ascii="Times New Roman" w:hAnsi="Times New Roman" w:eastAsia="宋体" w:cs="Times New Roman"/>
                <w:b w:val="0"/>
                <w:i w:val="0"/>
                <w:caps w:val="0"/>
                <w:color w:val="auto"/>
                <w:spacing w:val="0"/>
                <w:sz w:val="24"/>
                <w:szCs w:val="24"/>
                <w:shd w:val="clear" w:fill="FFFFFF"/>
              </w:rPr>
              <w:t>根据《机动车停车场（库）环境保护设计规程修订研究</w:t>
            </w:r>
            <w:r>
              <w:rPr>
                <w:rFonts w:hint="default" w:ascii="Times New Roman" w:hAnsi="Times New Roman" w:cs="Times New Roman"/>
                <w:color w:val="auto"/>
                <w:spacing w:val="0"/>
                <w:sz w:val="24"/>
              </w:rPr>
              <w:t>》</w:t>
            </w:r>
            <w:r>
              <w:rPr>
                <w:rFonts w:hint="default" w:ascii="Times New Roman" w:hAnsi="Times New Roman" w:eastAsia="宋体" w:cs="Times New Roman"/>
                <w:b w:val="0"/>
                <w:i w:val="0"/>
                <w:caps w:val="0"/>
                <w:color w:val="auto"/>
                <w:spacing w:val="0"/>
                <w:sz w:val="24"/>
                <w:szCs w:val="24"/>
                <w:shd w:val="clear" w:fill="FFFFFF"/>
              </w:rPr>
              <w:t>对典型公共停车库排风浓度实测结果表明，排风中空气污染物</w:t>
            </w:r>
            <w:r>
              <w:rPr>
                <w:rFonts w:hint="default" w:ascii="Times New Roman" w:hAnsi="Times New Roman" w:cs="Times New Roman"/>
                <w:b w:val="0"/>
                <w:i w:val="0"/>
                <w:caps w:val="0"/>
                <w:color w:val="auto"/>
                <w:spacing w:val="0"/>
                <w:sz w:val="24"/>
                <w:szCs w:val="24"/>
                <w:shd w:val="clear" w:fill="FFFFFF"/>
              </w:rPr>
              <w:t>NO</w:t>
            </w:r>
            <w:r>
              <w:rPr>
                <w:rFonts w:hint="default" w:ascii="Times New Roman" w:hAnsi="Times New Roman" w:cs="Times New Roman"/>
                <w:b w:val="0"/>
                <w:i w:val="0"/>
                <w:caps w:val="0"/>
                <w:color w:val="auto"/>
                <w:spacing w:val="0"/>
                <w:sz w:val="24"/>
                <w:szCs w:val="24"/>
                <w:shd w:val="clear" w:fill="FFFFFF"/>
                <w:vertAlign w:val="subscript"/>
              </w:rPr>
              <w:t>2</w:t>
            </w:r>
            <w:r>
              <w:rPr>
                <w:rFonts w:hint="default" w:ascii="Times New Roman" w:hAnsi="Times New Roman" w:eastAsia="宋体" w:cs="Times New Roman"/>
                <w:b w:val="0"/>
                <w:i w:val="0"/>
                <w:caps w:val="0"/>
                <w:color w:val="auto"/>
                <w:spacing w:val="0"/>
                <w:sz w:val="24"/>
                <w:szCs w:val="24"/>
                <w:shd w:val="clear" w:fill="FFFFFF"/>
              </w:rPr>
              <w:t>和</w:t>
            </w:r>
            <w:r>
              <w:rPr>
                <w:rFonts w:hint="default" w:ascii="Times New Roman" w:hAnsi="Times New Roman" w:cs="Times New Roman"/>
                <w:b w:val="0"/>
                <w:i w:val="0"/>
                <w:caps w:val="0"/>
                <w:color w:val="auto"/>
                <w:spacing w:val="0"/>
                <w:sz w:val="24"/>
                <w:szCs w:val="24"/>
                <w:shd w:val="clear" w:fill="FFFFFF"/>
              </w:rPr>
              <w:t>PM</w:t>
            </w:r>
            <w:r>
              <w:rPr>
                <w:rFonts w:hint="default" w:ascii="Times New Roman" w:hAnsi="Times New Roman" w:cs="Times New Roman"/>
                <w:b w:val="0"/>
                <w:i w:val="0"/>
                <w:caps w:val="0"/>
                <w:color w:val="auto"/>
                <w:spacing w:val="0"/>
                <w:sz w:val="24"/>
                <w:szCs w:val="24"/>
                <w:shd w:val="clear" w:fill="FFFFFF"/>
                <w:vertAlign w:val="subscript"/>
              </w:rPr>
              <w:t>10</w:t>
            </w:r>
            <w:r>
              <w:rPr>
                <w:rFonts w:hint="default" w:ascii="Times New Roman" w:hAnsi="Times New Roman" w:eastAsia="宋体" w:cs="Times New Roman"/>
                <w:b w:val="0"/>
                <w:i w:val="0"/>
                <w:caps w:val="0"/>
                <w:color w:val="auto"/>
                <w:spacing w:val="0"/>
                <w:sz w:val="24"/>
                <w:szCs w:val="24"/>
                <w:shd w:val="clear" w:fill="FFFFFF"/>
              </w:rPr>
              <w:t>浓度均满足《环境空气质量标准》二级浓度限值，而</w:t>
            </w:r>
            <w:r>
              <w:rPr>
                <w:rFonts w:hint="default" w:ascii="Times New Roman" w:hAnsi="Times New Roman" w:cs="Times New Roman"/>
                <w:b w:val="0"/>
                <w:i w:val="0"/>
                <w:caps w:val="0"/>
                <w:color w:val="auto"/>
                <w:spacing w:val="0"/>
                <w:sz w:val="24"/>
                <w:szCs w:val="24"/>
                <w:shd w:val="clear" w:fill="FFFFFF"/>
              </w:rPr>
              <w:t>CO</w:t>
            </w:r>
            <w:r>
              <w:rPr>
                <w:rFonts w:hint="default" w:ascii="Times New Roman" w:hAnsi="Times New Roman" w:eastAsia="宋体" w:cs="Times New Roman"/>
                <w:b w:val="0"/>
                <w:i w:val="0"/>
                <w:caps w:val="0"/>
                <w:color w:val="auto"/>
                <w:spacing w:val="0"/>
                <w:sz w:val="24"/>
                <w:szCs w:val="24"/>
                <w:shd w:val="clear" w:fill="FFFFFF"/>
              </w:rPr>
              <w:t>浓度有部分超标现象（超标频率</w:t>
            </w:r>
            <w:r>
              <w:rPr>
                <w:rFonts w:hint="default" w:ascii="Times New Roman" w:hAnsi="Times New Roman" w:cs="Times New Roman"/>
                <w:b w:val="0"/>
                <w:i w:val="0"/>
                <w:caps w:val="0"/>
                <w:color w:val="auto"/>
                <w:spacing w:val="0"/>
                <w:sz w:val="24"/>
                <w:szCs w:val="24"/>
                <w:shd w:val="clear" w:fill="FFFFFF"/>
              </w:rPr>
              <w:t>17.9%</w:t>
            </w:r>
            <w:r>
              <w:rPr>
                <w:rFonts w:hint="default" w:ascii="Times New Roman" w:hAnsi="Times New Roman" w:eastAsia="宋体" w:cs="Times New Roman"/>
                <w:b w:val="0"/>
                <w:i w:val="0"/>
                <w:caps w:val="0"/>
                <w:color w:val="auto"/>
                <w:spacing w:val="0"/>
                <w:sz w:val="24"/>
                <w:szCs w:val="24"/>
                <w:shd w:val="clear" w:fill="FFFFFF"/>
              </w:rPr>
              <w:t>），</w:t>
            </w:r>
            <w:r>
              <w:rPr>
                <w:rFonts w:hint="default" w:ascii="Times New Roman" w:hAnsi="Times New Roman" w:cs="Times New Roman"/>
                <w:b w:val="0"/>
                <w:i w:val="0"/>
                <w:caps w:val="0"/>
                <w:color w:val="auto"/>
                <w:spacing w:val="0"/>
                <w:sz w:val="24"/>
                <w:szCs w:val="24"/>
                <w:shd w:val="clear" w:fill="FFFFFF"/>
              </w:rPr>
              <w:t>NOx</w:t>
            </w:r>
            <w:r>
              <w:rPr>
                <w:rFonts w:hint="default" w:ascii="Times New Roman" w:hAnsi="Times New Roman" w:eastAsia="宋体" w:cs="Times New Roman"/>
                <w:b w:val="0"/>
                <w:i w:val="0"/>
                <w:caps w:val="0"/>
                <w:color w:val="auto"/>
                <w:spacing w:val="0"/>
                <w:sz w:val="24"/>
                <w:szCs w:val="24"/>
                <w:shd w:val="clear" w:fill="FFFFFF"/>
              </w:rPr>
              <w:t>有较明显的超标现象（超标频率</w:t>
            </w:r>
            <w:r>
              <w:rPr>
                <w:rFonts w:hint="default" w:ascii="Times New Roman" w:hAnsi="Times New Roman" w:cs="Times New Roman"/>
                <w:b w:val="0"/>
                <w:i w:val="0"/>
                <w:caps w:val="0"/>
                <w:color w:val="auto"/>
                <w:spacing w:val="0"/>
                <w:sz w:val="24"/>
                <w:szCs w:val="24"/>
                <w:shd w:val="clear" w:fill="FFFFFF"/>
              </w:rPr>
              <w:t>94.9%</w:t>
            </w:r>
            <w:r>
              <w:rPr>
                <w:rFonts w:hint="default" w:ascii="Times New Roman" w:hAnsi="Times New Roman" w:eastAsia="宋体" w:cs="Times New Roman"/>
                <w:b w:val="0"/>
                <w:i w:val="0"/>
                <w:caps w:val="0"/>
                <w:color w:val="auto"/>
                <w:spacing w:val="0"/>
                <w:sz w:val="24"/>
                <w:szCs w:val="24"/>
                <w:shd w:val="clear" w:fill="FFFFFF"/>
              </w:rPr>
              <w:t>）；扩散模拟分析显示，在排风口下风向</w:t>
            </w:r>
            <w:r>
              <w:rPr>
                <w:rFonts w:hint="default" w:ascii="Times New Roman" w:hAnsi="Times New Roman" w:cs="Times New Roman"/>
                <w:b w:val="0"/>
                <w:i w:val="0"/>
                <w:caps w:val="0"/>
                <w:color w:val="auto"/>
                <w:spacing w:val="0"/>
                <w:sz w:val="24"/>
                <w:szCs w:val="24"/>
                <w:shd w:val="clear" w:fill="FFFFFF"/>
              </w:rPr>
              <w:t>9m</w:t>
            </w:r>
            <w:r>
              <w:rPr>
                <w:rFonts w:hint="default" w:ascii="Times New Roman" w:hAnsi="Times New Roman" w:eastAsia="宋体" w:cs="Times New Roman"/>
                <w:b w:val="0"/>
                <w:i w:val="0"/>
                <w:caps w:val="0"/>
                <w:color w:val="auto"/>
                <w:spacing w:val="0"/>
                <w:sz w:val="24"/>
                <w:szCs w:val="24"/>
                <w:shd w:val="clear" w:fill="FFFFFF"/>
              </w:rPr>
              <w:t>处落地浓度满足《环境空气质量标准》二级浓度限值。</w:t>
            </w:r>
            <w:r>
              <w:rPr>
                <w:rFonts w:hint="default" w:ascii="Times New Roman" w:hAnsi="Times New Roman" w:cs="Times New Roman"/>
                <w:b w:val="0"/>
                <w:i w:val="0"/>
                <w:caps w:val="0"/>
                <w:color w:val="auto"/>
                <w:spacing w:val="0"/>
                <w:sz w:val="24"/>
                <w:szCs w:val="24"/>
                <w:shd w:val="clear" w:fill="FFFFFF"/>
                <w:lang w:eastAsia="zh-CN"/>
              </w:rPr>
              <w:t>本项目地下车库排风口位于</w:t>
            </w:r>
            <w:r>
              <w:rPr>
                <w:rFonts w:hint="eastAsia" w:cs="Times New Roman"/>
                <w:b w:val="0"/>
                <w:i w:val="0"/>
                <w:caps w:val="0"/>
                <w:color w:val="auto"/>
                <w:spacing w:val="0"/>
                <w:sz w:val="24"/>
                <w:szCs w:val="24"/>
                <w:shd w:val="clear" w:fill="FFFFFF"/>
                <w:lang w:eastAsia="zh-CN"/>
              </w:rPr>
              <w:t>车库中心区域</w:t>
            </w:r>
            <w:r>
              <w:rPr>
                <w:rFonts w:hint="default" w:ascii="Times New Roman" w:hAnsi="Times New Roman" w:cs="Times New Roman"/>
                <w:b w:val="0"/>
                <w:i w:val="0"/>
                <w:caps w:val="0"/>
                <w:color w:val="auto"/>
                <w:spacing w:val="0"/>
                <w:sz w:val="24"/>
                <w:szCs w:val="24"/>
                <w:shd w:val="clear" w:fill="FFFFFF"/>
                <w:lang w:eastAsia="zh-CN"/>
              </w:rPr>
              <w:t>的绿丛中，距离附近住宅楼的距离均达到</w:t>
            </w:r>
            <w:r>
              <w:rPr>
                <w:rFonts w:hint="default" w:ascii="Times New Roman" w:hAnsi="Times New Roman" w:cs="Times New Roman"/>
                <w:b w:val="0"/>
                <w:i w:val="0"/>
                <w:caps w:val="0"/>
                <w:color w:val="auto"/>
                <w:spacing w:val="0"/>
                <w:sz w:val="24"/>
                <w:szCs w:val="24"/>
                <w:shd w:val="clear" w:fill="FFFFFF"/>
                <w:lang w:val="en-US" w:eastAsia="zh-CN"/>
              </w:rPr>
              <w:t>10米以上，因此地下车库废气</w:t>
            </w:r>
            <w:r>
              <w:rPr>
                <w:rFonts w:hint="default" w:ascii="Times New Roman" w:hAnsi="Times New Roman" w:cs="Times New Roman"/>
                <w:color w:val="auto"/>
                <w:spacing w:val="0"/>
                <w:sz w:val="24"/>
                <w:lang w:eastAsia="zh-CN"/>
              </w:rPr>
              <w:t>中NO</w:t>
            </w:r>
            <w:r>
              <w:rPr>
                <w:rFonts w:hint="default" w:ascii="Times New Roman" w:hAnsi="Times New Roman" w:cs="Times New Roman"/>
                <w:color w:val="auto"/>
                <w:spacing w:val="0"/>
                <w:sz w:val="24"/>
                <w:vertAlign w:val="subscript"/>
                <w:lang w:val="en-US" w:eastAsia="zh-CN"/>
              </w:rPr>
              <w:t>X</w:t>
            </w:r>
            <w:r>
              <w:rPr>
                <w:rFonts w:hint="default" w:ascii="Times New Roman" w:hAnsi="Times New Roman" w:cs="Times New Roman"/>
                <w:color w:val="auto"/>
                <w:spacing w:val="0"/>
                <w:sz w:val="24"/>
                <w:lang w:eastAsia="zh-CN"/>
              </w:rPr>
              <w:t>、非甲烷总烃达到</w:t>
            </w:r>
            <w:r>
              <w:rPr>
                <w:rFonts w:hint="default" w:ascii="Times New Roman" w:hAnsi="Times New Roman" w:cs="Times New Roman"/>
                <w:color w:val="auto"/>
                <w:spacing w:val="0"/>
                <w:sz w:val="24"/>
              </w:rPr>
              <w:t>《大气污染物综合排放标准》</w:t>
            </w:r>
            <w:r>
              <w:rPr>
                <w:rFonts w:hint="default" w:ascii="Times New Roman" w:hAnsi="Times New Roman" w:cs="Times New Roman"/>
                <w:color w:val="auto"/>
                <w:spacing w:val="0"/>
                <w:sz w:val="24"/>
                <w:lang w:eastAsia="zh-CN"/>
              </w:rPr>
              <w:t>（</w:t>
            </w:r>
            <w:r>
              <w:rPr>
                <w:rFonts w:hint="default" w:ascii="Times New Roman" w:hAnsi="Times New Roman" w:cs="Times New Roman"/>
                <w:color w:val="auto"/>
                <w:spacing w:val="0"/>
                <w:sz w:val="24"/>
              </w:rPr>
              <w:t>GB16297-1996</w:t>
            </w:r>
            <w:r>
              <w:rPr>
                <w:rFonts w:hint="default" w:ascii="Times New Roman" w:hAnsi="Times New Roman" w:cs="Times New Roman"/>
                <w:color w:val="auto"/>
                <w:spacing w:val="0"/>
                <w:sz w:val="24"/>
                <w:lang w:eastAsia="zh-CN"/>
              </w:rPr>
              <w:t>）</w:t>
            </w:r>
            <w:r>
              <w:rPr>
                <w:rFonts w:hint="default" w:ascii="Times New Roman" w:hAnsi="Times New Roman" w:cs="Times New Roman"/>
                <w:color w:val="auto"/>
                <w:spacing w:val="0"/>
                <w:sz w:val="24"/>
              </w:rPr>
              <w:t>表2</w:t>
            </w:r>
            <w:r>
              <w:rPr>
                <w:rFonts w:hint="default" w:ascii="Times New Roman" w:hAnsi="Times New Roman" w:cs="Times New Roman"/>
                <w:color w:val="auto"/>
                <w:spacing w:val="0"/>
                <w:sz w:val="24"/>
                <w:lang w:eastAsia="zh-CN"/>
              </w:rPr>
              <w:t>新污染源大气污染物无组织排放监控浓度限值</w:t>
            </w:r>
            <w:r>
              <w:rPr>
                <w:rFonts w:hint="default" w:ascii="Times New Roman" w:hAnsi="Times New Roman" w:cs="Times New Roman"/>
                <w:color w:val="auto"/>
                <w:spacing w:val="0"/>
                <w:sz w:val="24"/>
              </w:rPr>
              <w:t>。对项目本身和周边环境空气质量影响很小</w:t>
            </w:r>
            <w:r>
              <w:rPr>
                <w:rFonts w:hint="default" w:ascii="Times New Roman" w:hAnsi="Times New Roman" w:cs="Times New Roman"/>
                <w:color w:val="auto"/>
                <w:spacing w:val="0"/>
                <w:sz w:val="24"/>
                <w:lang w:eastAsia="zh-CN"/>
              </w:rPr>
              <w:t>。</w:t>
            </w:r>
          </w:p>
          <w:p w14:paraId="2BCF79B7">
            <w:pPr>
              <w:spacing w:line="360" w:lineRule="auto"/>
              <w:ind w:firstLine="480" w:firstLineChars="200"/>
              <w:rPr>
                <w:rFonts w:hint="eastAsia"/>
                <w:color w:val="auto"/>
                <w:sz w:val="24"/>
                <w:szCs w:val="24"/>
              </w:rPr>
            </w:pPr>
            <w:r>
              <w:rPr>
                <w:rFonts w:hint="eastAsia"/>
                <w:color w:val="auto"/>
                <w:sz w:val="24"/>
                <w:szCs w:val="24"/>
                <w:lang w:val="en-US" w:eastAsia="zh-CN"/>
              </w:rPr>
              <w:t>1.4、</w:t>
            </w:r>
            <w:r>
              <w:rPr>
                <w:rFonts w:hint="eastAsia"/>
                <w:color w:val="auto"/>
                <w:sz w:val="24"/>
                <w:szCs w:val="24"/>
              </w:rPr>
              <w:t>垃圾恶臭</w:t>
            </w:r>
          </w:p>
          <w:p w14:paraId="35BDC8D8">
            <w:pPr>
              <w:spacing w:line="360" w:lineRule="auto"/>
              <w:ind w:firstLine="517" w:firstLineChars="221"/>
              <w:rPr>
                <w:color w:val="auto"/>
                <w:spacing w:val="-3"/>
                <w:sz w:val="24"/>
              </w:rPr>
            </w:pPr>
            <w:r>
              <w:rPr>
                <w:rFonts w:hAnsi="宋体"/>
                <w:color w:val="auto"/>
                <w:spacing w:val="-3"/>
                <w:sz w:val="24"/>
              </w:rPr>
              <w:t>项目物业管理部门有专人每天将垃圾清运至小区内垃圾</w:t>
            </w:r>
            <w:r>
              <w:rPr>
                <w:rFonts w:hint="eastAsia" w:hAnsi="宋体"/>
                <w:color w:val="auto"/>
                <w:spacing w:val="-3"/>
                <w:sz w:val="24"/>
                <w:lang w:eastAsia="zh-CN"/>
              </w:rPr>
              <w:t>房</w:t>
            </w:r>
            <w:r>
              <w:rPr>
                <w:rFonts w:hAnsi="宋体"/>
                <w:color w:val="auto"/>
                <w:spacing w:val="-3"/>
                <w:sz w:val="24"/>
              </w:rPr>
              <w:t>，再统一运至市政垃圾站进行无害化处理。项目内垃圾</w:t>
            </w:r>
            <w:r>
              <w:rPr>
                <w:rFonts w:hint="eastAsia" w:hAnsi="宋体"/>
                <w:color w:val="auto"/>
                <w:spacing w:val="-3"/>
                <w:sz w:val="24"/>
                <w:lang w:eastAsia="zh-CN"/>
              </w:rPr>
              <w:t>房</w:t>
            </w:r>
            <w:r>
              <w:rPr>
                <w:rFonts w:hAnsi="宋体"/>
                <w:color w:val="auto"/>
                <w:spacing w:val="-3"/>
                <w:sz w:val="24"/>
              </w:rPr>
              <w:t>密闭设置，专人负责清理和喷洒消毒药水，及时运至市政垃圾站。另外由于垃圾站收集的是袋装垃圾，恶臭产生较少，对外环境影响很小。</w:t>
            </w:r>
          </w:p>
          <w:p w14:paraId="5B2896F9">
            <w:pPr>
              <w:spacing w:line="360" w:lineRule="auto"/>
              <w:ind w:firstLine="530" w:firstLineChars="221"/>
              <w:rPr>
                <w:rFonts w:eastAsia="仿宋_GB2312"/>
                <w:color w:val="auto"/>
                <w:sz w:val="24"/>
              </w:rPr>
            </w:pPr>
            <w:r>
              <w:rPr>
                <w:rFonts w:hAnsi="宋体"/>
                <w:color w:val="auto"/>
                <w:sz w:val="24"/>
              </w:rPr>
              <w:t>由以上分析可知，项目运营期产生的大气污染物浓度均较低，能够达</w:t>
            </w:r>
            <w:r>
              <w:rPr>
                <w:rFonts w:hint="default" w:ascii="Times New Roman" w:hAnsi="Times New Roman" w:eastAsia="宋体" w:cs="Times New Roman"/>
                <w:color w:val="auto"/>
                <w:spacing w:val="-3"/>
                <w:sz w:val="24"/>
              </w:rPr>
              <w:t>《恶臭污染物排放标准》(GB14554-93)</w:t>
            </w:r>
            <w:r>
              <w:rPr>
                <w:rFonts w:hint="eastAsia" w:cs="Times New Roman"/>
                <w:color w:val="auto"/>
                <w:spacing w:val="-3"/>
                <w:sz w:val="24"/>
                <w:lang w:eastAsia="zh-CN"/>
              </w:rPr>
              <w:t>中</w:t>
            </w:r>
            <w:r>
              <w:rPr>
                <w:rFonts w:hint="default" w:ascii="Times New Roman" w:hAnsi="Times New Roman" w:eastAsia="宋体" w:cs="Times New Roman"/>
                <w:color w:val="auto"/>
                <w:spacing w:val="-3"/>
                <w:sz w:val="24"/>
              </w:rPr>
              <w:t>二级标准</w:t>
            </w:r>
            <w:r>
              <w:rPr>
                <w:rFonts w:hint="eastAsia" w:ascii="Times New Roman" w:hAnsi="Times New Roman" w:cs="Times New Roman"/>
                <w:color w:val="auto"/>
                <w:spacing w:val="-3"/>
                <w:sz w:val="24"/>
                <w:lang w:eastAsia="zh-CN"/>
              </w:rPr>
              <w:t>排</w:t>
            </w:r>
            <w:r>
              <w:rPr>
                <w:rFonts w:hAnsi="宋体"/>
                <w:color w:val="auto"/>
                <w:sz w:val="24"/>
              </w:rPr>
              <w:t>放，项目运营期不会对项目所在地大气环境质量造成明显影响</w:t>
            </w:r>
            <w:r>
              <w:rPr>
                <w:rFonts w:eastAsia="仿宋_GB2312"/>
                <w:color w:val="auto"/>
                <w:sz w:val="24"/>
              </w:rPr>
              <w:t>。</w:t>
            </w:r>
          </w:p>
          <w:p w14:paraId="5EAA55D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eastAsia="黑体"/>
                <w:color w:val="auto"/>
                <w:sz w:val="24"/>
              </w:rPr>
            </w:pPr>
            <w:r>
              <w:rPr>
                <w:rFonts w:hint="eastAsia"/>
                <w:b/>
                <w:color w:val="auto"/>
                <w:sz w:val="24"/>
                <w:lang w:val="en-US" w:eastAsia="zh-CN"/>
              </w:rPr>
              <w:t>2、</w:t>
            </w:r>
            <w:r>
              <w:rPr>
                <w:b/>
                <w:color w:val="auto"/>
                <w:sz w:val="24"/>
              </w:rPr>
              <w:t>水环境影响分析</w:t>
            </w:r>
          </w:p>
          <w:p w14:paraId="5BBD64C6">
            <w:pPr>
              <w:spacing w:line="360" w:lineRule="auto"/>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2.1、</w:t>
            </w:r>
            <w:r>
              <w:rPr>
                <w:rFonts w:hint="default" w:ascii="Times New Roman" w:hAnsi="Times New Roman" w:eastAsia="宋体" w:cs="Times New Roman"/>
                <w:color w:val="auto"/>
                <w:sz w:val="24"/>
                <w:szCs w:val="24"/>
              </w:rPr>
              <w:t>生活</w:t>
            </w:r>
            <w:r>
              <w:rPr>
                <w:rFonts w:hint="eastAsia" w:cs="Times New Roman"/>
                <w:color w:val="auto"/>
                <w:sz w:val="24"/>
                <w:szCs w:val="24"/>
                <w:lang w:eastAsia="zh-CN"/>
              </w:rPr>
              <w:t>污水</w:t>
            </w:r>
          </w:p>
          <w:p w14:paraId="6A4632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spacing w:val="-3"/>
                <w:sz w:val="24"/>
              </w:rPr>
            </w:pPr>
            <w:r>
              <w:rPr>
                <w:rFonts w:ascii="Times New Roman" w:hAnsi="Times New Roman" w:cs="Times New Roman"/>
                <w:color w:val="auto"/>
                <w:sz w:val="24"/>
                <w:szCs w:val="24"/>
              </w:rPr>
              <w:t>商业区</w:t>
            </w:r>
            <w:r>
              <w:rPr>
                <w:rFonts w:hint="eastAsia" w:cs="Times New Roman"/>
                <w:color w:val="auto"/>
                <w:sz w:val="24"/>
                <w:szCs w:val="24"/>
                <w:lang w:eastAsia="zh-CN"/>
              </w:rPr>
              <w:t>、</w:t>
            </w:r>
            <w:r>
              <w:rPr>
                <w:rFonts w:ascii="Times New Roman" w:hAnsi="Times New Roman" w:cs="Times New Roman"/>
                <w:color w:val="auto"/>
                <w:sz w:val="24"/>
                <w:szCs w:val="24"/>
              </w:rPr>
              <w:t>住宅区、</w:t>
            </w:r>
            <w:r>
              <w:rPr>
                <w:rFonts w:hint="eastAsia" w:cs="Times New Roman"/>
                <w:color w:val="auto"/>
                <w:sz w:val="24"/>
                <w:szCs w:val="24"/>
                <w:lang w:eastAsia="zh-CN"/>
              </w:rPr>
              <w:t>配套公建设施用房</w:t>
            </w:r>
            <w:r>
              <w:rPr>
                <w:rFonts w:hint="eastAsia" w:ascii="Times New Roman" w:hAnsi="Times New Roman" w:cs="Times New Roman"/>
                <w:color w:val="auto"/>
                <w:sz w:val="24"/>
                <w:szCs w:val="24"/>
                <w:lang w:eastAsia="zh-CN"/>
              </w:rPr>
              <w:t>生活污水的总产生量为</w:t>
            </w:r>
            <w:r>
              <w:rPr>
                <w:rFonts w:hint="eastAsia" w:cs="Times New Roman"/>
                <w:color w:val="auto"/>
                <w:sz w:val="24"/>
                <w:szCs w:val="24"/>
                <w:lang w:val="en-US" w:eastAsia="zh-CN"/>
              </w:rPr>
              <w:t>98359.616</w:t>
            </w:r>
            <w:r>
              <w:rPr>
                <w:color w:val="auto"/>
                <w:sz w:val="24"/>
              </w:rPr>
              <w:t>m</w:t>
            </w:r>
            <w:r>
              <w:rPr>
                <w:color w:val="auto"/>
                <w:sz w:val="24"/>
                <w:vertAlign w:val="superscript"/>
              </w:rPr>
              <w:t>3</w:t>
            </w:r>
            <w:r>
              <w:rPr>
                <w:color w:val="auto"/>
                <w:sz w:val="24"/>
              </w:rPr>
              <w:t>/a</w:t>
            </w:r>
            <w:r>
              <w:rPr>
                <w:rFonts w:hint="eastAsia"/>
                <w:color w:val="auto"/>
                <w:sz w:val="24"/>
                <w:lang w:eastAsia="zh-CN"/>
              </w:rPr>
              <w:t>。</w:t>
            </w:r>
            <w:r>
              <w:rPr>
                <w:rFonts w:hint="eastAsia" w:ascii="Times New Roman" w:hAnsi="Times New Roman" w:eastAsia="宋体" w:cs="Times New Roman"/>
                <w:color w:val="auto"/>
                <w:sz w:val="24"/>
                <w:lang w:val="en-US" w:eastAsia="zh-CN"/>
              </w:rPr>
              <w:t>具体情况可</w:t>
            </w:r>
            <w:r>
              <w:rPr>
                <w:rFonts w:hint="eastAsia" w:ascii="Times New Roman" w:hAnsi="Times New Roman" w:eastAsia="宋体" w:cs="Times New Roman"/>
                <w:color w:val="auto"/>
                <w:sz w:val="24"/>
                <w:lang w:eastAsia="zh-CN"/>
              </w:rPr>
              <w:t>见表</w:t>
            </w:r>
            <w:r>
              <w:rPr>
                <w:rFonts w:hint="eastAsia" w:ascii="Times New Roman" w:hAnsi="Times New Roman" w:eastAsia="宋体" w:cs="Times New Roman"/>
                <w:color w:val="auto"/>
                <w:sz w:val="24"/>
                <w:lang w:val="en-US" w:eastAsia="zh-CN"/>
              </w:rPr>
              <w:t>1-3</w:t>
            </w:r>
            <w:r>
              <w:rPr>
                <w:rFonts w:hint="default" w:ascii="Times New Roman" w:hAnsi="Times New Roman" w:eastAsia="宋体" w:cs="Times New Roman"/>
                <w:color w:val="auto"/>
                <w:sz w:val="24"/>
              </w:rPr>
              <w:t>项目</w:t>
            </w:r>
            <w:r>
              <w:rPr>
                <w:rFonts w:hint="eastAsia" w:ascii="Times New Roman" w:hAnsi="Times New Roman" w:eastAsia="宋体" w:cs="Times New Roman"/>
                <w:color w:val="auto"/>
                <w:sz w:val="24"/>
                <w:lang w:eastAsia="zh-CN"/>
              </w:rPr>
              <w:t>水平衡表和</w:t>
            </w:r>
            <w:r>
              <w:rPr>
                <w:rFonts w:hint="default" w:ascii="Times New Roman" w:hAnsi="Times New Roman" w:eastAsia="宋体" w:cs="Times New Roman"/>
                <w:color w:val="auto"/>
                <w:sz w:val="24"/>
              </w:rPr>
              <w:t>图1-1</w:t>
            </w:r>
            <w:r>
              <w:rPr>
                <w:rFonts w:hint="eastAsia" w:ascii="Times New Roman" w:hAnsi="Times New Roman" w:eastAsia="宋体" w:cs="Times New Roman"/>
                <w:color w:val="auto"/>
                <w:sz w:val="24"/>
                <w:lang w:eastAsia="zh-CN"/>
              </w:rPr>
              <w:t>项目</w:t>
            </w:r>
            <w:r>
              <w:rPr>
                <w:rFonts w:hint="default" w:ascii="Times New Roman" w:hAnsi="Times New Roman" w:eastAsia="宋体" w:cs="Times New Roman"/>
                <w:color w:val="auto"/>
                <w:sz w:val="24"/>
              </w:rPr>
              <w:t>水平衡图。</w:t>
            </w:r>
            <w:r>
              <w:rPr>
                <w:rFonts w:hint="default" w:ascii="Times New Roman" w:hAnsi="Times New Roman" w:eastAsia="宋体" w:cs="Times New Roman"/>
                <w:color w:val="auto"/>
                <w:sz w:val="24"/>
                <w:szCs w:val="24"/>
              </w:rPr>
              <w:t>根据《城市污水处理厂处理设施设计计算》（化学工业出版社2004年第一版）中典型生活污水水质指标计算，</w:t>
            </w:r>
            <w:r>
              <w:rPr>
                <w:rFonts w:hint="default" w:ascii="Times New Roman" w:hAnsi="Times New Roman" w:eastAsia="宋体" w:cs="Times New Roman"/>
                <w:color w:val="auto"/>
                <w:sz w:val="24"/>
              </w:rPr>
              <w:t>生活污水的污染物的浓度和产生量分别为：</w:t>
            </w:r>
            <w:r>
              <w:rPr>
                <w:rFonts w:hint="default" w:ascii="Times New Roman" w:hAnsi="Times New Roman" w:eastAsia="宋体" w:cs="Times New Roman"/>
                <w:color w:val="auto"/>
                <w:sz w:val="24"/>
                <w:szCs w:val="24"/>
              </w:rPr>
              <w:t>COD</w:t>
            </w:r>
            <w:r>
              <w:rPr>
                <w:rFonts w:hint="default" w:ascii="Times New Roman" w:hAnsi="Times New Roman" w:eastAsia="宋体" w:cs="Times New Roman"/>
                <w:color w:val="auto"/>
                <w:sz w:val="24"/>
                <w:szCs w:val="24"/>
                <w:vertAlign w:val="subscript"/>
              </w:rPr>
              <w:t>Cr</w:t>
            </w:r>
            <w:r>
              <w:rPr>
                <w:rFonts w:hint="default" w:ascii="Times New Roman" w:hAnsi="Times New Roman" w:eastAsia="宋体" w:cs="Times New Roman"/>
                <w:color w:val="auto"/>
                <w:sz w:val="24"/>
                <w:szCs w:val="24"/>
              </w:rPr>
              <w:t>约400mg/L</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BOD</w:t>
            </w:r>
            <w:r>
              <w:rPr>
                <w:rFonts w:hint="default" w:ascii="Times New Roman" w:hAnsi="Times New Roman" w:eastAsia="宋体" w:cs="Times New Roman"/>
                <w:color w:val="auto"/>
                <w:sz w:val="24"/>
                <w:szCs w:val="24"/>
                <w:vertAlign w:val="subscript"/>
              </w:rPr>
              <w:t>5</w:t>
            </w:r>
            <w:r>
              <w:rPr>
                <w:rFonts w:hint="default" w:ascii="Times New Roman" w:hAnsi="Times New Roman" w:eastAsia="宋体" w:cs="Times New Roman"/>
                <w:color w:val="auto"/>
                <w:sz w:val="24"/>
                <w:szCs w:val="24"/>
              </w:rPr>
              <w:t>约200mg/L</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SS约220mg/L，氨氮约40mg/L</w:t>
            </w:r>
            <w:r>
              <w:rPr>
                <w:rFonts w:hint="eastAsia" w:cs="Times New Roman"/>
                <w:color w:val="auto"/>
                <w:sz w:val="24"/>
                <w:szCs w:val="24"/>
                <w:lang w:eastAsia="zh-CN"/>
              </w:rPr>
              <w:t>、动植物油</w:t>
            </w:r>
            <w:r>
              <w:rPr>
                <w:rFonts w:hint="eastAsia" w:cs="Times New Roman"/>
                <w:color w:val="auto"/>
                <w:sz w:val="24"/>
                <w:szCs w:val="24"/>
                <w:lang w:val="en-US" w:eastAsia="zh-CN"/>
              </w:rPr>
              <w:t>30</w:t>
            </w:r>
            <w:r>
              <w:rPr>
                <w:rFonts w:hint="default" w:ascii="Times New Roman" w:hAnsi="Times New Roman" w:eastAsia="宋体" w:cs="Times New Roman"/>
                <w:color w:val="auto"/>
                <w:sz w:val="24"/>
                <w:szCs w:val="24"/>
              </w:rPr>
              <w:t>mg/L。</w:t>
            </w:r>
            <w:r>
              <w:rPr>
                <w:rFonts w:hint="eastAsia" w:cs="Times New Roman"/>
                <w:color w:val="auto"/>
                <w:sz w:val="24"/>
                <w:szCs w:val="24"/>
                <w:lang w:eastAsia="zh-CN"/>
              </w:rPr>
              <w:t>生活污水经过三级化粪池处理后排入市政污水管网，</w:t>
            </w:r>
            <w:r>
              <w:rPr>
                <w:rFonts w:hint="default" w:ascii="Times New Roman" w:hAnsi="Times New Roman" w:cs="Times New Roman" w:eastAsiaTheme="minorEastAsia"/>
                <w:color w:val="auto"/>
                <w:sz w:val="24"/>
                <w:szCs w:val="24"/>
              </w:rPr>
              <w:t>三级化粪池处理</w:t>
            </w:r>
            <w:r>
              <w:rPr>
                <w:rFonts w:hint="default" w:ascii="Times New Roman" w:hAnsi="Times New Roman" w:cs="Times New Roman" w:eastAsiaTheme="minorEastAsia"/>
                <w:color w:val="auto"/>
                <w:sz w:val="24"/>
              </w:rPr>
              <w:t>效率按COD：40%、BOD</w:t>
            </w:r>
            <w:r>
              <w:rPr>
                <w:rFonts w:hint="default" w:ascii="Times New Roman" w:hAnsi="Times New Roman" w:cs="Times New Roman" w:eastAsiaTheme="minorEastAsia"/>
                <w:color w:val="auto"/>
                <w:sz w:val="24"/>
                <w:vertAlign w:val="subscript"/>
              </w:rPr>
              <w:t>5</w:t>
            </w:r>
            <w:r>
              <w:rPr>
                <w:rFonts w:hint="default" w:ascii="Times New Roman" w:hAnsi="Times New Roman" w:cs="Times New Roman" w:eastAsiaTheme="minorEastAsia"/>
                <w:color w:val="auto"/>
                <w:sz w:val="24"/>
              </w:rPr>
              <w:t>：50%、SS：60%计，经处理后</w:t>
            </w:r>
            <w:r>
              <w:rPr>
                <w:rFonts w:hint="eastAsia" w:cs="Times New Roman" w:eastAsiaTheme="minorEastAsia"/>
                <w:color w:val="auto"/>
                <w:sz w:val="24"/>
                <w:lang w:eastAsia="zh-CN"/>
              </w:rPr>
              <w:t>生活污水中污染物</w:t>
            </w:r>
            <w:r>
              <w:rPr>
                <w:rFonts w:hint="default" w:ascii="Times New Roman" w:hAnsi="Times New Roman" w:cs="Times New Roman" w:eastAsiaTheme="minorEastAsia"/>
                <w:color w:val="auto"/>
                <w:sz w:val="24"/>
              </w:rPr>
              <w:t>浓度COD：</w:t>
            </w:r>
            <w:r>
              <w:rPr>
                <w:rFonts w:hint="eastAsia" w:ascii="Times New Roman" w:hAnsi="Times New Roman" w:cs="Times New Roman" w:eastAsiaTheme="minorEastAsia"/>
                <w:color w:val="auto"/>
                <w:sz w:val="24"/>
                <w:lang w:val="en-US" w:eastAsia="zh-CN"/>
              </w:rPr>
              <w:t>240</w:t>
            </w:r>
            <w:r>
              <w:rPr>
                <w:rFonts w:hint="default" w:ascii="Times New Roman" w:hAnsi="Times New Roman" w:cs="Times New Roman" w:eastAsiaTheme="minorEastAsia"/>
                <w:color w:val="auto"/>
                <w:sz w:val="24"/>
              </w:rPr>
              <w:t>mg/L、BOD</w:t>
            </w:r>
            <w:r>
              <w:rPr>
                <w:rFonts w:hint="default" w:ascii="Times New Roman" w:hAnsi="Times New Roman" w:cs="Times New Roman" w:eastAsiaTheme="minorEastAsia"/>
                <w:color w:val="auto"/>
                <w:sz w:val="24"/>
                <w:vertAlign w:val="subscript"/>
              </w:rPr>
              <w:t>5</w:t>
            </w:r>
            <w:r>
              <w:rPr>
                <w:rFonts w:hint="default" w:ascii="Times New Roman" w:hAnsi="Times New Roman" w:cs="Times New Roman" w:eastAsiaTheme="minorEastAsia"/>
                <w:color w:val="auto"/>
                <w:sz w:val="24"/>
              </w:rPr>
              <w:t>：</w:t>
            </w:r>
            <w:r>
              <w:rPr>
                <w:rFonts w:hint="eastAsia" w:ascii="Times New Roman" w:hAnsi="Times New Roman" w:cs="Times New Roman" w:eastAsiaTheme="minorEastAsia"/>
                <w:color w:val="auto"/>
                <w:sz w:val="24"/>
                <w:lang w:val="en-US" w:eastAsia="zh-CN"/>
              </w:rPr>
              <w:t>100</w:t>
            </w:r>
            <w:r>
              <w:rPr>
                <w:rFonts w:hint="default" w:ascii="Times New Roman" w:hAnsi="Times New Roman" w:cs="Times New Roman" w:eastAsiaTheme="minorEastAsia"/>
                <w:color w:val="auto"/>
                <w:sz w:val="24"/>
              </w:rPr>
              <w:t>mg/L、SS：</w:t>
            </w:r>
            <w:r>
              <w:rPr>
                <w:rFonts w:hint="eastAsia" w:ascii="Times New Roman" w:hAnsi="Times New Roman" w:cs="Times New Roman" w:eastAsiaTheme="minorEastAsia"/>
                <w:color w:val="auto"/>
                <w:sz w:val="24"/>
                <w:lang w:val="en-US" w:eastAsia="zh-CN"/>
              </w:rPr>
              <w:t>88</w:t>
            </w:r>
            <w:r>
              <w:rPr>
                <w:rFonts w:hint="default" w:ascii="Times New Roman" w:hAnsi="Times New Roman" w:cs="Times New Roman" w:eastAsiaTheme="minorEastAsia"/>
                <w:color w:val="auto"/>
                <w:sz w:val="24"/>
              </w:rPr>
              <w:t>mg/L、氨氮：</w:t>
            </w:r>
            <w:r>
              <w:rPr>
                <w:rFonts w:hint="eastAsia" w:ascii="Times New Roman" w:hAnsi="Times New Roman" w:cs="Times New Roman" w:eastAsiaTheme="minorEastAsia"/>
                <w:color w:val="auto"/>
                <w:sz w:val="24"/>
                <w:lang w:val="en-US" w:eastAsia="zh-CN"/>
              </w:rPr>
              <w:t>40</w:t>
            </w:r>
            <w:r>
              <w:rPr>
                <w:rFonts w:hint="default" w:ascii="Times New Roman" w:hAnsi="Times New Roman" w:cs="Times New Roman" w:eastAsiaTheme="minorEastAsia"/>
                <w:color w:val="auto"/>
                <w:sz w:val="24"/>
              </w:rPr>
              <w:t>mg/L</w:t>
            </w:r>
            <w:r>
              <w:rPr>
                <w:rFonts w:hint="eastAsia" w:cs="Times New Roman" w:eastAsiaTheme="minorEastAsia"/>
                <w:color w:val="auto"/>
                <w:sz w:val="24"/>
                <w:lang w:eastAsia="zh-CN"/>
              </w:rPr>
              <w:t>、动植物油</w:t>
            </w:r>
            <w:r>
              <w:rPr>
                <w:rFonts w:hint="eastAsia" w:cs="Times New Roman"/>
                <w:color w:val="auto"/>
                <w:sz w:val="24"/>
                <w:szCs w:val="24"/>
                <w:lang w:val="en-US" w:eastAsia="zh-CN"/>
              </w:rPr>
              <w:t>30</w:t>
            </w:r>
            <w:r>
              <w:rPr>
                <w:rFonts w:hint="default" w:ascii="Times New Roman" w:hAnsi="Times New Roman" w:eastAsia="宋体" w:cs="Times New Roman"/>
                <w:color w:val="auto"/>
                <w:sz w:val="24"/>
                <w:szCs w:val="24"/>
              </w:rPr>
              <w:t>mg/L</w:t>
            </w:r>
            <w:r>
              <w:rPr>
                <w:rFonts w:hint="eastAsia" w:ascii="Times New Roman" w:hAnsi="Times New Roman" w:cs="Times New Roman" w:eastAsiaTheme="minorEastAsia"/>
                <w:color w:val="auto"/>
                <w:sz w:val="24"/>
                <w:lang w:eastAsia="zh-CN"/>
              </w:rPr>
              <w:t>。</w:t>
            </w:r>
            <w:r>
              <w:rPr>
                <w:rFonts w:hint="eastAsia" w:cs="Times New Roman" w:eastAsiaTheme="minorEastAsia"/>
                <w:color w:val="auto"/>
                <w:sz w:val="24"/>
                <w:lang w:eastAsia="zh-CN"/>
              </w:rPr>
              <w:t>项目</w:t>
            </w:r>
            <w:r>
              <w:rPr>
                <w:rFonts w:hint="eastAsia" w:cs="Times New Roman" w:eastAsiaTheme="minorEastAsia"/>
                <w:color w:val="auto"/>
                <w:spacing w:val="-3"/>
                <w:sz w:val="24"/>
                <w:lang w:eastAsia="zh-CN"/>
              </w:rPr>
              <w:t>生活污水</w:t>
            </w:r>
            <w:r>
              <w:rPr>
                <w:rFonts w:hint="default" w:ascii="Times New Roman" w:hAnsi="Times New Roman" w:cs="Times New Roman" w:eastAsiaTheme="minorEastAsia"/>
                <w:color w:val="auto"/>
                <w:spacing w:val="-3"/>
                <w:sz w:val="24"/>
              </w:rPr>
              <w:t>经三级化粪池处理后达到《污水综合排放标准》</w:t>
            </w:r>
            <w:r>
              <w:rPr>
                <w:rFonts w:hint="eastAsia" w:ascii="Times New Roman" w:hAnsi="Times New Roman" w:cs="Times New Roman" w:eastAsiaTheme="minorEastAsia"/>
                <w:color w:val="auto"/>
                <w:spacing w:val="-3"/>
                <w:sz w:val="24"/>
                <w:lang w:eastAsia="zh-CN"/>
              </w:rPr>
              <w:t>（</w:t>
            </w:r>
            <w:r>
              <w:rPr>
                <w:rFonts w:hint="default" w:ascii="Times New Roman" w:hAnsi="Times New Roman" w:cs="Times New Roman" w:eastAsiaTheme="minorEastAsia"/>
                <w:color w:val="auto"/>
                <w:spacing w:val="-3"/>
                <w:sz w:val="24"/>
              </w:rPr>
              <w:t>GB8978-1996</w:t>
            </w:r>
            <w:r>
              <w:rPr>
                <w:rFonts w:hint="eastAsia" w:ascii="Times New Roman" w:hAnsi="Times New Roman" w:cs="Times New Roman" w:eastAsiaTheme="minorEastAsia"/>
                <w:color w:val="auto"/>
                <w:spacing w:val="-3"/>
                <w:sz w:val="24"/>
                <w:lang w:val="en-US" w:eastAsia="zh-CN"/>
              </w:rPr>
              <w:t xml:space="preserve"> ）</w:t>
            </w:r>
            <w:r>
              <w:rPr>
                <w:rFonts w:hint="default" w:ascii="Times New Roman" w:hAnsi="Times New Roman" w:cs="Times New Roman" w:eastAsiaTheme="minorEastAsia"/>
                <w:color w:val="auto"/>
                <w:spacing w:val="-3"/>
                <w:sz w:val="24"/>
              </w:rPr>
              <w:t>三级标准，</w:t>
            </w:r>
            <w:r>
              <w:rPr>
                <w:rFonts w:hint="eastAsia" w:ascii="Times New Roman" w:hAnsi="Times New Roman" w:cs="Times New Roman" w:eastAsiaTheme="minorEastAsia"/>
                <w:color w:val="auto"/>
                <w:spacing w:val="-3"/>
                <w:sz w:val="24"/>
                <w:lang w:eastAsia="zh-CN"/>
              </w:rPr>
              <w:t>同时氨氮达到</w:t>
            </w:r>
            <w:r>
              <w:rPr>
                <w:rFonts w:hint="default" w:ascii="Times New Roman" w:hAnsi="Times New Roman" w:cs="Times New Roman" w:eastAsiaTheme="minorEastAsia"/>
                <w:color w:val="auto"/>
                <w:spacing w:val="-3"/>
                <w:sz w:val="24"/>
              </w:rPr>
              <w:t>《污水</w:t>
            </w:r>
            <w:r>
              <w:rPr>
                <w:rFonts w:hint="eastAsia" w:ascii="Times New Roman" w:hAnsi="Times New Roman" w:cs="Times New Roman" w:eastAsiaTheme="minorEastAsia"/>
                <w:color w:val="auto"/>
                <w:spacing w:val="-3"/>
                <w:sz w:val="24"/>
                <w:lang w:eastAsia="zh-CN"/>
              </w:rPr>
              <w:t>排入城镇下水道水质</w:t>
            </w:r>
            <w:r>
              <w:rPr>
                <w:rFonts w:hint="default" w:ascii="Times New Roman" w:hAnsi="Times New Roman" w:cs="Times New Roman" w:eastAsiaTheme="minorEastAsia"/>
                <w:color w:val="auto"/>
                <w:spacing w:val="-3"/>
                <w:sz w:val="24"/>
              </w:rPr>
              <w:t>标准》（GB</w:t>
            </w:r>
            <w:r>
              <w:rPr>
                <w:rFonts w:hint="eastAsia" w:ascii="Times New Roman" w:hAnsi="Times New Roman" w:cs="Times New Roman" w:eastAsiaTheme="minorEastAsia"/>
                <w:color w:val="auto"/>
                <w:spacing w:val="-3"/>
                <w:sz w:val="24"/>
                <w:lang w:val="en-US" w:eastAsia="zh-CN"/>
              </w:rPr>
              <w:t>/T31962</w:t>
            </w:r>
            <w:r>
              <w:rPr>
                <w:rFonts w:hint="default" w:ascii="Times New Roman" w:hAnsi="Times New Roman" w:cs="Times New Roman" w:eastAsiaTheme="minorEastAsia"/>
                <w:color w:val="auto"/>
                <w:spacing w:val="-3"/>
                <w:sz w:val="24"/>
              </w:rPr>
              <w:t>-</w:t>
            </w:r>
            <w:r>
              <w:rPr>
                <w:rFonts w:hint="eastAsia" w:ascii="Times New Roman" w:hAnsi="Times New Roman" w:cs="Times New Roman" w:eastAsiaTheme="minorEastAsia"/>
                <w:color w:val="auto"/>
                <w:spacing w:val="-3"/>
                <w:sz w:val="24"/>
                <w:lang w:val="en-US" w:eastAsia="zh-CN"/>
              </w:rPr>
              <w:t>2015</w:t>
            </w:r>
            <w:r>
              <w:rPr>
                <w:rFonts w:hint="default" w:ascii="Times New Roman" w:hAnsi="Times New Roman" w:cs="Times New Roman" w:eastAsiaTheme="minorEastAsia"/>
                <w:color w:val="auto"/>
                <w:spacing w:val="-3"/>
                <w:sz w:val="24"/>
              </w:rPr>
              <w:t>）</w:t>
            </w:r>
            <w:r>
              <w:rPr>
                <w:rFonts w:hint="eastAsia" w:ascii="Times New Roman" w:hAnsi="Times New Roman" w:cs="Times New Roman" w:eastAsiaTheme="minorEastAsia"/>
                <w:color w:val="auto"/>
                <w:spacing w:val="-3"/>
                <w:sz w:val="24"/>
                <w:lang w:eastAsia="zh-CN"/>
              </w:rPr>
              <w:t>中</w:t>
            </w:r>
            <w:r>
              <w:rPr>
                <w:rFonts w:hint="eastAsia" w:ascii="Times New Roman" w:hAnsi="Times New Roman" w:cs="Times New Roman" w:eastAsiaTheme="minorEastAsia"/>
                <w:color w:val="auto"/>
                <w:spacing w:val="-3"/>
                <w:sz w:val="24"/>
                <w:lang w:val="en-US" w:eastAsia="zh-CN"/>
              </w:rPr>
              <w:t>B级排放标准</w:t>
            </w:r>
            <w:r>
              <w:rPr>
                <w:rFonts w:hint="eastAsia" w:cs="Times New Roman" w:eastAsiaTheme="minorEastAsia"/>
                <w:color w:val="auto"/>
                <w:spacing w:val="-3"/>
                <w:sz w:val="24"/>
                <w:lang w:val="en-US" w:eastAsia="zh-CN"/>
              </w:rPr>
              <w:t>，再通过项目总排口</w:t>
            </w:r>
            <w:r>
              <w:rPr>
                <w:rFonts w:hint="eastAsia" w:ascii="Times New Roman" w:hAnsi="Times New Roman" w:cs="Times New Roman" w:eastAsiaTheme="minorEastAsia"/>
                <w:color w:val="auto"/>
                <w:spacing w:val="-3"/>
                <w:sz w:val="24"/>
                <w:lang w:val="en-US" w:eastAsia="zh-CN"/>
              </w:rPr>
              <w:t>排</w:t>
            </w:r>
            <w:r>
              <w:rPr>
                <w:rFonts w:hint="default" w:ascii="Times New Roman" w:hAnsi="Times New Roman" w:cs="Times New Roman" w:eastAsiaTheme="minorEastAsia"/>
                <w:color w:val="auto"/>
                <w:spacing w:val="-3"/>
                <w:sz w:val="24"/>
              </w:rPr>
              <w:t>入市政污水管网，随后排入</w:t>
            </w:r>
            <w:bookmarkStart w:id="57" w:name="OLE_LINK1"/>
            <w:r>
              <w:rPr>
                <w:rFonts w:hint="default" w:ascii="Times New Roman" w:hAnsi="Times New Roman" w:cs="Times New Roman" w:eastAsiaTheme="minorEastAsia"/>
                <w:color w:val="auto"/>
                <w:spacing w:val="-3"/>
                <w:sz w:val="24"/>
              </w:rPr>
              <w:t>葛店污水处理厂</w:t>
            </w:r>
            <w:bookmarkEnd w:id="57"/>
            <w:r>
              <w:rPr>
                <w:rFonts w:hint="default" w:ascii="Times New Roman" w:hAnsi="Times New Roman" w:cs="Times New Roman" w:eastAsiaTheme="minorEastAsia"/>
                <w:color w:val="auto"/>
                <w:spacing w:val="-3"/>
                <w:sz w:val="24"/>
              </w:rPr>
              <w:t>，经过葛店污水处理厂后排放的污水可达到《城镇污水处理厂污染物排放标准》</w:t>
            </w:r>
            <w:r>
              <w:rPr>
                <w:rFonts w:hint="eastAsia" w:cs="Times New Roman" w:eastAsiaTheme="minorEastAsia"/>
                <w:color w:val="auto"/>
                <w:spacing w:val="-3"/>
                <w:sz w:val="24"/>
                <w:lang w:eastAsia="zh-CN"/>
              </w:rPr>
              <w:t>（</w:t>
            </w:r>
            <w:r>
              <w:rPr>
                <w:rFonts w:hint="default" w:ascii="Times New Roman" w:hAnsi="Times New Roman" w:cs="Times New Roman" w:eastAsiaTheme="minorEastAsia"/>
                <w:color w:val="auto"/>
                <w:spacing w:val="-3"/>
                <w:sz w:val="24"/>
              </w:rPr>
              <w:t>GB18918-2002</w:t>
            </w:r>
            <w:r>
              <w:rPr>
                <w:rFonts w:hint="eastAsia" w:cs="Times New Roman" w:eastAsiaTheme="minorEastAsia"/>
                <w:color w:val="auto"/>
                <w:spacing w:val="-3"/>
                <w:sz w:val="24"/>
                <w:lang w:eastAsia="zh-CN"/>
              </w:rPr>
              <w:t>）</w:t>
            </w:r>
            <w:r>
              <w:rPr>
                <w:rFonts w:hint="default" w:ascii="Times New Roman" w:hAnsi="Times New Roman" w:cs="Times New Roman" w:eastAsiaTheme="minorEastAsia"/>
                <w:color w:val="auto"/>
                <w:spacing w:val="-3"/>
                <w:sz w:val="24"/>
              </w:rPr>
              <w:t>的一级</w:t>
            </w:r>
            <w:r>
              <w:rPr>
                <w:rFonts w:hint="eastAsia" w:cs="Times New Roman" w:eastAsiaTheme="minorEastAsia"/>
                <w:color w:val="auto"/>
                <w:spacing w:val="-3"/>
                <w:sz w:val="24"/>
                <w:lang w:val="en-US" w:eastAsia="zh-CN"/>
              </w:rPr>
              <w:t>A</w:t>
            </w:r>
            <w:r>
              <w:rPr>
                <w:rFonts w:hint="default" w:ascii="Times New Roman" w:hAnsi="Times New Roman" w:cs="Times New Roman" w:eastAsiaTheme="minorEastAsia"/>
                <w:color w:val="auto"/>
                <w:spacing w:val="-3"/>
                <w:sz w:val="24"/>
              </w:rPr>
              <w:t>标准，</w:t>
            </w:r>
            <w:r>
              <w:rPr>
                <w:rFonts w:hint="eastAsia" w:ascii="Times New Roman" w:hAnsi="Times New Roman" w:cs="Times New Roman" w:eastAsiaTheme="minorEastAsia"/>
                <w:color w:val="auto"/>
                <w:spacing w:val="-3"/>
                <w:sz w:val="24"/>
                <w:lang w:eastAsia="zh-CN"/>
              </w:rPr>
              <w:t>尾水排入长江</w:t>
            </w:r>
            <w:r>
              <w:rPr>
                <w:rFonts w:hint="default" w:ascii="Times New Roman" w:hAnsi="Times New Roman" w:cs="Times New Roman" w:eastAsiaTheme="minorEastAsia"/>
                <w:color w:val="auto"/>
                <w:spacing w:val="-3"/>
                <w:sz w:val="24"/>
              </w:rPr>
              <w:t>。</w:t>
            </w:r>
          </w:p>
          <w:p w14:paraId="64F862BD">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2.</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地下室地面冲洗废水</w:t>
            </w:r>
          </w:p>
          <w:p w14:paraId="77702E2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60" w:firstLineChars="200"/>
              <w:jc w:val="both"/>
              <w:textAlignment w:val="auto"/>
              <w:outlineLvl w:val="9"/>
              <w:rPr>
                <w:rFonts w:hint="default" w:ascii="Times New Roman" w:hAnsi="Times New Roman" w:cs="Times New Roman" w:eastAsiaTheme="minorEastAsia"/>
                <w:color w:val="auto"/>
                <w:spacing w:val="0"/>
                <w:sz w:val="24"/>
              </w:rPr>
            </w:pPr>
            <w:r>
              <w:rPr>
                <w:color w:val="auto"/>
                <w:spacing w:val="-5"/>
                <w:sz w:val="24"/>
              </w:rPr>
              <w:t>项目</w:t>
            </w:r>
            <w:r>
              <w:rPr>
                <w:rFonts w:hint="eastAsia"/>
                <w:color w:val="auto"/>
                <w:spacing w:val="-5"/>
                <w:sz w:val="24"/>
              </w:rPr>
              <w:t>地下室</w:t>
            </w:r>
            <w:r>
              <w:rPr>
                <w:color w:val="auto"/>
                <w:spacing w:val="-5"/>
                <w:sz w:val="24"/>
              </w:rPr>
              <w:t>地面冲洗废水的产生量</w:t>
            </w:r>
            <w:r>
              <w:rPr>
                <w:rFonts w:hint="eastAsia"/>
                <w:color w:val="auto"/>
                <w:spacing w:val="-5"/>
                <w:sz w:val="24"/>
                <w:lang w:eastAsia="zh-CN"/>
              </w:rPr>
              <w:t>为</w:t>
            </w:r>
            <w:r>
              <w:rPr>
                <w:rFonts w:hint="eastAsia"/>
                <w:color w:val="auto"/>
                <w:spacing w:val="-5"/>
                <w:sz w:val="24"/>
                <w:lang w:val="en-US" w:eastAsia="zh-CN"/>
              </w:rPr>
              <w:t>109.2</w:t>
            </w:r>
            <w:r>
              <w:rPr>
                <w:color w:val="auto"/>
                <w:spacing w:val="-5"/>
                <w:sz w:val="24"/>
              </w:rPr>
              <w:t>m</w:t>
            </w:r>
            <w:r>
              <w:rPr>
                <w:color w:val="auto"/>
                <w:spacing w:val="-5"/>
                <w:sz w:val="24"/>
                <w:vertAlign w:val="superscript"/>
              </w:rPr>
              <w:t>3</w:t>
            </w:r>
            <w:r>
              <w:rPr>
                <w:color w:val="auto"/>
                <w:spacing w:val="-5"/>
                <w:sz w:val="24"/>
              </w:rPr>
              <w:t>/a</w:t>
            </w:r>
            <w:r>
              <w:rPr>
                <w:rFonts w:hint="eastAsia"/>
                <w:color w:val="auto"/>
                <w:spacing w:val="-5"/>
                <w:sz w:val="24"/>
              </w:rPr>
              <w:t>。</w:t>
            </w:r>
            <w:r>
              <w:rPr>
                <w:rFonts w:hint="eastAsia"/>
                <w:color w:val="auto"/>
                <w:spacing w:val="-5"/>
                <w:sz w:val="24"/>
                <w:szCs w:val="24"/>
                <w:lang w:eastAsia="zh-CN"/>
              </w:rPr>
              <w:t>冲洗废水在经过隔油沉沙池后与其他废水一起</w:t>
            </w:r>
            <w:r>
              <w:rPr>
                <w:rFonts w:hint="eastAsia" w:cs="Times New Roman"/>
                <w:color w:val="auto"/>
                <w:spacing w:val="-5"/>
                <w:sz w:val="24"/>
                <w:szCs w:val="24"/>
                <w:lang w:eastAsia="zh-CN"/>
              </w:rPr>
              <w:t>经过三级化粪池处理后排入市政污水管网。</w:t>
            </w:r>
            <w:r>
              <w:rPr>
                <w:color w:val="auto"/>
                <w:spacing w:val="-5"/>
                <w:sz w:val="24"/>
              </w:rPr>
              <w:t>类比同类型项目，</w:t>
            </w:r>
            <w:r>
              <w:rPr>
                <w:rFonts w:hint="eastAsia"/>
                <w:color w:val="auto"/>
                <w:spacing w:val="-5"/>
                <w:sz w:val="24"/>
                <w:lang w:eastAsia="zh-CN"/>
              </w:rPr>
              <w:t>冲洗</w:t>
            </w:r>
            <w:r>
              <w:rPr>
                <w:color w:val="auto"/>
                <w:spacing w:val="-5"/>
                <w:sz w:val="24"/>
              </w:rPr>
              <w:t>废水</w:t>
            </w:r>
            <w:r>
              <w:rPr>
                <w:rFonts w:hint="eastAsia"/>
                <w:color w:val="auto"/>
                <w:spacing w:val="-5"/>
                <w:sz w:val="24"/>
                <w:lang w:eastAsia="zh-CN"/>
              </w:rPr>
              <w:t>经过隔油沉砂池后</w:t>
            </w:r>
            <w:r>
              <w:rPr>
                <w:color w:val="auto"/>
                <w:spacing w:val="-5"/>
                <w:sz w:val="24"/>
              </w:rPr>
              <w:t>污染物的浓度分别为：</w:t>
            </w:r>
            <w:r>
              <w:rPr>
                <w:color w:val="auto"/>
                <w:spacing w:val="-5"/>
                <w:sz w:val="24"/>
                <w:szCs w:val="24"/>
              </w:rPr>
              <w:t>COD</w:t>
            </w:r>
            <w:r>
              <w:rPr>
                <w:color w:val="auto"/>
                <w:spacing w:val="-5"/>
                <w:sz w:val="24"/>
                <w:szCs w:val="24"/>
                <w:vertAlign w:val="subscript"/>
              </w:rPr>
              <w:t>Cr</w:t>
            </w:r>
            <w:r>
              <w:rPr>
                <w:color w:val="auto"/>
                <w:spacing w:val="-5"/>
                <w:sz w:val="24"/>
                <w:szCs w:val="24"/>
              </w:rPr>
              <w:t>约</w:t>
            </w:r>
            <w:r>
              <w:rPr>
                <w:rFonts w:hint="eastAsia"/>
                <w:color w:val="auto"/>
                <w:spacing w:val="-5"/>
                <w:sz w:val="24"/>
                <w:szCs w:val="24"/>
              </w:rPr>
              <w:t>35</w:t>
            </w:r>
            <w:r>
              <w:rPr>
                <w:color w:val="auto"/>
                <w:spacing w:val="-5"/>
                <w:sz w:val="24"/>
                <w:szCs w:val="24"/>
              </w:rPr>
              <w:t>0mg/L、</w:t>
            </w:r>
            <w:r>
              <w:rPr>
                <w:rFonts w:hint="eastAsia"/>
                <w:color w:val="auto"/>
                <w:spacing w:val="-5"/>
                <w:sz w:val="24"/>
                <w:szCs w:val="24"/>
              </w:rPr>
              <w:t>石油类</w:t>
            </w:r>
            <w:r>
              <w:rPr>
                <w:color w:val="auto"/>
                <w:spacing w:val="-5"/>
                <w:sz w:val="24"/>
                <w:szCs w:val="24"/>
              </w:rPr>
              <w:t>约50mg/L、SS约</w:t>
            </w:r>
            <w:r>
              <w:rPr>
                <w:rFonts w:hint="eastAsia"/>
                <w:color w:val="auto"/>
                <w:spacing w:val="-5"/>
                <w:sz w:val="24"/>
                <w:szCs w:val="24"/>
              </w:rPr>
              <w:t>35</w:t>
            </w:r>
            <w:r>
              <w:rPr>
                <w:color w:val="auto"/>
                <w:spacing w:val="-5"/>
                <w:sz w:val="24"/>
                <w:szCs w:val="24"/>
              </w:rPr>
              <w:t>0mg/L</w:t>
            </w:r>
            <w:r>
              <w:rPr>
                <w:rFonts w:hint="eastAsia"/>
                <w:color w:val="auto"/>
                <w:spacing w:val="-5"/>
                <w:sz w:val="24"/>
                <w:szCs w:val="24"/>
                <w:lang w:eastAsia="zh-CN"/>
              </w:rPr>
              <w:t>。</w:t>
            </w:r>
            <w:r>
              <w:rPr>
                <w:rFonts w:hint="default" w:ascii="Times New Roman" w:hAnsi="Times New Roman" w:cs="Times New Roman" w:eastAsiaTheme="minorEastAsia"/>
                <w:color w:val="auto"/>
                <w:spacing w:val="-5"/>
                <w:sz w:val="24"/>
                <w:szCs w:val="24"/>
              </w:rPr>
              <w:t>三级化粪池处理</w:t>
            </w:r>
            <w:r>
              <w:rPr>
                <w:rFonts w:hint="default" w:ascii="Times New Roman" w:hAnsi="Times New Roman" w:cs="Times New Roman" w:eastAsiaTheme="minorEastAsia"/>
                <w:color w:val="auto"/>
                <w:spacing w:val="-5"/>
                <w:sz w:val="24"/>
              </w:rPr>
              <w:t>效率按COD：40%、SS：60%计，经处理后出水浓度COD：</w:t>
            </w:r>
            <w:r>
              <w:rPr>
                <w:rFonts w:hint="eastAsia" w:ascii="Times New Roman" w:hAnsi="Times New Roman" w:cs="Times New Roman" w:eastAsiaTheme="minorEastAsia"/>
                <w:color w:val="auto"/>
                <w:spacing w:val="-5"/>
                <w:sz w:val="24"/>
                <w:lang w:val="en-US" w:eastAsia="zh-CN"/>
              </w:rPr>
              <w:t>210</w:t>
            </w:r>
            <w:r>
              <w:rPr>
                <w:rFonts w:hint="default" w:ascii="Times New Roman" w:hAnsi="Times New Roman" w:cs="Times New Roman" w:eastAsiaTheme="minorEastAsia"/>
                <w:color w:val="auto"/>
                <w:spacing w:val="-5"/>
                <w:sz w:val="24"/>
              </w:rPr>
              <w:t>mg/L、</w:t>
            </w:r>
            <w:r>
              <w:rPr>
                <w:rFonts w:hint="eastAsia" w:ascii="Times New Roman" w:hAnsi="Times New Roman" w:cs="Times New Roman" w:eastAsiaTheme="minorEastAsia"/>
                <w:color w:val="auto"/>
                <w:spacing w:val="-5"/>
                <w:sz w:val="24"/>
                <w:lang w:eastAsia="zh-CN"/>
              </w:rPr>
              <w:t>石油类</w:t>
            </w:r>
            <w:r>
              <w:rPr>
                <w:color w:val="auto"/>
                <w:spacing w:val="-5"/>
                <w:sz w:val="24"/>
                <w:szCs w:val="24"/>
              </w:rPr>
              <w:t>约50mg/L</w:t>
            </w:r>
            <w:r>
              <w:rPr>
                <w:rFonts w:hint="eastAsia" w:ascii="Times New Roman" w:hAnsi="Times New Roman" w:cs="Times New Roman" w:eastAsiaTheme="minorEastAsia"/>
                <w:color w:val="auto"/>
                <w:spacing w:val="-5"/>
                <w:sz w:val="24"/>
                <w:lang w:eastAsia="zh-CN"/>
              </w:rPr>
              <w:t>、</w:t>
            </w:r>
            <w:r>
              <w:rPr>
                <w:rFonts w:hint="default" w:ascii="Times New Roman" w:hAnsi="Times New Roman" w:cs="Times New Roman" w:eastAsiaTheme="minorEastAsia"/>
                <w:color w:val="auto"/>
                <w:spacing w:val="-5"/>
                <w:sz w:val="24"/>
              </w:rPr>
              <w:t>SS：</w:t>
            </w:r>
            <w:r>
              <w:rPr>
                <w:rFonts w:hint="eastAsia" w:ascii="Times New Roman" w:hAnsi="Times New Roman" w:cs="Times New Roman" w:eastAsiaTheme="minorEastAsia"/>
                <w:color w:val="auto"/>
                <w:spacing w:val="-5"/>
                <w:sz w:val="24"/>
                <w:lang w:val="en-US" w:eastAsia="zh-CN"/>
              </w:rPr>
              <w:t>140</w:t>
            </w:r>
            <w:r>
              <w:rPr>
                <w:rFonts w:hint="default" w:ascii="Times New Roman" w:hAnsi="Times New Roman" w:cs="Times New Roman" w:eastAsiaTheme="minorEastAsia"/>
                <w:color w:val="auto"/>
                <w:spacing w:val="-5"/>
                <w:sz w:val="24"/>
              </w:rPr>
              <w:t>mg/L</w:t>
            </w:r>
            <w:r>
              <w:rPr>
                <w:rFonts w:hint="eastAsia" w:ascii="Times New Roman" w:hAnsi="Times New Roman" w:cs="Times New Roman" w:eastAsiaTheme="minorEastAsia"/>
                <w:color w:val="auto"/>
                <w:spacing w:val="-5"/>
                <w:sz w:val="24"/>
                <w:lang w:eastAsia="zh-CN"/>
              </w:rPr>
              <w:t>。</w:t>
            </w:r>
            <w:r>
              <w:rPr>
                <w:rFonts w:hint="eastAsia"/>
                <w:color w:val="auto"/>
                <w:spacing w:val="0"/>
                <w:sz w:val="24"/>
                <w:szCs w:val="24"/>
                <w:lang w:eastAsia="zh-CN"/>
              </w:rPr>
              <w:t>经过隔油沉沙池的冲洗废水和生活污水一起</w:t>
            </w:r>
            <w:r>
              <w:rPr>
                <w:rFonts w:hint="eastAsia" w:cs="Times New Roman"/>
                <w:color w:val="auto"/>
                <w:spacing w:val="0"/>
                <w:sz w:val="24"/>
                <w:szCs w:val="24"/>
                <w:lang w:eastAsia="zh-CN"/>
              </w:rPr>
              <w:t>经过三级化粪池处理后</w:t>
            </w:r>
            <w:r>
              <w:rPr>
                <w:rFonts w:hint="default" w:ascii="Times New Roman" w:hAnsi="Times New Roman" w:cs="Times New Roman" w:eastAsiaTheme="minorEastAsia"/>
                <w:color w:val="auto"/>
                <w:spacing w:val="0"/>
                <w:sz w:val="24"/>
              </w:rPr>
              <w:t>达到《污水综合排放标准》</w:t>
            </w:r>
            <w:r>
              <w:rPr>
                <w:rFonts w:hint="eastAsia" w:ascii="Times New Roman" w:hAnsi="Times New Roman" w:cs="Times New Roman" w:eastAsiaTheme="minorEastAsia"/>
                <w:color w:val="auto"/>
                <w:spacing w:val="0"/>
                <w:sz w:val="24"/>
                <w:lang w:eastAsia="zh-CN"/>
              </w:rPr>
              <w:t>（</w:t>
            </w:r>
            <w:r>
              <w:rPr>
                <w:rFonts w:hint="default" w:ascii="Times New Roman" w:hAnsi="Times New Roman" w:cs="Times New Roman" w:eastAsiaTheme="minorEastAsia"/>
                <w:color w:val="auto"/>
                <w:spacing w:val="0"/>
                <w:sz w:val="24"/>
              </w:rPr>
              <w:t>GB8978-1996</w:t>
            </w:r>
            <w:r>
              <w:rPr>
                <w:rFonts w:hint="eastAsia" w:ascii="Times New Roman" w:hAnsi="Times New Roman" w:cs="Times New Roman" w:eastAsiaTheme="minorEastAsia"/>
                <w:color w:val="auto"/>
                <w:spacing w:val="0"/>
                <w:sz w:val="24"/>
                <w:lang w:val="en-US" w:eastAsia="zh-CN"/>
              </w:rPr>
              <w:t xml:space="preserve"> ）</w:t>
            </w:r>
            <w:r>
              <w:rPr>
                <w:rFonts w:hint="default" w:ascii="Times New Roman" w:hAnsi="Times New Roman" w:cs="Times New Roman" w:eastAsiaTheme="minorEastAsia"/>
                <w:color w:val="auto"/>
                <w:spacing w:val="0"/>
                <w:sz w:val="24"/>
              </w:rPr>
              <w:t>三级标准，</w:t>
            </w:r>
            <w:r>
              <w:rPr>
                <w:rFonts w:hint="eastAsia" w:ascii="Times New Roman" w:hAnsi="Times New Roman" w:cs="Times New Roman" w:eastAsiaTheme="minorEastAsia"/>
                <w:color w:val="auto"/>
                <w:spacing w:val="0"/>
                <w:sz w:val="24"/>
                <w:lang w:eastAsia="zh-CN"/>
              </w:rPr>
              <w:t>同时氨氮达到</w:t>
            </w:r>
            <w:r>
              <w:rPr>
                <w:rFonts w:hint="default" w:ascii="Times New Roman" w:hAnsi="Times New Roman" w:cs="Times New Roman" w:eastAsiaTheme="minorEastAsia"/>
                <w:color w:val="auto"/>
                <w:spacing w:val="0"/>
                <w:sz w:val="24"/>
              </w:rPr>
              <w:t>《污水</w:t>
            </w:r>
            <w:r>
              <w:rPr>
                <w:rFonts w:hint="eastAsia" w:ascii="Times New Roman" w:hAnsi="Times New Roman" w:cs="Times New Roman" w:eastAsiaTheme="minorEastAsia"/>
                <w:color w:val="auto"/>
                <w:spacing w:val="0"/>
                <w:sz w:val="24"/>
                <w:lang w:eastAsia="zh-CN"/>
              </w:rPr>
              <w:t>排入城镇下水道水质</w:t>
            </w:r>
            <w:r>
              <w:rPr>
                <w:rFonts w:hint="default" w:ascii="Times New Roman" w:hAnsi="Times New Roman" w:cs="Times New Roman" w:eastAsiaTheme="minorEastAsia"/>
                <w:color w:val="auto"/>
                <w:spacing w:val="0"/>
                <w:sz w:val="24"/>
              </w:rPr>
              <w:t>标准》（GB</w:t>
            </w:r>
            <w:r>
              <w:rPr>
                <w:rFonts w:hint="eastAsia" w:ascii="Times New Roman" w:hAnsi="Times New Roman" w:cs="Times New Roman" w:eastAsiaTheme="minorEastAsia"/>
                <w:color w:val="auto"/>
                <w:spacing w:val="0"/>
                <w:sz w:val="24"/>
                <w:lang w:val="en-US" w:eastAsia="zh-CN"/>
              </w:rPr>
              <w:t>/T31962</w:t>
            </w:r>
            <w:r>
              <w:rPr>
                <w:rFonts w:hint="default" w:ascii="Times New Roman" w:hAnsi="Times New Roman" w:cs="Times New Roman" w:eastAsiaTheme="minorEastAsia"/>
                <w:color w:val="auto"/>
                <w:spacing w:val="0"/>
                <w:sz w:val="24"/>
              </w:rPr>
              <w:t>-</w:t>
            </w:r>
            <w:r>
              <w:rPr>
                <w:rFonts w:hint="eastAsia" w:ascii="Times New Roman" w:hAnsi="Times New Roman" w:cs="Times New Roman" w:eastAsiaTheme="minorEastAsia"/>
                <w:color w:val="auto"/>
                <w:spacing w:val="0"/>
                <w:sz w:val="24"/>
                <w:lang w:val="en-US" w:eastAsia="zh-CN"/>
              </w:rPr>
              <w:t>2015</w:t>
            </w:r>
            <w:r>
              <w:rPr>
                <w:rFonts w:hint="default" w:ascii="Times New Roman" w:hAnsi="Times New Roman" w:cs="Times New Roman" w:eastAsiaTheme="minorEastAsia"/>
                <w:color w:val="auto"/>
                <w:spacing w:val="0"/>
                <w:sz w:val="24"/>
              </w:rPr>
              <w:t>）</w:t>
            </w:r>
            <w:r>
              <w:rPr>
                <w:rFonts w:hint="eastAsia" w:ascii="Times New Roman" w:hAnsi="Times New Roman" w:cs="Times New Roman" w:eastAsiaTheme="minorEastAsia"/>
                <w:color w:val="auto"/>
                <w:spacing w:val="0"/>
                <w:sz w:val="24"/>
                <w:lang w:eastAsia="zh-CN"/>
              </w:rPr>
              <w:t>中</w:t>
            </w:r>
            <w:r>
              <w:rPr>
                <w:rFonts w:hint="eastAsia" w:ascii="Times New Roman" w:hAnsi="Times New Roman" w:cs="Times New Roman" w:eastAsiaTheme="minorEastAsia"/>
                <w:color w:val="auto"/>
                <w:spacing w:val="0"/>
                <w:sz w:val="24"/>
                <w:lang w:val="en-US" w:eastAsia="zh-CN"/>
              </w:rPr>
              <w:t>B级排放标准</w:t>
            </w:r>
            <w:r>
              <w:rPr>
                <w:rFonts w:hint="eastAsia" w:cs="Times New Roman" w:eastAsiaTheme="minorEastAsia"/>
                <w:color w:val="auto"/>
                <w:spacing w:val="0"/>
                <w:sz w:val="24"/>
                <w:lang w:val="en-US" w:eastAsia="zh-CN"/>
              </w:rPr>
              <w:t>，再通过项目总排口</w:t>
            </w:r>
            <w:r>
              <w:rPr>
                <w:rFonts w:hint="eastAsia" w:ascii="Times New Roman" w:hAnsi="Times New Roman" w:cs="Times New Roman" w:eastAsiaTheme="minorEastAsia"/>
                <w:color w:val="auto"/>
                <w:spacing w:val="0"/>
                <w:sz w:val="24"/>
                <w:lang w:val="en-US" w:eastAsia="zh-CN"/>
              </w:rPr>
              <w:t>排</w:t>
            </w:r>
            <w:r>
              <w:rPr>
                <w:rFonts w:hint="default" w:ascii="Times New Roman" w:hAnsi="Times New Roman" w:cs="Times New Roman" w:eastAsiaTheme="minorEastAsia"/>
                <w:color w:val="auto"/>
                <w:spacing w:val="0"/>
                <w:sz w:val="24"/>
              </w:rPr>
              <w:t>入市政污水管网，随后排入葛店污水处理厂，经过葛店污水处理厂后排放的污水可达到《城镇污水处理厂污染物排放标准》</w:t>
            </w:r>
            <w:r>
              <w:rPr>
                <w:rFonts w:hint="eastAsia" w:cs="Times New Roman" w:eastAsiaTheme="minorEastAsia"/>
                <w:color w:val="auto"/>
                <w:spacing w:val="0"/>
                <w:sz w:val="24"/>
                <w:lang w:eastAsia="zh-CN"/>
              </w:rPr>
              <w:t>（</w:t>
            </w:r>
            <w:r>
              <w:rPr>
                <w:rFonts w:hint="default" w:ascii="Times New Roman" w:hAnsi="Times New Roman" w:cs="Times New Roman" w:eastAsiaTheme="minorEastAsia"/>
                <w:color w:val="auto"/>
                <w:spacing w:val="0"/>
                <w:sz w:val="24"/>
              </w:rPr>
              <w:t>GB18918-2002</w:t>
            </w:r>
            <w:r>
              <w:rPr>
                <w:rFonts w:hint="eastAsia" w:cs="Times New Roman" w:eastAsiaTheme="minorEastAsia"/>
                <w:color w:val="auto"/>
                <w:spacing w:val="0"/>
                <w:sz w:val="24"/>
                <w:lang w:eastAsia="zh-CN"/>
              </w:rPr>
              <w:t>）</w:t>
            </w:r>
            <w:r>
              <w:rPr>
                <w:rFonts w:hint="default" w:ascii="Times New Roman" w:hAnsi="Times New Roman" w:cs="Times New Roman" w:eastAsiaTheme="minorEastAsia"/>
                <w:color w:val="auto"/>
                <w:spacing w:val="0"/>
                <w:sz w:val="24"/>
              </w:rPr>
              <w:t>的一级</w:t>
            </w:r>
            <w:r>
              <w:rPr>
                <w:rFonts w:hint="eastAsia" w:cs="Times New Roman" w:eastAsiaTheme="minorEastAsia"/>
                <w:color w:val="auto"/>
                <w:spacing w:val="0"/>
                <w:sz w:val="24"/>
                <w:lang w:val="en-US" w:eastAsia="zh-CN"/>
              </w:rPr>
              <w:t>A</w:t>
            </w:r>
            <w:r>
              <w:rPr>
                <w:rFonts w:hint="default" w:ascii="Times New Roman" w:hAnsi="Times New Roman" w:cs="Times New Roman" w:eastAsiaTheme="minorEastAsia"/>
                <w:color w:val="auto"/>
                <w:spacing w:val="0"/>
                <w:sz w:val="24"/>
              </w:rPr>
              <w:t>标准，</w:t>
            </w:r>
            <w:r>
              <w:rPr>
                <w:rFonts w:hint="eastAsia" w:ascii="Times New Roman" w:hAnsi="Times New Roman" w:cs="Times New Roman" w:eastAsiaTheme="minorEastAsia"/>
                <w:color w:val="auto"/>
                <w:spacing w:val="0"/>
                <w:sz w:val="24"/>
                <w:lang w:eastAsia="zh-CN"/>
              </w:rPr>
              <w:t>尾水排入长江</w:t>
            </w:r>
            <w:r>
              <w:rPr>
                <w:rFonts w:hint="default" w:ascii="Times New Roman" w:hAnsi="Times New Roman" w:cs="Times New Roman" w:eastAsiaTheme="minorEastAsia"/>
                <w:color w:val="auto"/>
                <w:spacing w:val="0"/>
                <w:sz w:val="24"/>
              </w:rPr>
              <w:t>。</w:t>
            </w:r>
          </w:p>
          <w:p w14:paraId="022EFB9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left"/>
              <w:textAlignment w:val="auto"/>
              <w:outlineLvl w:val="9"/>
              <w:rPr>
                <w:rFonts w:hint="eastAsia" w:ascii="Times New Roman" w:hAnsi="Times New Roman" w:cs="Times New Roman" w:eastAsiaTheme="minorEastAsia"/>
                <w:color w:val="auto"/>
                <w:spacing w:val="0"/>
                <w:sz w:val="24"/>
                <w:lang w:eastAsia="zh-CN"/>
              </w:rPr>
            </w:pPr>
            <w:r>
              <w:rPr>
                <w:rFonts w:hint="eastAsia" w:cs="Times New Roman" w:eastAsiaTheme="minorEastAsia"/>
                <w:color w:val="auto"/>
                <w:spacing w:val="0"/>
                <w:sz w:val="24"/>
                <w:lang w:eastAsia="zh-CN"/>
              </w:rPr>
              <w:t>综上所述，项目废水对地表水环境无不利影响。</w:t>
            </w:r>
          </w:p>
          <w:p w14:paraId="168908E3">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jc w:val="both"/>
              <w:outlineLvl w:val="9"/>
              <w:rPr>
                <w:b/>
                <w:color w:val="auto"/>
                <w:sz w:val="24"/>
                <w:szCs w:val="24"/>
              </w:rPr>
            </w:pPr>
            <w:r>
              <w:rPr>
                <w:b/>
                <w:color w:val="auto"/>
                <w:sz w:val="24"/>
                <w:szCs w:val="24"/>
              </w:rPr>
              <w:t>3</w:t>
            </w:r>
            <w:r>
              <w:rPr>
                <w:rFonts w:hint="eastAsia"/>
                <w:b/>
                <w:color w:val="auto"/>
                <w:sz w:val="24"/>
                <w:szCs w:val="24"/>
                <w:lang w:eastAsia="zh-CN"/>
              </w:rPr>
              <w:t>、</w:t>
            </w:r>
            <w:r>
              <w:rPr>
                <w:b/>
                <w:color w:val="auto"/>
                <w:sz w:val="24"/>
                <w:szCs w:val="24"/>
              </w:rPr>
              <w:t>声环境影响分析</w:t>
            </w:r>
          </w:p>
          <w:p w14:paraId="517C713C">
            <w:pPr>
              <w:pStyle w:val="36"/>
              <w:keepNext w:val="0"/>
              <w:keepLines w:val="0"/>
              <w:pageBreakBefore w:val="0"/>
              <w:widowControl w:val="0"/>
              <w:kinsoku/>
              <w:wordWrap/>
              <w:overflowPunct/>
              <w:topLinePunct w:val="0"/>
              <w:bidi w:val="0"/>
              <w:adjustRightInd/>
              <w:snapToGrid/>
              <w:spacing w:beforeAutospacing="0" w:line="360" w:lineRule="auto"/>
              <w:ind w:left="0" w:leftChars="0" w:right="0" w:rightChars="0" w:firstLine="496" w:firstLineChars="200"/>
              <w:jc w:val="both"/>
              <w:outlineLvl w:val="9"/>
              <w:rPr>
                <w:rFonts w:hint="eastAsia" w:ascii="Times New Roman"/>
                <w:color w:val="auto"/>
                <w:sz w:val="24"/>
              </w:rPr>
            </w:pPr>
            <w:r>
              <w:rPr>
                <w:rFonts w:hint="eastAsia" w:ascii="Times New Roman"/>
                <w:color w:val="auto"/>
                <w:sz w:val="24"/>
                <w:lang w:val="en-US" w:eastAsia="zh-CN"/>
              </w:rPr>
              <w:t>3.1、</w:t>
            </w:r>
            <w:r>
              <w:rPr>
                <w:rFonts w:hint="eastAsia" w:ascii="Times New Roman"/>
                <w:color w:val="auto"/>
                <w:sz w:val="24"/>
              </w:rPr>
              <w:t>商业活动噪声</w:t>
            </w:r>
          </w:p>
          <w:p w14:paraId="680F18B5">
            <w:pPr>
              <w:keepNext w:val="0"/>
              <w:keepLines w:val="0"/>
              <w:pageBreakBefore w:val="0"/>
              <w:widowControl w:val="0"/>
              <w:kinsoku/>
              <w:wordWrap/>
              <w:overflowPunct/>
              <w:topLinePunct w:val="0"/>
              <w:autoSpaceDE w:val="0"/>
              <w:autoSpaceDN w:val="0"/>
              <w:bidi w:val="0"/>
              <w:adjustRightInd/>
              <w:snapToGrid/>
              <w:spacing w:beforeAutospacing="0" w:line="360" w:lineRule="auto"/>
              <w:ind w:left="0" w:leftChars="0" w:right="0" w:rightChars="0" w:firstLine="480" w:firstLineChars="200"/>
              <w:jc w:val="both"/>
              <w:outlineLvl w:val="9"/>
              <w:rPr>
                <w:color w:val="auto"/>
                <w:sz w:val="24"/>
              </w:rPr>
            </w:pPr>
            <w:r>
              <w:rPr>
                <w:rFonts w:hAnsi="宋体"/>
                <w:color w:val="auto"/>
                <w:sz w:val="24"/>
              </w:rPr>
              <w:t>商业营业噪声不稳定、不连续，因此其源强难以估算，其防治措施主要是加强管理。项目应加强对商业店铺营运的规范管理，对商业店铺经营位置进行合理布局，采取隔声降噪措施强化其内部噪声；规定营业时间，商铺早上不宜开业过早，晚上</w:t>
            </w:r>
            <w:r>
              <w:rPr>
                <w:color w:val="auto"/>
                <w:sz w:val="24"/>
              </w:rPr>
              <w:t>10</w:t>
            </w:r>
            <w:r>
              <w:rPr>
                <w:rFonts w:hAnsi="宋体"/>
                <w:color w:val="auto"/>
                <w:sz w:val="24"/>
              </w:rPr>
              <w:t>点后停止营业。本项目</w:t>
            </w:r>
            <w:r>
              <w:rPr>
                <w:rFonts w:hint="eastAsia" w:hAnsi="宋体"/>
                <w:color w:val="auto"/>
                <w:sz w:val="24"/>
                <w:lang w:eastAsia="zh-CN"/>
              </w:rPr>
              <w:t>原则上不</w:t>
            </w:r>
            <w:r>
              <w:rPr>
                <w:rFonts w:hAnsi="宋体"/>
                <w:color w:val="auto"/>
                <w:sz w:val="24"/>
              </w:rPr>
              <w:t>引入餐饮、娱乐等有高噪声项目，</w:t>
            </w:r>
            <w:r>
              <w:rPr>
                <w:rFonts w:hint="eastAsia" w:hAnsi="宋体"/>
                <w:color w:val="auto"/>
                <w:sz w:val="24"/>
                <w:lang w:eastAsia="zh-CN"/>
              </w:rPr>
              <w:t>如果引进</w:t>
            </w:r>
            <w:r>
              <w:rPr>
                <w:rFonts w:hAnsi="宋体"/>
                <w:color w:val="auto"/>
                <w:sz w:val="24"/>
              </w:rPr>
              <w:t>须向有关部门申报，在取得一切相应手续或另做环评对其污染物排放可行性及可能造成的影响进行分析说明后，方能修建运营。</w:t>
            </w:r>
          </w:p>
          <w:p w14:paraId="757D1F32">
            <w:pPr>
              <w:keepNext w:val="0"/>
              <w:keepLines w:val="0"/>
              <w:pageBreakBefore w:val="0"/>
              <w:widowControl w:val="0"/>
              <w:kinsoku/>
              <w:wordWrap/>
              <w:overflowPunct/>
              <w:topLinePunct w:val="0"/>
              <w:autoSpaceDE w:val="0"/>
              <w:autoSpaceDN w:val="0"/>
              <w:bidi w:val="0"/>
              <w:adjustRightInd/>
              <w:snapToGrid/>
              <w:spacing w:beforeAutospacing="0" w:line="360" w:lineRule="auto"/>
              <w:ind w:left="0" w:leftChars="0" w:right="0" w:rightChars="0" w:firstLine="480" w:firstLineChars="200"/>
              <w:jc w:val="both"/>
              <w:outlineLvl w:val="9"/>
              <w:rPr>
                <w:color w:val="auto"/>
                <w:sz w:val="24"/>
              </w:rPr>
            </w:pPr>
            <w:r>
              <w:rPr>
                <w:rFonts w:hAnsi="宋体"/>
                <w:color w:val="auto"/>
                <w:sz w:val="24"/>
              </w:rPr>
              <w:t>因此，在合理布局、采取相应隔声降噪措施、严格管理的情况下，商业噪声将得到有效控制，对住户影响不大。</w:t>
            </w:r>
          </w:p>
          <w:p w14:paraId="05A367CC">
            <w:pPr>
              <w:pStyle w:val="36"/>
              <w:keepNext w:val="0"/>
              <w:keepLines w:val="0"/>
              <w:pageBreakBefore w:val="0"/>
              <w:widowControl w:val="0"/>
              <w:kinsoku/>
              <w:wordWrap/>
              <w:overflowPunct/>
              <w:topLinePunct w:val="0"/>
              <w:bidi w:val="0"/>
              <w:adjustRightInd/>
              <w:snapToGrid/>
              <w:spacing w:beforeAutospacing="0" w:line="360" w:lineRule="auto"/>
              <w:ind w:left="0" w:leftChars="0" w:right="0" w:rightChars="0" w:firstLine="496" w:firstLineChars="200"/>
              <w:jc w:val="both"/>
              <w:outlineLvl w:val="9"/>
              <w:rPr>
                <w:rFonts w:hint="eastAsia" w:ascii="Times New Roman"/>
                <w:color w:val="auto"/>
                <w:sz w:val="24"/>
              </w:rPr>
            </w:pPr>
            <w:r>
              <w:rPr>
                <w:rFonts w:hint="eastAsia" w:ascii="Times New Roman"/>
                <w:color w:val="auto"/>
                <w:sz w:val="24"/>
                <w:lang w:val="en-US" w:eastAsia="zh-CN"/>
              </w:rPr>
              <w:t>3.2、</w:t>
            </w:r>
            <w:r>
              <w:rPr>
                <w:rFonts w:hint="eastAsia" w:ascii="Times New Roman"/>
                <w:color w:val="auto"/>
                <w:sz w:val="24"/>
              </w:rPr>
              <w:t>配套设备噪声</w:t>
            </w:r>
          </w:p>
          <w:p w14:paraId="7868D2B8">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szCs w:val="24"/>
              </w:rPr>
            </w:pPr>
            <w:r>
              <w:rPr>
                <w:rFonts w:hAnsi="宋体"/>
                <w:color w:val="auto"/>
                <w:sz w:val="24"/>
                <w:szCs w:val="24"/>
              </w:rPr>
              <w:t>项目营运期产生的设备噪声主要来自于水泵、风机（地下室排风系统）等，此类噪声若不加以控制，噪声值最高可达</w:t>
            </w:r>
            <w:r>
              <w:rPr>
                <w:rFonts w:hint="eastAsia" w:hAnsi="宋体"/>
                <w:color w:val="auto"/>
                <w:sz w:val="24"/>
                <w:szCs w:val="24"/>
                <w:lang w:val="en-US" w:eastAsia="zh-CN"/>
              </w:rPr>
              <w:t>100</w:t>
            </w:r>
            <w:r>
              <w:rPr>
                <w:color w:val="auto"/>
                <w:sz w:val="24"/>
                <w:szCs w:val="24"/>
              </w:rPr>
              <w:t>dB(A)</w:t>
            </w:r>
            <w:r>
              <w:rPr>
                <w:rFonts w:hAnsi="宋体"/>
                <w:color w:val="auto"/>
                <w:sz w:val="24"/>
                <w:szCs w:val="24"/>
              </w:rPr>
              <w:t>。本项目所用的通风系统风机、水泵均设置于地</w:t>
            </w:r>
            <w:r>
              <w:rPr>
                <w:rFonts w:hint="eastAsia" w:hAnsi="宋体"/>
                <w:color w:val="auto"/>
                <w:sz w:val="24"/>
                <w:szCs w:val="24"/>
                <w:lang w:eastAsia="zh-CN"/>
              </w:rPr>
              <w:t>下车库西南角</w:t>
            </w:r>
            <w:r>
              <w:rPr>
                <w:rFonts w:hAnsi="宋体"/>
                <w:color w:val="auto"/>
                <w:sz w:val="24"/>
                <w:szCs w:val="24"/>
              </w:rPr>
              <w:t>的各专用机房内，</w:t>
            </w:r>
            <w:r>
              <w:rPr>
                <w:rFonts w:hAnsi="宋体"/>
                <w:color w:val="auto"/>
                <w:sz w:val="24"/>
              </w:rPr>
              <w:t>地下室对噪声的削减量在</w:t>
            </w:r>
            <w:r>
              <w:rPr>
                <w:rFonts w:hint="eastAsia" w:hAnsi="宋体"/>
                <w:color w:val="auto"/>
                <w:sz w:val="24"/>
                <w:lang w:val="en-US" w:eastAsia="zh-CN"/>
              </w:rPr>
              <w:t>20</w:t>
            </w:r>
            <w:r>
              <w:rPr>
                <w:rFonts w:hAnsi="宋体"/>
                <w:color w:val="auto"/>
                <w:sz w:val="24"/>
              </w:rPr>
              <w:t>分贝以上，</w:t>
            </w:r>
            <w:r>
              <w:rPr>
                <w:rFonts w:hAnsi="宋体"/>
                <w:color w:val="auto"/>
                <w:sz w:val="24"/>
                <w:szCs w:val="24"/>
              </w:rPr>
              <w:t>水泵使用低转速电机并加减震垫。经减震垫衰减及专用机房隔声后，各设备运行时产生噪声将不会对周围声环境产生明显影响。因此通过选用低噪音设备，合理布局，对专用机房进行密闭处理等措施后，项目公共设施产生的噪声对周围环境影响不大。</w:t>
            </w:r>
          </w:p>
          <w:p w14:paraId="71964EA6">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szCs w:val="24"/>
              </w:rPr>
            </w:pPr>
            <w:r>
              <w:rPr>
                <w:rFonts w:hAnsi="宋体"/>
                <w:color w:val="auto"/>
                <w:sz w:val="24"/>
                <w:szCs w:val="24"/>
              </w:rPr>
              <w:t>经过上述措施后，项目噪声对周边环境产生的影响能降到最低。</w:t>
            </w:r>
          </w:p>
          <w:p w14:paraId="181F0397">
            <w:pPr>
              <w:pStyle w:val="36"/>
              <w:keepNext w:val="0"/>
              <w:keepLines w:val="0"/>
              <w:pageBreakBefore w:val="0"/>
              <w:widowControl w:val="0"/>
              <w:kinsoku/>
              <w:wordWrap/>
              <w:overflowPunct/>
              <w:topLinePunct w:val="0"/>
              <w:bidi w:val="0"/>
              <w:adjustRightInd/>
              <w:snapToGrid/>
              <w:spacing w:beforeAutospacing="0" w:line="360" w:lineRule="auto"/>
              <w:ind w:left="0" w:leftChars="0" w:right="0" w:rightChars="0" w:firstLine="496" w:firstLineChars="200"/>
              <w:jc w:val="both"/>
              <w:outlineLvl w:val="9"/>
              <w:rPr>
                <w:rFonts w:hint="eastAsia" w:ascii="Times New Roman"/>
                <w:color w:val="auto"/>
                <w:sz w:val="24"/>
              </w:rPr>
            </w:pPr>
            <w:r>
              <w:rPr>
                <w:rFonts w:hint="eastAsia" w:ascii="Times New Roman"/>
                <w:color w:val="auto"/>
                <w:sz w:val="24"/>
                <w:lang w:val="en-US" w:eastAsia="zh-CN"/>
              </w:rPr>
              <w:t>3.3、</w:t>
            </w:r>
            <w:r>
              <w:rPr>
                <w:rFonts w:hint="eastAsia" w:ascii="Times New Roman"/>
                <w:color w:val="auto"/>
                <w:sz w:val="24"/>
              </w:rPr>
              <w:t>机动车噪声</w:t>
            </w:r>
          </w:p>
          <w:p w14:paraId="442B8111">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rPr>
            </w:pPr>
            <w:r>
              <w:rPr>
                <w:rFonts w:hint="eastAsia" w:hAnsi="宋体"/>
                <w:color w:val="auto"/>
                <w:sz w:val="24"/>
                <w:lang w:eastAsia="zh-CN"/>
              </w:rPr>
              <w:t>（</w:t>
            </w:r>
            <w:r>
              <w:rPr>
                <w:rFonts w:hint="eastAsia" w:hAnsi="宋体"/>
                <w:color w:val="auto"/>
                <w:sz w:val="24"/>
                <w:lang w:val="en-US" w:eastAsia="zh-CN"/>
              </w:rPr>
              <w:t>1</w:t>
            </w:r>
            <w:r>
              <w:rPr>
                <w:rFonts w:hint="eastAsia" w:hAnsi="宋体"/>
                <w:color w:val="auto"/>
                <w:sz w:val="24"/>
                <w:lang w:eastAsia="zh-CN"/>
              </w:rPr>
              <w:t>）</w:t>
            </w:r>
            <w:r>
              <w:rPr>
                <w:rFonts w:hAnsi="宋体"/>
                <w:color w:val="auto"/>
                <w:sz w:val="24"/>
              </w:rPr>
              <w:t>小区内车辆行驶噪声对住户的影响分析</w:t>
            </w:r>
          </w:p>
          <w:p w14:paraId="79554C06">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rPr>
            </w:pPr>
            <w:r>
              <w:rPr>
                <w:rFonts w:hAnsi="宋体"/>
                <w:color w:val="auto"/>
                <w:sz w:val="24"/>
              </w:rPr>
              <w:t>汽车在小区内道路上及进出车库时一般速度较慢，噪声级一般在</w:t>
            </w:r>
            <w:r>
              <w:rPr>
                <w:color w:val="auto"/>
                <w:sz w:val="24"/>
              </w:rPr>
              <w:t>60-65dB(A)</w:t>
            </w:r>
            <w:r>
              <w:rPr>
                <w:rFonts w:hAnsi="宋体"/>
                <w:color w:val="auto"/>
                <w:sz w:val="24"/>
              </w:rPr>
              <w:t>之间，对附近居民不会产生明显的影响，但若在住宅区内高速行驶或鸣喇叭，其噪声级较高，车身</w:t>
            </w:r>
            <w:r>
              <w:rPr>
                <w:color w:val="auto"/>
                <w:sz w:val="24"/>
              </w:rPr>
              <w:t>1m</w:t>
            </w:r>
            <w:r>
              <w:rPr>
                <w:rFonts w:hAnsi="宋体"/>
                <w:color w:val="auto"/>
                <w:sz w:val="24"/>
              </w:rPr>
              <w:t>处可达</w:t>
            </w:r>
            <w:r>
              <w:rPr>
                <w:color w:val="auto"/>
                <w:sz w:val="24"/>
              </w:rPr>
              <w:t>80dB(A)</w:t>
            </w:r>
            <w:r>
              <w:rPr>
                <w:rFonts w:hAnsi="宋体"/>
                <w:color w:val="auto"/>
                <w:sz w:val="24"/>
              </w:rPr>
              <w:t>，对附近居民就会产生一定影响，因此应加强住宅区内的交通管理，限速在</w:t>
            </w:r>
            <w:r>
              <w:rPr>
                <w:color w:val="auto"/>
                <w:sz w:val="24"/>
              </w:rPr>
              <w:t>10km/h</w:t>
            </w:r>
            <w:r>
              <w:rPr>
                <w:rFonts w:hAnsi="宋体"/>
                <w:color w:val="auto"/>
                <w:sz w:val="24"/>
              </w:rPr>
              <w:t>以下，禁鸣喇叭，采取上述措施后，该类噪声对周围环境影响不大。</w:t>
            </w:r>
          </w:p>
          <w:p w14:paraId="7A64BE0A">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rPr>
            </w:pPr>
            <w:r>
              <w:rPr>
                <w:rFonts w:hint="eastAsia" w:hAnsi="宋体"/>
                <w:color w:val="auto"/>
                <w:sz w:val="24"/>
                <w:lang w:eastAsia="zh-CN"/>
              </w:rPr>
              <w:t>（</w:t>
            </w:r>
            <w:r>
              <w:rPr>
                <w:rFonts w:hint="eastAsia" w:hAnsi="宋体"/>
                <w:color w:val="auto"/>
                <w:sz w:val="24"/>
                <w:lang w:val="en-US" w:eastAsia="zh-CN"/>
              </w:rPr>
              <w:t>2</w:t>
            </w:r>
            <w:r>
              <w:rPr>
                <w:rFonts w:hint="eastAsia" w:hAnsi="宋体"/>
                <w:color w:val="auto"/>
                <w:sz w:val="24"/>
                <w:lang w:eastAsia="zh-CN"/>
              </w:rPr>
              <w:t>）</w:t>
            </w:r>
            <w:r>
              <w:rPr>
                <w:rFonts w:hAnsi="宋体"/>
                <w:color w:val="auto"/>
                <w:sz w:val="24"/>
              </w:rPr>
              <w:t>地下车库入口噪声对住户的影响分析</w:t>
            </w:r>
          </w:p>
          <w:p w14:paraId="792506AF">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rFonts w:hint="eastAsia"/>
                <w:color w:val="auto"/>
                <w:sz w:val="24"/>
                <w:lang w:val="sq-AL"/>
              </w:rPr>
            </w:pPr>
            <w:r>
              <w:rPr>
                <w:rFonts w:hAnsi="宋体"/>
                <w:color w:val="auto"/>
                <w:sz w:val="24"/>
                <w:lang w:val="sq-AL"/>
              </w:rPr>
              <w:t>从地下车库出入口进出的车辆均为住户的私家车，以小型车辆为主。通过对同类型地下车库出入口类比监测结果显示，小型车辆在进出出入口时，</w:t>
            </w:r>
            <w:r>
              <w:rPr>
                <w:color w:val="auto"/>
                <w:sz w:val="24"/>
                <w:lang w:val="sq-AL"/>
              </w:rPr>
              <w:t>5</w:t>
            </w:r>
            <w:r>
              <w:rPr>
                <w:rFonts w:hint="eastAsia"/>
                <w:color w:val="auto"/>
                <w:sz w:val="24"/>
                <w:lang w:val="sq-AL"/>
              </w:rPr>
              <w:t>m</w:t>
            </w:r>
            <w:r>
              <w:rPr>
                <w:rFonts w:hAnsi="宋体"/>
                <w:color w:val="auto"/>
                <w:sz w:val="24"/>
                <w:lang w:val="sq-AL"/>
              </w:rPr>
              <w:t>处噪声级在</w:t>
            </w:r>
            <w:r>
              <w:rPr>
                <w:color w:val="auto"/>
                <w:sz w:val="24"/>
                <w:lang w:val="sq-AL"/>
              </w:rPr>
              <w:t>62.3dB(A)</w:t>
            </w:r>
            <w:r>
              <w:rPr>
                <w:rFonts w:hAnsi="宋体"/>
                <w:color w:val="auto"/>
                <w:sz w:val="24"/>
                <w:lang w:val="sq-AL"/>
              </w:rPr>
              <w:t>左右，按</w:t>
            </w:r>
            <w:r>
              <w:rPr>
                <w:rFonts w:hAnsi="宋体"/>
                <w:color w:val="auto"/>
                <w:sz w:val="24"/>
              </w:rPr>
              <w:t>线源衰减模式</w:t>
            </w:r>
            <w:r>
              <w:rPr>
                <w:color w:val="auto"/>
                <w:sz w:val="24"/>
              </w:rPr>
              <w:t>Lp</w:t>
            </w:r>
            <w:r>
              <w:rPr>
                <w:color w:val="auto"/>
                <w:sz w:val="24"/>
                <w:vertAlign w:val="subscript"/>
              </w:rPr>
              <w:t>2</w:t>
            </w:r>
            <w:r>
              <w:rPr>
                <w:color w:val="auto"/>
                <w:sz w:val="24"/>
              </w:rPr>
              <w:t>=Lp</w:t>
            </w:r>
            <w:r>
              <w:rPr>
                <w:color w:val="auto"/>
                <w:sz w:val="24"/>
                <w:vertAlign w:val="subscript"/>
              </w:rPr>
              <w:t>1</w:t>
            </w:r>
            <w:r>
              <w:rPr>
                <w:color w:val="auto"/>
                <w:sz w:val="24"/>
              </w:rPr>
              <w:t>-10lg(r</w:t>
            </w:r>
            <w:r>
              <w:rPr>
                <w:color w:val="auto"/>
                <w:sz w:val="24"/>
                <w:vertAlign w:val="subscript"/>
              </w:rPr>
              <w:t>2</w:t>
            </w:r>
            <w:r>
              <w:rPr>
                <w:color w:val="auto"/>
                <w:sz w:val="24"/>
              </w:rPr>
              <w:t>/r</w:t>
            </w:r>
            <w:r>
              <w:rPr>
                <w:color w:val="auto"/>
                <w:sz w:val="24"/>
                <w:vertAlign w:val="subscript"/>
              </w:rPr>
              <w:t>1</w:t>
            </w:r>
            <w:r>
              <w:rPr>
                <w:color w:val="auto"/>
                <w:sz w:val="24"/>
              </w:rPr>
              <w:t>)</w:t>
            </w:r>
            <w:r>
              <w:rPr>
                <w:rFonts w:hAnsi="宋体"/>
                <w:color w:val="auto"/>
                <w:sz w:val="24"/>
              </w:rPr>
              <w:t>，计算可知车库噪声对周边环境的噪声贡献值昼间在</w:t>
            </w:r>
            <w:r>
              <w:rPr>
                <w:color w:val="auto"/>
                <w:sz w:val="24"/>
              </w:rPr>
              <w:t>27m</w:t>
            </w:r>
            <w:r>
              <w:rPr>
                <w:rFonts w:hAnsi="宋体"/>
                <w:color w:val="auto"/>
                <w:sz w:val="24"/>
              </w:rPr>
              <w:t>以外才可达到</w:t>
            </w:r>
            <w:r>
              <w:rPr>
                <w:color w:val="auto"/>
                <w:sz w:val="24"/>
              </w:rPr>
              <w:t>《社会生活环境噪声排放标准》（GB22337-2008）中2类标准</w:t>
            </w:r>
            <w:r>
              <w:rPr>
                <w:rFonts w:hint="eastAsia"/>
                <w:color w:val="auto"/>
                <w:sz w:val="24"/>
              </w:rPr>
              <w:t>。</w:t>
            </w:r>
          </w:p>
          <w:p w14:paraId="4779D2F1">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lang w:val="sq-AL"/>
              </w:rPr>
            </w:pPr>
            <w:r>
              <w:rPr>
                <w:rFonts w:hAnsi="宋体"/>
                <w:color w:val="auto"/>
                <w:sz w:val="24"/>
                <w:lang w:val="sq-AL"/>
              </w:rPr>
              <w:t>由此可见，汽车进出地下车库时势必会对周围居民正常生活产生一定的影响。由于汽车噪声属突发性噪声，尤其夜间仍有可能对居民产生不利影响，建设单位应采取以下各项噪声防治措施：</w:t>
            </w:r>
          </w:p>
          <w:p w14:paraId="11DA8C12">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lang w:val="sq-AL"/>
              </w:rPr>
            </w:pPr>
            <w:r>
              <w:rPr>
                <w:rFonts w:hAnsi="宋体"/>
                <w:color w:val="auto"/>
                <w:sz w:val="24"/>
                <w:lang w:val="sq-AL"/>
              </w:rPr>
              <w:t>①</w:t>
            </w:r>
            <w:r>
              <w:rPr>
                <w:rFonts w:hAnsi="宋体"/>
                <w:color w:val="auto"/>
                <w:sz w:val="24"/>
              </w:rPr>
              <w:t>出入口坡道部位加筑隔声防护墙和隔声顶棚</w:t>
            </w:r>
            <w:r>
              <w:rPr>
                <w:color w:val="auto"/>
                <w:sz w:val="24"/>
              </w:rPr>
              <w:t>(</w:t>
            </w:r>
            <w:r>
              <w:rPr>
                <w:rFonts w:hAnsi="宋体"/>
                <w:color w:val="auto"/>
                <w:sz w:val="24"/>
              </w:rPr>
              <w:t>屏蔽</w:t>
            </w:r>
            <w:r>
              <w:rPr>
                <w:color w:val="auto"/>
                <w:sz w:val="24"/>
              </w:rPr>
              <w:t>8dB</w:t>
            </w:r>
            <w:r>
              <w:rPr>
                <w:rFonts w:hAnsi="宋体"/>
                <w:color w:val="auto"/>
                <w:sz w:val="24"/>
              </w:rPr>
              <w:t>计</w:t>
            </w:r>
            <w:r>
              <w:rPr>
                <w:color w:val="auto"/>
                <w:sz w:val="24"/>
              </w:rPr>
              <w:t>)</w:t>
            </w:r>
            <w:r>
              <w:rPr>
                <w:rFonts w:hAnsi="宋体"/>
                <w:color w:val="auto"/>
                <w:sz w:val="24"/>
              </w:rPr>
              <w:t>；</w:t>
            </w:r>
          </w:p>
          <w:p w14:paraId="1BB7332A">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lang w:val="sq-AL"/>
              </w:rPr>
            </w:pPr>
            <w:r>
              <w:rPr>
                <w:rFonts w:hAnsi="宋体"/>
                <w:color w:val="auto"/>
                <w:sz w:val="24"/>
                <w:lang w:val="sq-AL"/>
              </w:rPr>
              <w:t>②在</w:t>
            </w:r>
            <w:r>
              <w:rPr>
                <w:rFonts w:hAnsi="宋体"/>
                <w:color w:val="auto"/>
                <w:sz w:val="24"/>
              </w:rPr>
              <w:t>地下车库出入口隔声棚内安装吸声材料、地面采用防噪声改性沥青</w:t>
            </w:r>
            <w:r>
              <w:rPr>
                <w:rFonts w:hAnsi="宋体"/>
                <w:color w:val="auto"/>
                <w:sz w:val="24"/>
                <w:lang w:val="sq-AL"/>
              </w:rPr>
              <w:t>；</w:t>
            </w:r>
          </w:p>
          <w:p w14:paraId="2287B86C">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lang w:val="sq-AL"/>
              </w:rPr>
            </w:pPr>
            <w:r>
              <w:rPr>
                <w:rFonts w:hAnsi="宋体"/>
                <w:color w:val="auto"/>
                <w:sz w:val="24"/>
                <w:lang w:val="sq-AL"/>
              </w:rPr>
              <w:t>③靠近车库出入口的居民采用中空玻璃窗户，可保证室内声环境达标；</w:t>
            </w:r>
          </w:p>
          <w:p w14:paraId="7ED0AF98">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lang w:val="sq-AL"/>
              </w:rPr>
            </w:pPr>
            <w:r>
              <w:rPr>
                <w:rFonts w:hAnsi="宋体"/>
                <w:color w:val="auto"/>
                <w:sz w:val="24"/>
                <w:lang w:val="sq-AL"/>
              </w:rPr>
              <w:t>④严格控制车辆进出车库出入口的速度，不得超过</w:t>
            </w:r>
            <w:r>
              <w:rPr>
                <w:color w:val="auto"/>
                <w:sz w:val="24"/>
                <w:lang w:val="sq-AL"/>
              </w:rPr>
              <w:t>10km/h</w:t>
            </w:r>
            <w:r>
              <w:rPr>
                <w:rFonts w:hAnsi="宋体"/>
                <w:color w:val="auto"/>
                <w:sz w:val="24"/>
                <w:lang w:val="sq-AL"/>
              </w:rPr>
              <w:t>；</w:t>
            </w:r>
          </w:p>
          <w:p w14:paraId="00CD70FE">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color w:val="auto"/>
                <w:sz w:val="24"/>
                <w:lang w:val="sq-AL"/>
              </w:rPr>
            </w:pPr>
            <w:r>
              <w:rPr>
                <w:rFonts w:hAnsi="宋体"/>
                <w:color w:val="auto"/>
                <w:sz w:val="24"/>
                <w:lang w:val="sq-AL"/>
              </w:rPr>
              <w:t>⑤噪声防治须由有资质的专业单位设计、实施。</w:t>
            </w:r>
          </w:p>
          <w:p w14:paraId="0C9727F1">
            <w:pPr>
              <w:keepNext w:val="0"/>
              <w:keepLines w:val="0"/>
              <w:pageBreakBefore w:val="0"/>
              <w:widowControl w:val="0"/>
              <w:kinsoku/>
              <w:wordWrap/>
              <w:overflowPunct/>
              <w:topLinePunct w:val="0"/>
              <w:bidi w:val="0"/>
              <w:adjustRightInd/>
              <w:snapToGrid/>
              <w:spacing w:beforeAutospacing="0" w:line="360" w:lineRule="auto"/>
              <w:ind w:left="0" w:leftChars="0" w:right="0" w:rightChars="0" w:firstLine="480" w:firstLineChars="200"/>
              <w:jc w:val="both"/>
              <w:outlineLvl w:val="9"/>
              <w:rPr>
                <w:rFonts w:ascii="Times New Roman"/>
                <w:snapToGrid/>
                <w:color w:val="auto"/>
                <w:sz w:val="24"/>
              </w:rPr>
            </w:pPr>
            <w:r>
              <w:rPr>
                <w:rFonts w:hAnsi="宋体"/>
                <w:color w:val="auto"/>
                <w:sz w:val="24"/>
                <w:lang w:val="sq-AL"/>
              </w:rPr>
              <w:t>对本项目地下车库出入口均采取上述措施后，可降噪</w:t>
            </w:r>
            <w:r>
              <w:rPr>
                <w:color w:val="auto"/>
                <w:sz w:val="24"/>
                <w:lang w:val="sq-AL"/>
              </w:rPr>
              <w:t>10-15dB(A)</w:t>
            </w:r>
            <w:r>
              <w:rPr>
                <w:rFonts w:hAnsi="宋体"/>
                <w:color w:val="auto"/>
                <w:sz w:val="24"/>
                <w:lang w:val="sq-AL"/>
              </w:rPr>
              <w:t>左右，</w:t>
            </w:r>
            <w:r>
              <w:rPr>
                <w:rFonts w:hint="eastAsia" w:hAnsi="宋体"/>
                <w:color w:val="auto"/>
                <w:sz w:val="24"/>
                <w:lang w:val="sq-AL" w:eastAsia="zh-CN"/>
              </w:rPr>
              <w:t>然后满足</w:t>
            </w:r>
            <w:r>
              <w:rPr>
                <w:rFonts w:hint="default" w:ascii="Times New Roman" w:hAnsi="Times New Roman" w:eastAsia="宋体" w:cs="Times New Roman"/>
                <w:b w:val="0"/>
                <w:i w:val="0"/>
                <w:caps w:val="0"/>
                <w:color w:val="auto"/>
                <w:spacing w:val="0"/>
                <w:sz w:val="24"/>
                <w:szCs w:val="24"/>
                <w:shd w:val="clear" w:fill="FFFFFF"/>
              </w:rPr>
              <w:t>《机动车停车场（库）环境保护设计规程修订研究</w:t>
            </w:r>
            <w:r>
              <w:rPr>
                <w:rFonts w:hint="default" w:ascii="Times New Roman" w:hAnsi="Times New Roman" w:cs="Times New Roman"/>
                <w:color w:val="auto"/>
                <w:spacing w:val="0"/>
                <w:sz w:val="24"/>
              </w:rPr>
              <w:t>》</w:t>
            </w:r>
            <w:r>
              <w:rPr>
                <w:rFonts w:hint="eastAsia" w:cs="Times New Roman"/>
                <w:color w:val="auto"/>
                <w:spacing w:val="0"/>
                <w:sz w:val="24"/>
                <w:lang w:eastAsia="zh-CN"/>
              </w:rPr>
              <w:t>中“停车场进出口在</w:t>
            </w:r>
            <w:r>
              <w:rPr>
                <w:rFonts w:hint="eastAsia" w:cs="Times New Roman"/>
                <w:color w:val="auto"/>
                <w:spacing w:val="0"/>
                <w:sz w:val="24"/>
                <w:lang w:val="en-US" w:eastAsia="zh-CN"/>
              </w:rPr>
              <w:t>2类区设置距离控制在8米，</w:t>
            </w:r>
            <w:r>
              <w:rPr>
                <w:rFonts w:hint="eastAsia" w:cs="Times New Roman"/>
                <w:color w:val="auto"/>
                <w:spacing w:val="0"/>
                <w:sz w:val="24"/>
                <w:lang w:eastAsia="zh-CN"/>
              </w:rPr>
              <w:t>在</w:t>
            </w:r>
            <w:r>
              <w:rPr>
                <w:rFonts w:hint="eastAsia" w:cs="Times New Roman"/>
                <w:color w:val="auto"/>
                <w:spacing w:val="0"/>
                <w:sz w:val="24"/>
                <w:lang w:val="en-US" w:eastAsia="zh-CN"/>
              </w:rPr>
              <w:t>1类区设置距离控制在10米”的要求后</w:t>
            </w:r>
            <w:r>
              <w:rPr>
                <w:rFonts w:hAnsi="宋体"/>
                <w:color w:val="auto"/>
                <w:sz w:val="24"/>
                <w:lang w:val="sq-AL"/>
              </w:rPr>
              <w:t>能确保出入口附近住宅楼噪声达到</w:t>
            </w:r>
            <w:r>
              <w:rPr>
                <w:rFonts w:ascii="Times New Roman"/>
                <w:color w:val="auto"/>
                <w:sz w:val="24"/>
              </w:rPr>
              <w:t>《社会生活环境噪声排放标准》（GB22337-2008）中2标准</w:t>
            </w:r>
            <w:r>
              <w:rPr>
                <w:rFonts w:hint="eastAsia"/>
                <w:color w:val="auto"/>
                <w:sz w:val="24"/>
                <w:lang w:eastAsia="zh-CN"/>
              </w:rPr>
              <w:t>。</w:t>
            </w:r>
            <w:r>
              <w:rPr>
                <w:rFonts w:ascii="Times New Roman"/>
                <w:snapToGrid/>
                <w:color w:val="auto"/>
                <w:sz w:val="24"/>
              </w:rPr>
              <w:t>因此，本项目噪声对周围环境敏感点影响较小。</w:t>
            </w:r>
          </w:p>
          <w:p w14:paraId="489E9633">
            <w:pPr>
              <w:spacing w:line="360" w:lineRule="auto"/>
              <w:ind w:firstLine="480"/>
              <w:rPr>
                <w:b/>
                <w:color w:val="auto"/>
                <w:sz w:val="24"/>
                <w:szCs w:val="24"/>
              </w:rPr>
            </w:pPr>
            <w:r>
              <w:rPr>
                <w:b/>
                <w:color w:val="auto"/>
                <w:sz w:val="24"/>
                <w:szCs w:val="24"/>
              </w:rPr>
              <w:t>4.固体废物环境影响分析</w:t>
            </w:r>
          </w:p>
          <w:p w14:paraId="566ACBF8">
            <w:pPr>
              <w:keepNext w:val="0"/>
              <w:keepLines w:val="0"/>
              <w:pageBreakBefore w:val="0"/>
              <w:widowControl w:val="0"/>
              <w:kinsoku/>
              <w:wordWrap/>
              <w:overflowPunct/>
              <w:topLinePunct w:val="0"/>
              <w:bidi w:val="0"/>
              <w:adjustRightInd/>
              <w:snapToGrid/>
              <w:spacing w:line="360" w:lineRule="auto"/>
              <w:ind w:left="0" w:leftChars="0" w:right="0" w:rightChars="0" w:firstLine="480" w:firstLineChars="200"/>
              <w:jc w:val="both"/>
              <w:textAlignment w:val="auto"/>
              <w:outlineLvl w:val="9"/>
              <w:rPr>
                <w:color w:val="auto"/>
                <w:sz w:val="24"/>
                <w:szCs w:val="24"/>
              </w:rPr>
            </w:pPr>
            <w:r>
              <w:rPr>
                <w:color w:val="auto"/>
                <w:sz w:val="24"/>
                <w:szCs w:val="24"/>
              </w:rPr>
              <w:t>本项目固体废物主要为</w:t>
            </w:r>
            <w:r>
              <w:rPr>
                <w:rFonts w:hint="eastAsia"/>
                <w:color w:val="auto"/>
                <w:sz w:val="24"/>
                <w:szCs w:val="24"/>
              </w:rPr>
              <w:t>居民</w:t>
            </w:r>
            <w:r>
              <w:rPr>
                <w:color w:val="auto"/>
                <w:sz w:val="24"/>
                <w:szCs w:val="24"/>
              </w:rPr>
              <w:t>生活垃圾</w:t>
            </w:r>
            <w:r>
              <w:rPr>
                <w:rFonts w:hint="eastAsia"/>
                <w:color w:val="auto"/>
                <w:sz w:val="24"/>
                <w:szCs w:val="24"/>
                <w:lang w:eastAsia="zh-CN"/>
              </w:rPr>
              <w:t>、</w:t>
            </w:r>
            <w:r>
              <w:rPr>
                <w:rFonts w:hint="default" w:ascii="Times New Roman" w:hAnsi="Times New Roman" w:eastAsia="宋体" w:cs="Times New Roman"/>
                <w:color w:val="auto"/>
                <w:sz w:val="24"/>
                <w:szCs w:val="24"/>
              </w:rPr>
              <w:t>商铺及</w:t>
            </w:r>
            <w:r>
              <w:rPr>
                <w:rFonts w:hint="eastAsia" w:cs="Times New Roman"/>
                <w:bCs/>
                <w:color w:val="auto"/>
                <w:sz w:val="24"/>
                <w:szCs w:val="24"/>
                <w:lang w:eastAsia="zh-CN"/>
              </w:rPr>
              <w:t>配套公建设施用房</w:t>
            </w:r>
            <w:r>
              <w:rPr>
                <w:rFonts w:hint="default" w:ascii="Times New Roman" w:hAnsi="Times New Roman" w:eastAsia="宋体" w:cs="Times New Roman"/>
                <w:color w:val="auto"/>
                <w:sz w:val="24"/>
                <w:szCs w:val="24"/>
              </w:rPr>
              <w:t>垃圾</w:t>
            </w:r>
            <w:r>
              <w:rPr>
                <w:rFonts w:hint="eastAsia"/>
                <w:color w:val="auto"/>
                <w:sz w:val="24"/>
                <w:szCs w:val="24"/>
                <w:lang w:eastAsia="zh-CN"/>
              </w:rPr>
              <w:t>，其</w:t>
            </w:r>
            <w:r>
              <w:rPr>
                <w:color w:val="auto"/>
                <w:sz w:val="24"/>
                <w:szCs w:val="24"/>
              </w:rPr>
              <w:t>产生</w:t>
            </w:r>
            <w:r>
              <w:rPr>
                <w:rFonts w:hint="eastAsia"/>
                <w:color w:val="auto"/>
                <w:sz w:val="24"/>
                <w:szCs w:val="24"/>
                <w:lang w:eastAsia="zh-CN"/>
              </w:rPr>
              <w:t>总</w:t>
            </w:r>
            <w:r>
              <w:rPr>
                <w:color w:val="auto"/>
                <w:sz w:val="24"/>
                <w:szCs w:val="24"/>
              </w:rPr>
              <w:t>量约</w:t>
            </w:r>
            <w:r>
              <w:rPr>
                <w:rFonts w:hint="eastAsia" w:cs="Times New Roman"/>
                <w:color w:val="auto"/>
                <w:sz w:val="24"/>
                <w:szCs w:val="24"/>
                <w:lang w:val="en-US" w:eastAsia="zh-CN"/>
              </w:rPr>
              <w:t>507.423</w:t>
            </w:r>
            <w:r>
              <w:rPr>
                <w:color w:val="auto"/>
                <w:sz w:val="24"/>
                <w:szCs w:val="24"/>
              </w:rPr>
              <w:t>t/a。</w:t>
            </w:r>
            <w:r>
              <w:rPr>
                <w:rFonts w:hint="eastAsia"/>
                <w:color w:val="auto"/>
                <w:sz w:val="24"/>
                <w:szCs w:val="24"/>
                <w:lang w:eastAsia="zh-CN"/>
              </w:rPr>
              <w:t>项目</w:t>
            </w:r>
            <w:r>
              <w:rPr>
                <w:rFonts w:hint="default" w:ascii="Times New Roman" w:hAnsi="Times New Roman" w:cs="Times New Roman" w:eastAsiaTheme="minorEastAsia"/>
                <w:color w:val="auto"/>
                <w:sz w:val="24"/>
                <w:szCs w:val="24"/>
              </w:rPr>
              <w:t>对垃圾按功能区域或建筑区域划分垃圾清理服务区</w:t>
            </w:r>
            <w:r>
              <w:rPr>
                <w:rFonts w:hint="eastAsia"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rPr>
              <w:t>分类收集</w:t>
            </w:r>
            <w:r>
              <w:rPr>
                <w:rFonts w:hint="eastAsia" w:cs="Times New Roman" w:eastAsiaTheme="minorEastAsia"/>
                <w:color w:val="auto"/>
                <w:sz w:val="24"/>
                <w:szCs w:val="24"/>
                <w:lang w:eastAsia="zh-CN"/>
              </w:rPr>
              <w:t>，</w:t>
            </w:r>
            <w:r>
              <w:rPr>
                <w:rFonts w:hAnsi="宋体"/>
                <w:color w:val="auto"/>
                <w:sz w:val="24"/>
                <w:szCs w:val="24"/>
              </w:rPr>
              <w:t>垃圾收集后经垃圾收集点统一收运，再交由环卫部门统一处理，日产日清。垃圾清运途中，应采取有效的密闭或覆盖措施，避免二次污染。</w:t>
            </w:r>
          </w:p>
          <w:p w14:paraId="5CE6E1C2">
            <w:pPr>
              <w:spacing w:line="360" w:lineRule="auto"/>
              <w:ind w:firstLine="480" w:firstLineChars="200"/>
              <w:rPr>
                <w:bCs/>
                <w:color w:val="auto"/>
                <w:sz w:val="24"/>
              </w:rPr>
            </w:pPr>
            <w:r>
              <w:rPr>
                <w:rFonts w:hAnsi="宋体"/>
                <w:color w:val="auto"/>
                <w:sz w:val="24"/>
              </w:rPr>
              <w:t>为了确保</w:t>
            </w:r>
            <w:r>
              <w:rPr>
                <w:rFonts w:hAnsi="宋体"/>
                <w:bCs/>
                <w:color w:val="auto"/>
                <w:sz w:val="24"/>
              </w:rPr>
              <w:t>垃圾收集点</w:t>
            </w:r>
            <w:r>
              <w:rPr>
                <w:rFonts w:hAnsi="宋体"/>
                <w:color w:val="auto"/>
                <w:sz w:val="24"/>
              </w:rPr>
              <w:t>不会影响小区环境和人群健康，环评要求：对</w:t>
            </w:r>
            <w:r>
              <w:rPr>
                <w:rFonts w:hAnsi="宋体"/>
                <w:bCs/>
                <w:color w:val="auto"/>
                <w:sz w:val="24"/>
              </w:rPr>
              <w:t>垃圾收集点</w:t>
            </w:r>
            <w:r>
              <w:rPr>
                <w:rFonts w:hAnsi="宋体"/>
                <w:color w:val="auto"/>
                <w:sz w:val="24"/>
              </w:rPr>
              <w:t>实施密闭，防治垃圾飞散或垃圾渗透液溢出；加强</w:t>
            </w:r>
            <w:r>
              <w:rPr>
                <w:rFonts w:hAnsi="宋体"/>
                <w:bCs/>
                <w:color w:val="auto"/>
                <w:sz w:val="24"/>
              </w:rPr>
              <w:t>垃圾收集点</w:t>
            </w:r>
            <w:r>
              <w:rPr>
                <w:rFonts w:hAnsi="宋体"/>
                <w:color w:val="auto"/>
                <w:sz w:val="24"/>
              </w:rPr>
              <w:t>管理，派专人对</w:t>
            </w:r>
            <w:r>
              <w:rPr>
                <w:rFonts w:hAnsi="宋体"/>
                <w:bCs/>
                <w:color w:val="auto"/>
                <w:sz w:val="24"/>
              </w:rPr>
              <w:t>垃圾收集点</w:t>
            </w:r>
            <w:r>
              <w:rPr>
                <w:rFonts w:hAnsi="宋体"/>
                <w:color w:val="auto"/>
                <w:sz w:val="24"/>
              </w:rPr>
              <w:t>定期消毒和灭蝇</w:t>
            </w:r>
            <w:r>
              <w:rPr>
                <w:rFonts w:hAnsi="宋体"/>
                <w:bCs/>
                <w:color w:val="auto"/>
                <w:sz w:val="24"/>
              </w:rPr>
              <w:t>。确保本项目的垃圾不产生二次污染，为小区提供一个干净，整洁的居住环境。</w:t>
            </w:r>
          </w:p>
          <w:p w14:paraId="514AA12E">
            <w:pPr>
              <w:spacing w:line="360" w:lineRule="auto"/>
              <w:ind w:firstLine="480" w:firstLineChars="200"/>
              <w:rPr>
                <w:color w:val="auto"/>
                <w:sz w:val="24"/>
              </w:rPr>
            </w:pPr>
            <w:r>
              <w:rPr>
                <w:rFonts w:hAnsi="宋体"/>
                <w:color w:val="auto"/>
                <w:sz w:val="24"/>
              </w:rPr>
              <w:t>通过定期清运、及时清扫和消毒，可保证</w:t>
            </w:r>
            <w:r>
              <w:rPr>
                <w:rFonts w:hAnsi="宋体"/>
                <w:bCs/>
                <w:color w:val="auto"/>
                <w:sz w:val="24"/>
              </w:rPr>
              <w:t>垃圾收集点</w:t>
            </w:r>
            <w:r>
              <w:rPr>
                <w:rFonts w:hAnsi="宋体"/>
                <w:color w:val="auto"/>
                <w:sz w:val="24"/>
              </w:rPr>
              <w:t>不会对小区环境带来较大影响。加之</w:t>
            </w:r>
            <w:r>
              <w:rPr>
                <w:rFonts w:hAnsi="宋体"/>
                <w:bCs/>
                <w:color w:val="auto"/>
                <w:sz w:val="24"/>
              </w:rPr>
              <w:t>垃圾收集点</w:t>
            </w:r>
            <w:r>
              <w:rPr>
                <w:rFonts w:hAnsi="宋体"/>
                <w:color w:val="auto"/>
                <w:sz w:val="24"/>
              </w:rPr>
              <w:t>种植植被，恶臭对小区外环境的影响不大。</w:t>
            </w:r>
          </w:p>
          <w:p w14:paraId="62A3570F">
            <w:pPr>
              <w:autoSpaceDE w:val="0"/>
              <w:autoSpaceDN w:val="0"/>
              <w:adjustRightInd w:val="0"/>
              <w:spacing w:line="360" w:lineRule="auto"/>
              <w:ind w:firstLine="480" w:firstLineChars="200"/>
              <w:rPr>
                <w:color w:val="auto"/>
                <w:sz w:val="24"/>
              </w:rPr>
            </w:pPr>
            <w:r>
              <w:rPr>
                <w:rFonts w:hAnsi="宋体"/>
                <w:color w:val="auto"/>
                <w:sz w:val="24"/>
              </w:rPr>
              <w:t>综上所述，在采取以上措施后，项目运营期产生的固体废弃物均能得到清洁处理和处置，运营期产生的固废对项目周围环境无明显影响。</w:t>
            </w:r>
          </w:p>
          <w:p w14:paraId="1D4F9AC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b/>
                <w:bCs/>
                <w:color w:val="auto"/>
                <w:sz w:val="24"/>
              </w:rPr>
            </w:pPr>
            <w:r>
              <w:rPr>
                <w:rFonts w:hint="eastAsia"/>
                <w:b/>
                <w:bCs/>
                <w:color w:val="auto"/>
                <w:sz w:val="24"/>
                <w:lang w:val="en-US" w:eastAsia="zh-CN"/>
              </w:rPr>
              <w:t>5、</w:t>
            </w:r>
            <w:r>
              <w:rPr>
                <w:rFonts w:hint="eastAsia"/>
                <w:b/>
                <w:bCs/>
                <w:color w:val="auto"/>
                <w:sz w:val="24"/>
              </w:rPr>
              <w:t>营运期</w:t>
            </w:r>
            <w:r>
              <w:rPr>
                <w:b/>
                <w:bCs/>
                <w:color w:val="auto"/>
                <w:sz w:val="24"/>
              </w:rPr>
              <w:t>生态</w:t>
            </w:r>
            <w:r>
              <w:rPr>
                <w:rFonts w:hint="eastAsia"/>
                <w:b/>
                <w:bCs/>
                <w:color w:val="auto"/>
                <w:sz w:val="24"/>
              </w:rPr>
              <w:t>环境</w:t>
            </w:r>
            <w:r>
              <w:rPr>
                <w:b/>
                <w:bCs/>
                <w:color w:val="auto"/>
                <w:sz w:val="24"/>
              </w:rPr>
              <w:t>影响分析</w:t>
            </w:r>
          </w:p>
          <w:p w14:paraId="3201127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r>
              <w:rPr>
                <w:rFonts w:hint="eastAsia"/>
                <w:color w:val="auto"/>
                <w:sz w:val="24"/>
                <w:lang w:val="en-US" w:eastAsia="zh-CN"/>
              </w:rPr>
              <w:t>5.1、</w:t>
            </w:r>
            <w:r>
              <w:rPr>
                <w:rFonts w:hint="eastAsia"/>
                <w:color w:val="auto"/>
                <w:sz w:val="24"/>
              </w:rPr>
              <w:t>项目运营对生物多样性的影响</w:t>
            </w:r>
          </w:p>
          <w:p w14:paraId="5F8FC16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r>
              <w:rPr>
                <w:rFonts w:hint="eastAsia"/>
                <w:color w:val="auto"/>
                <w:sz w:val="24"/>
              </w:rPr>
              <w:t>经现场踏勘，项目用地范围内不存在濒危物种，植被主要为农田植被和荒草地；项目运营后，项目范围内除建筑用地以外的土地将被人工引进的其他植被占据，本次工程的运营不会造成植物和动物的物种灭绝，对项目范围内的生物多样性影响较小。</w:t>
            </w:r>
          </w:p>
          <w:p w14:paraId="6EFCDCB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r>
              <w:rPr>
                <w:rFonts w:hint="eastAsia"/>
                <w:color w:val="auto"/>
                <w:sz w:val="24"/>
                <w:lang w:val="en-US" w:eastAsia="zh-CN"/>
              </w:rPr>
              <w:t>5.2、</w:t>
            </w:r>
            <w:r>
              <w:rPr>
                <w:rFonts w:hint="eastAsia"/>
                <w:color w:val="auto"/>
                <w:sz w:val="24"/>
              </w:rPr>
              <w:t>工程运营对植被的影响</w:t>
            </w:r>
          </w:p>
          <w:p w14:paraId="0D0E134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r>
              <w:rPr>
                <w:rFonts w:hint="eastAsia"/>
                <w:color w:val="auto"/>
                <w:sz w:val="24"/>
              </w:rPr>
              <w:t>本项目区内植被覆盖率较高，植被较为简单，项目运行后，将通过人工绿化方式进行补偿，居住小区的绿化率也将达到3</w:t>
            </w:r>
            <w:r>
              <w:rPr>
                <w:rFonts w:hint="eastAsia"/>
                <w:color w:val="auto"/>
                <w:sz w:val="24"/>
                <w:lang w:val="en-US" w:eastAsia="zh-CN"/>
              </w:rPr>
              <w:t>7.8</w:t>
            </w:r>
            <w:r>
              <w:rPr>
                <w:rFonts w:hint="eastAsia"/>
                <w:color w:val="auto"/>
                <w:sz w:val="24"/>
              </w:rPr>
              <w:t>%，对区域植被造成不利影响。</w:t>
            </w:r>
          </w:p>
          <w:p w14:paraId="3C02C5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r>
              <w:rPr>
                <w:rFonts w:hint="eastAsia"/>
                <w:color w:val="auto"/>
                <w:sz w:val="24"/>
                <w:lang w:val="en-US" w:eastAsia="zh-CN"/>
              </w:rPr>
              <w:t>5.3、</w:t>
            </w:r>
            <w:r>
              <w:rPr>
                <w:rFonts w:hint="eastAsia"/>
                <w:color w:val="auto"/>
                <w:sz w:val="24"/>
              </w:rPr>
              <w:t>外来物种引进的影响</w:t>
            </w:r>
          </w:p>
          <w:p w14:paraId="7AEE30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lang w:val="en-US" w:eastAsia="zh-CN"/>
              </w:rPr>
            </w:pPr>
            <w:r>
              <w:rPr>
                <w:rFonts w:hint="eastAsia"/>
                <w:color w:val="auto"/>
                <w:sz w:val="24"/>
              </w:rPr>
              <w:t>由于项目建成后是一个人工生态系统，需特别注意物种入侵的可能，外来物种的引种或引入对本土种可能造成不良影响，导致项目区内本土种的灭绝或迁移，情况加剧将可能使外来物种向项目区外蔓延，对项目周边产生更大规模的不良影响。因此，本项目不得引入外来物种，以杜绝外来物种入侵可能带来的灾害影响。</w:t>
            </w:r>
          </w:p>
          <w:p w14:paraId="6EAB026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b/>
                <w:bCs/>
                <w:color w:val="auto"/>
                <w:sz w:val="24"/>
              </w:rPr>
            </w:pPr>
            <w:r>
              <w:rPr>
                <w:rFonts w:hint="eastAsia"/>
                <w:b/>
                <w:bCs/>
                <w:color w:val="auto"/>
                <w:sz w:val="24"/>
                <w:lang w:val="en-US" w:eastAsia="zh-CN"/>
              </w:rPr>
              <w:t>6、</w:t>
            </w:r>
            <w:r>
              <w:rPr>
                <w:rFonts w:hint="eastAsia"/>
                <w:b/>
                <w:bCs/>
                <w:color w:val="auto"/>
                <w:sz w:val="24"/>
              </w:rPr>
              <w:t>天然气环境风险简要分析</w:t>
            </w:r>
          </w:p>
          <w:p w14:paraId="7E9EA7F5">
            <w:pPr>
              <w:spacing w:line="360" w:lineRule="auto"/>
              <w:ind w:firstLine="480"/>
              <w:rPr>
                <w:rFonts w:hint="eastAsia"/>
                <w:color w:val="auto"/>
                <w:sz w:val="24"/>
              </w:rPr>
            </w:pPr>
            <w:r>
              <w:rPr>
                <w:rFonts w:hint="eastAsia"/>
                <w:color w:val="auto"/>
                <w:sz w:val="24"/>
              </w:rPr>
              <w:t>项目能源将采用天然气，全部由城市天然气管道直接供给，场地内不设调压站及储气设备。天然气的应用，给人民生活带来了便利，但也存在易燃易爆炸等环境风险。物业服务单位在项目使用后，应加强对天然气管道和设备的日常检查工作，将天然气的环境风向降低到最低。物业服务单位应做到：一旦发现有管道腐蚀、燃气泄漏等情况，应立即上报相关部门，并及时关闭上级阀门；如今后需开挖施工，要对地下天然气管网进行事先摸排，谨慎施工，以防挖段管网，造成燃气泄漏</w:t>
            </w:r>
            <w:bookmarkStart w:id="65" w:name="_GoBack"/>
            <w:bookmarkEnd w:id="65"/>
            <w:r>
              <w:rPr>
                <w:rFonts w:hint="eastAsia"/>
                <w:color w:val="auto"/>
                <w:sz w:val="24"/>
              </w:rPr>
              <w:t>，产生安全隐患；天然气管道及设备要设置防护及警示装置，以告知住户和车辆注意保护和避让；物业服务单位还应在业主中普及天然气安全知识，以宣传栏等方式指导居民安全用气。</w:t>
            </w:r>
          </w:p>
          <w:p w14:paraId="132F6A17">
            <w:pPr>
              <w:spacing w:line="360" w:lineRule="auto"/>
              <w:ind w:firstLine="480"/>
              <w:rPr>
                <w:rFonts w:hint="eastAsia"/>
                <w:b/>
                <w:color w:val="auto"/>
                <w:sz w:val="24"/>
                <w:szCs w:val="24"/>
              </w:rPr>
            </w:pPr>
            <w:r>
              <w:rPr>
                <w:rFonts w:hint="eastAsia"/>
                <w:b/>
                <w:color w:val="auto"/>
                <w:sz w:val="24"/>
                <w:szCs w:val="24"/>
                <w:lang w:val="en-US" w:eastAsia="zh-CN"/>
              </w:rPr>
              <w:t>7、</w:t>
            </w:r>
            <w:r>
              <w:rPr>
                <w:rFonts w:hint="eastAsia"/>
                <w:b/>
                <w:color w:val="auto"/>
                <w:sz w:val="24"/>
                <w:szCs w:val="24"/>
              </w:rPr>
              <w:t>清洁生产</w:t>
            </w:r>
            <w:r>
              <w:rPr>
                <w:rFonts w:hint="eastAsia"/>
                <w:b/>
                <w:color w:val="auto"/>
                <w:sz w:val="24"/>
                <w:szCs w:val="24"/>
                <w:lang w:eastAsia="zh-CN"/>
              </w:rPr>
              <w:t>分析</w:t>
            </w:r>
          </w:p>
          <w:p w14:paraId="08A836CB">
            <w:pPr>
              <w:spacing w:line="360" w:lineRule="auto"/>
              <w:ind w:firstLine="480"/>
              <w:rPr>
                <w:rFonts w:hint="eastAsia"/>
                <w:color w:val="auto"/>
                <w:sz w:val="24"/>
                <w:szCs w:val="24"/>
              </w:rPr>
            </w:pPr>
            <w:r>
              <w:rPr>
                <w:rFonts w:hint="eastAsia"/>
                <w:color w:val="auto"/>
                <w:sz w:val="24"/>
                <w:szCs w:val="24"/>
              </w:rPr>
              <w:t>清洁生产作为21世纪倡导的模式，对项目工程提出了更高的要求。本工程属于房地产开发建设项目，其清洁生产主要针对项目对自然资源的利用，选用设备先进程度、节能降耗、文明施工、环境管理</w:t>
            </w:r>
            <w:r>
              <w:rPr>
                <w:rFonts w:hint="eastAsia"/>
                <w:color w:val="auto"/>
                <w:sz w:val="24"/>
                <w:szCs w:val="24"/>
                <w:lang w:eastAsia="zh-CN"/>
              </w:rPr>
              <w:t>，建筑节能设计</w:t>
            </w:r>
            <w:r>
              <w:rPr>
                <w:rFonts w:hint="eastAsia"/>
                <w:color w:val="auto"/>
                <w:sz w:val="24"/>
                <w:szCs w:val="24"/>
              </w:rPr>
              <w:t>等方面，具体措施有：</w:t>
            </w:r>
          </w:p>
          <w:p w14:paraId="7C3FED65">
            <w:pPr>
              <w:spacing w:line="360" w:lineRule="auto"/>
              <w:ind w:firstLine="480"/>
              <w:rPr>
                <w:rFonts w:hint="eastAsia"/>
                <w:color w:val="auto"/>
                <w:sz w:val="24"/>
                <w:szCs w:val="24"/>
              </w:rPr>
            </w:pPr>
            <w:r>
              <w:rPr>
                <w:rFonts w:hint="eastAsia"/>
                <w:color w:val="auto"/>
                <w:sz w:val="24"/>
                <w:szCs w:val="24"/>
                <w:lang w:val="en-US" w:eastAsia="zh-CN"/>
              </w:rPr>
              <w:t>7.1、</w:t>
            </w:r>
            <w:r>
              <w:rPr>
                <w:rFonts w:hint="eastAsia"/>
                <w:color w:val="auto"/>
                <w:sz w:val="24"/>
                <w:szCs w:val="24"/>
              </w:rPr>
              <w:t>在施工现场内对施工废水设置废水沉淀池，对废水进行初步处理后再利用，建小型隔油池处理机械等的冲洗废水，防止施工废水对水体的污染。完善项目污水处理设施和管网建设，确保项目污水经处理达到相关标准后排放。</w:t>
            </w:r>
          </w:p>
          <w:p w14:paraId="6ED81257">
            <w:pPr>
              <w:spacing w:line="360" w:lineRule="auto"/>
              <w:ind w:firstLine="480"/>
              <w:rPr>
                <w:rFonts w:hint="eastAsia"/>
                <w:color w:val="auto"/>
                <w:sz w:val="24"/>
                <w:szCs w:val="24"/>
              </w:rPr>
            </w:pPr>
            <w:r>
              <w:rPr>
                <w:rFonts w:hint="eastAsia"/>
                <w:color w:val="auto"/>
                <w:sz w:val="24"/>
                <w:szCs w:val="24"/>
                <w:lang w:val="en-US" w:eastAsia="zh-CN"/>
              </w:rPr>
              <w:t>7.2、</w:t>
            </w:r>
            <w:r>
              <w:rPr>
                <w:rFonts w:hint="eastAsia"/>
                <w:color w:val="auto"/>
                <w:sz w:val="24"/>
                <w:szCs w:val="24"/>
              </w:rPr>
              <w:t>施工单位严格按照国家环保总局、建设部环发[2001]56号文对于扬尘的控制，减小项目施工对空气环境质量的影响：施工中采用封闭施工，建筑工地架设2.5～3米高墙，封闭施工现场，采用密目安全网，以减少粉尘飞扬现象，降低粉尘向大气中的排放；运输道路采用硬化路面，车辆出场前一律用毡布覆盖、清洗车轮，并且在施工区出口设置防尘飞扬垫；同时指定专员定期洒水并清扫路面；风速大于3m/s时应停止施工。</w:t>
            </w:r>
          </w:p>
          <w:p w14:paraId="753A6055">
            <w:pPr>
              <w:spacing w:line="360" w:lineRule="auto"/>
              <w:ind w:firstLine="480"/>
              <w:rPr>
                <w:rFonts w:hint="eastAsia"/>
                <w:color w:val="auto"/>
                <w:sz w:val="24"/>
                <w:szCs w:val="24"/>
              </w:rPr>
            </w:pPr>
            <w:r>
              <w:rPr>
                <w:rFonts w:hint="eastAsia"/>
                <w:color w:val="auto"/>
                <w:sz w:val="24"/>
                <w:szCs w:val="24"/>
                <w:lang w:val="en-US" w:eastAsia="zh-CN"/>
              </w:rPr>
              <w:t>7.3、</w:t>
            </w:r>
            <w:r>
              <w:rPr>
                <w:rFonts w:hint="eastAsia"/>
                <w:color w:val="auto"/>
                <w:sz w:val="24"/>
                <w:szCs w:val="24"/>
              </w:rPr>
              <w:t>所有泵、电气设备等均为国家推荐的节能产品；区域内使用的能源电及天然气均为清洁能源。</w:t>
            </w:r>
          </w:p>
          <w:p w14:paraId="0A115CC8">
            <w:pPr>
              <w:spacing w:line="360" w:lineRule="auto"/>
              <w:ind w:firstLine="480"/>
              <w:rPr>
                <w:rFonts w:hint="eastAsia"/>
                <w:color w:val="auto"/>
                <w:sz w:val="24"/>
                <w:szCs w:val="24"/>
              </w:rPr>
            </w:pPr>
            <w:r>
              <w:rPr>
                <w:rFonts w:hint="eastAsia"/>
                <w:color w:val="auto"/>
                <w:sz w:val="24"/>
                <w:szCs w:val="24"/>
                <w:lang w:val="en-US" w:eastAsia="zh-CN"/>
              </w:rPr>
              <w:t>7.4、</w:t>
            </w:r>
            <w:r>
              <w:rPr>
                <w:rFonts w:hint="eastAsia"/>
                <w:color w:val="auto"/>
                <w:sz w:val="24"/>
                <w:szCs w:val="24"/>
              </w:rPr>
              <w:t>区域内禁止鸣喇叭、减速行驶，垃圾分类收集，废电池回收，养成爱护环境、注重卫生的良好习惯。</w:t>
            </w:r>
          </w:p>
          <w:p w14:paraId="441C244A">
            <w:pPr>
              <w:spacing w:line="360" w:lineRule="auto"/>
              <w:ind w:firstLine="480"/>
              <w:rPr>
                <w:rFonts w:hint="eastAsia"/>
                <w:color w:val="auto"/>
                <w:sz w:val="24"/>
                <w:szCs w:val="24"/>
              </w:rPr>
            </w:pPr>
            <w:r>
              <w:rPr>
                <w:rFonts w:hint="eastAsia"/>
                <w:color w:val="auto"/>
                <w:sz w:val="24"/>
                <w:szCs w:val="24"/>
                <w:lang w:val="en-US" w:eastAsia="zh-CN"/>
              </w:rPr>
              <w:t>7.5、</w:t>
            </w:r>
            <w:r>
              <w:rPr>
                <w:rFonts w:hint="eastAsia"/>
                <w:color w:val="auto"/>
                <w:sz w:val="24"/>
                <w:szCs w:val="24"/>
              </w:rPr>
              <w:t>使用无污染性废气产生的材料、涂料，装饰应注意避免光污染、有害废气污染，装修时尽量使用环保型材料。</w:t>
            </w:r>
          </w:p>
          <w:p w14:paraId="356351B1">
            <w:pPr>
              <w:spacing w:line="360" w:lineRule="auto"/>
              <w:ind w:firstLine="480"/>
              <w:rPr>
                <w:rFonts w:hint="eastAsia"/>
                <w:color w:val="auto"/>
                <w:sz w:val="24"/>
                <w:szCs w:val="24"/>
                <w:lang w:val="en-US" w:eastAsia="zh-CN"/>
              </w:rPr>
            </w:pPr>
            <w:r>
              <w:rPr>
                <w:rFonts w:hint="eastAsia"/>
                <w:color w:val="auto"/>
                <w:sz w:val="24"/>
                <w:szCs w:val="24"/>
                <w:lang w:val="en-US" w:eastAsia="zh-CN"/>
              </w:rPr>
              <w:t>7.6、项目从建筑的体形、布置等方面进行综合统筹考虑建筑节能。项目通过分析建筑的总平面布置，建筑平、立、剖面形式，建筑物的体形系数，太阳辐射，自然通风的气候参数等对建筑能耗的影响来达到建筑节能的目的。</w:t>
            </w:r>
          </w:p>
          <w:p w14:paraId="6B85A339">
            <w:pPr>
              <w:spacing w:line="360" w:lineRule="auto"/>
              <w:ind w:firstLine="480"/>
              <w:rPr>
                <w:rFonts w:hint="eastAsia" w:cs="Times New Roman" w:eastAsiaTheme="minorEastAsia"/>
                <w:b/>
                <w:bCs/>
                <w:color w:val="auto"/>
                <w:kern w:val="0"/>
                <w:szCs w:val="28"/>
                <w:lang w:val="en-US" w:eastAsia="zh-CN"/>
              </w:rPr>
            </w:pPr>
            <w:r>
              <w:rPr>
                <w:rFonts w:hint="eastAsia"/>
                <w:color w:val="auto"/>
                <w:sz w:val="24"/>
                <w:szCs w:val="24"/>
              </w:rPr>
              <w:t>综上所述，项目从设计、施工及运营期环境管理方面均体现了清洁生产思想。</w:t>
            </w:r>
          </w:p>
          <w:p w14:paraId="7061320E">
            <w:pPr>
              <w:pStyle w:val="37"/>
              <w:keepNext w:val="0"/>
              <w:keepLines w:val="0"/>
              <w:pageBreakBefore w:val="0"/>
              <w:widowControl w:val="0"/>
              <w:numPr>
                <w:ilvl w:val="0"/>
                <w:numId w:val="10"/>
              </w:numPr>
              <w:suppressLineNumbers w:val="0"/>
              <w:shd w:val="clear"/>
              <w:kinsoku/>
              <w:wordWrap/>
              <w:overflowPunct/>
              <w:topLinePunct w:val="0"/>
              <w:autoSpaceDE/>
              <w:autoSpaceDN/>
              <w:bidi w:val="0"/>
              <w:adjustRightInd/>
              <w:snapToGrid/>
              <w:spacing w:beforeAutospacing="0" w:afterAutospacing="0" w:line="360" w:lineRule="auto"/>
              <w:ind w:left="0" w:leftChars="0" w:right="0" w:rightChars="0" w:firstLine="482" w:firstLineChars="200"/>
              <w:jc w:val="both"/>
              <w:textAlignment w:val="auto"/>
              <w:outlineLvl w:val="9"/>
              <w:rPr>
                <w:rFonts w:hint="eastAsia" w:cs="Times New Roman" w:eastAsiaTheme="minorEastAsia"/>
                <w:b/>
                <w:bCs/>
                <w:color w:val="auto"/>
                <w:kern w:val="0"/>
                <w:szCs w:val="28"/>
                <w:highlight w:val="none"/>
                <w:lang w:val="en-US" w:eastAsia="zh-CN"/>
              </w:rPr>
            </w:pPr>
            <w:r>
              <w:rPr>
                <w:rFonts w:hint="eastAsia" w:cs="Times New Roman" w:eastAsiaTheme="minorEastAsia"/>
                <w:b/>
                <w:bCs/>
                <w:color w:val="auto"/>
                <w:kern w:val="0"/>
                <w:szCs w:val="28"/>
                <w:highlight w:val="none"/>
                <w:lang w:val="en-US" w:eastAsia="zh-CN"/>
              </w:rPr>
              <w:t>外环境影响分析</w:t>
            </w:r>
          </w:p>
          <w:p w14:paraId="4A211EFA">
            <w:pPr>
              <w:pStyle w:val="32"/>
              <w:widowControl w:val="0"/>
              <w:shd w:val="clear"/>
              <w:rPr>
                <w:rFonts w:hint="eastAsia" w:cs="Times New Roman" w:eastAsiaTheme="minorEastAsia"/>
                <w:b w:val="0"/>
                <w:bCs w:val="0"/>
                <w:color w:val="auto"/>
                <w:kern w:val="0"/>
                <w:szCs w:val="28"/>
                <w:highlight w:val="none"/>
                <w:lang w:val="en-US" w:eastAsia="zh-CN"/>
              </w:rPr>
            </w:pPr>
            <w:r>
              <w:rPr>
                <w:rFonts w:hint="eastAsia" w:cs="Times New Roman" w:eastAsiaTheme="minorEastAsia"/>
                <w:b w:val="0"/>
                <w:bCs w:val="0"/>
                <w:color w:val="auto"/>
                <w:kern w:val="0"/>
                <w:szCs w:val="28"/>
                <w:highlight w:val="none"/>
                <w:lang w:val="en-US" w:eastAsia="zh-CN"/>
              </w:rPr>
              <w:t>（1）周边道路及环境敏感点影响</w:t>
            </w:r>
          </w:p>
          <w:p w14:paraId="5C0977CA">
            <w:pPr>
              <w:pStyle w:val="32"/>
              <w:widowControl w:val="0"/>
              <w:shd w:val="clear"/>
              <w:rPr>
                <w:rFonts w:hint="default" w:ascii="Times New Roman" w:hAnsi="Times New Roman" w:eastAsia="宋体" w:cs="Times New Roman"/>
                <w:color w:val="auto"/>
                <w:sz w:val="24"/>
                <w:szCs w:val="24"/>
                <w:highlight w:val="none"/>
                <w:lang w:eastAsia="zh-CN"/>
              </w:rPr>
            </w:pPr>
            <w:r>
              <w:rPr>
                <w:rFonts w:hint="eastAsia" w:cs="Times New Roman" w:eastAsiaTheme="minorEastAsia"/>
                <w:b w:val="0"/>
                <w:bCs w:val="0"/>
                <w:color w:val="auto"/>
                <w:kern w:val="0"/>
                <w:szCs w:val="28"/>
                <w:highlight w:val="none"/>
                <w:lang w:val="en-US" w:eastAsia="zh-CN"/>
              </w:rPr>
              <w:t>由调查可知</w:t>
            </w:r>
            <w:r>
              <w:rPr>
                <w:rFonts w:hint="eastAsia" w:eastAsia="宋体" w:cs="Times New Roman"/>
                <w:color w:val="auto"/>
                <w:sz w:val="24"/>
                <w:szCs w:val="24"/>
                <w:highlight w:val="none"/>
                <w:lang w:eastAsia="zh-CN"/>
              </w:rPr>
              <w:t>维纳春天项目</w:t>
            </w:r>
            <w:r>
              <w:rPr>
                <w:rFonts w:hint="default" w:ascii="Times New Roman" w:hAnsi="Times New Roman" w:eastAsia="宋体" w:cs="Times New Roman"/>
                <w:color w:val="auto"/>
                <w:sz w:val="24"/>
                <w:szCs w:val="24"/>
                <w:highlight w:val="none"/>
                <w:lang w:eastAsia="zh-CN"/>
              </w:rPr>
              <w:t>地块位于</w:t>
            </w:r>
            <w:r>
              <w:rPr>
                <w:rFonts w:hint="eastAsia" w:eastAsia="宋体" w:cs="Times New Roman"/>
                <w:color w:val="auto"/>
                <w:sz w:val="24"/>
                <w:szCs w:val="24"/>
                <w:highlight w:val="none"/>
                <w:lang w:eastAsia="zh-CN"/>
              </w:rPr>
              <w:t>鄂州市葛店开发区三号工业区</w:t>
            </w:r>
            <w:r>
              <w:rPr>
                <w:rFonts w:hint="default" w:ascii="Times New Roman" w:hAnsi="Times New Roman" w:eastAsia="宋体" w:cs="Times New Roman"/>
                <w:color w:val="auto"/>
                <w:sz w:val="24"/>
                <w:szCs w:val="24"/>
                <w:highlight w:val="none"/>
                <w:lang w:val="en-US" w:eastAsia="zh-CN"/>
              </w:rPr>
              <w:t>。项目</w:t>
            </w:r>
            <w:r>
              <w:rPr>
                <w:rFonts w:hint="eastAsia" w:eastAsia="宋体" w:cs="Times New Roman"/>
                <w:color w:val="auto"/>
                <w:sz w:val="24"/>
                <w:szCs w:val="24"/>
                <w:highlight w:val="none"/>
                <w:lang w:val="en-US" w:eastAsia="zh-CN"/>
              </w:rPr>
              <w:t>北侧隔着聚贤路为光谷鑫城小区，项目东侧隔着马路为维纳阳光小区，项目南侧隔着马路为武汉精锐狮机械设备有限公司的储存车间，项目西侧隔着仁慧路为空地</w:t>
            </w:r>
            <w:r>
              <w:rPr>
                <w:rFonts w:hint="default" w:ascii="Times New Roman" w:hAnsi="Times New Roman" w:eastAsia="宋体" w:cs="Times New Roman"/>
                <w:color w:val="auto"/>
                <w:sz w:val="24"/>
                <w:szCs w:val="24"/>
                <w:highlight w:val="none"/>
                <w:lang w:val="en-US" w:eastAsia="zh-CN"/>
              </w:rPr>
              <w:t>。</w:t>
            </w:r>
            <w:r>
              <w:rPr>
                <w:rFonts w:hint="eastAsia" w:eastAsia="宋体" w:cs="Times New Roman"/>
                <w:color w:val="auto"/>
                <w:sz w:val="24"/>
                <w:szCs w:val="24"/>
                <w:highlight w:val="none"/>
                <w:lang w:val="en-US" w:eastAsia="zh-CN"/>
              </w:rPr>
              <w:t>项目周边情况详见表7-5。</w:t>
            </w:r>
          </w:p>
          <w:p w14:paraId="26F228A2">
            <w:pPr>
              <w:pStyle w:val="37"/>
              <w:keepNext w:val="0"/>
              <w:keepLines w:val="0"/>
              <w:pageBreakBefore w:val="0"/>
              <w:widowControl w:val="0"/>
              <w:numPr>
                <w:ilvl w:val="0"/>
                <w:numId w:val="0"/>
              </w:numPr>
              <w:suppressLineNumbers w:val="0"/>
              <w:shd w:val="clear"/>
              <w:kinsoku/>
              <w:wordWrap/>
              <w:overflowPunct/>
              <w:topLinePunct w:val="0"/>
              <w:autoSpaceDE/>
              <w:autoSpaceDN/>
              <w:bidi w:val="0"/>
              <w:adjustRightInd/>
              <w:snapToGrid/>
              <w:spacing w:beforeAutospacing="0" w:afterAutospacing="0" w:line="360" w:lineRule="auto"/>
              <w:ind w:leftChars="200" w:right="0" w:rightChars="0"/>
              <w:jc w:val="center"/>
              <w:textAlignment w:val="auto"/>
              <w:outlineLvl w:val="9"/>
              <w:rPr>
                <w:rFonts w:hint="eastAsia" w:cs="Times New Roman" w:eastAsiaTheme="minorEastAsia"/>
                <w:b/>
                <w:bCs/>
                <w:color w:val="auto"/>
                <w:kern w:val="0"/>
                <w:sz w:val="21"/>
                <w:szCs w:val="21"/>
                <w:highlight w:val="none"/>
                <w:lang w:val="en-US" w:eastAsia="zh-CN"/>
              </w:rPr>
            </w:pPr>
            <w:r>
              <w:rPr>
                <w:rFonts w:hint="eastAsia" w:cs="Times New Roman" w:eastAsiaTheme="minorEastAsia"/>
                <w:b/>
                <w:bCs/>
                <w:color w:val="auto"/>
                <w:kern w:val="0"/>
                <w:sz w:val="21"/>
                <w:szCs w:val="21"/>
                <w:highlight w:val="none"/>
                <w:lang w:val="en-US" w:eastAsia="zh-CN"/>
              </w:rPr>
              <w:t>表7-5 项目周边情况</w:t>
            </w:r>
          </w:p>
          <w:tbl>
            <w:tblPr>
              <w:tblStyle w:val="15"/>
              <w:tblW w:w="8504" w:type="dxa"/>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727"/>
              <w:gridCol w:w="2938"/>
              <w:gridCol w:w="1150"/>
              <w:gridCol w:w="1725"/>
              <w:gridCol w:w="1964"/>
            </w:tblGrid>
            <w:tr w14:paraId="5DF8988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727" w:type="dxa"/>
                  <w:tcBorders>
                    <w:tl2br w:val="nil"/>
                    <w:tr2bl w:val="nil"/>
                  </w:tcBorders>
                  <w:vAlign w:val="center"/>
                </w:tcPr>
                <w:p w14:paraId="1E46F347">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序号</w:t>
                  </w:r>
                </w:p>
              </w:tc>
              <w:tc>
                <w:tcPr>
                  <w:tcW w:w="2938" w:type="dxa"/>
                  <w:tcBorders>
                    <w:tl2br w:val="nil"/>
                    <w:tr2bl w:val="nil"/>
                  </w:tcBorders>
                  <w:vAlign w:val="center"/>
                </w:tcPr>
                <w:p w14:paraId="16B21CC9">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lang w:eastAsia="zh-CN"/>
                    </w:rPr>
                    <w:t>保护对象</w:t>
                  </w:r>
                </w:p>
              </w:tc>
              <w:tc>
                <w:tcPr>
                  <w:tcW w:w="1150" w:type="dxa"/>
                  <w:tcBorders>
                    <w:tl2br w:val="nil"/>
                    <w:tr2bl w:val="nil"/>
                  </w:tcBorders>
                  <w:vAlign w:val="center"/>
                </w:tcPr>
                <w:p w14:paraId="79C47C8C">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方位</w:t>
                  </w:r>
                </w:p>
              </w:tc>
              <w:tc>
                <w:tcPr>
                  <w:tcW w:w="1725" w:type="dxa"/>
                  <w:tcBorders>
                    <w:tl2br w:val="nil"/>
                    <w:tr2bl w:val="nil"/>
                  </w:tcBorders>
                  <w:vAlign w:val="center"/>
                </w:tcPr>
                <w:p w14:paraId="4B3A5FB2">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性质</w:t>
                  </w:r>
                </w:p>
              </w:tc>
              <w:tc>
                <w:tcPr>
                  <w:tcW w:w="1964" w:type="dxa"/>
                  <w:tcBorders>
                    <w:tl2br w:val="nil"/>
                    <w:tr2bl w:val="nil"/>
                  </w:tcBorders>
                  <w:vAlign w:val="center"/>
                </w:tcPr>
                <w:p w14:paraId="47A8E4C8">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Cs w:val="21"/>
                      <w:highlight w:val="none"/>
                      <w:lang w:eastAsia="zh-CN"/>
                    </w:rPr>
                  </w:pPr>
                  <w:r>
                    <w:rPr>
                      <w:rFonts w:hint="eastAsia" w:ascii="Times New Roman" w:hAnsi="Times New Roman" w:cs="Times New Roman"/>
                      <w:color w:val="auto"/>
                      <w:szCs w:val="21"/>
                      <w:highlight w:val="none"/>
                      <w:lang w:eastAsia="zh-CN"/>
                    </w:rPr>
                    <w:t>本项目净用</w:t>
                  </w:r>
                </w:p>
                <w:p w14:paraId="48AF0C4A">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Cs w:val="21"/>
                      <w:highlight w:val="none"/>
                      <w:lang w:eastAsia="zh-CN"/>
                    </w:rPr>
                  </w:pPr>
                  <w:r>
                    <w:rPr>
                      <w:rFonts w:hint="eastAsia" w:ascii="Times New Roman" w:hAnsi="Times New Roman" w:cs="Times New Roman"/>
                      <w:color w:val="auto"/>
                      <w:szCs w:val="21"/>
                      <w:highlight w:val="none"/>
                      <w:lang w:eastAsia="zh-CN"/>
                    </w:rPr>
                    <w:t>地界线至</w:t>
                  </w:r>
                </w:p>
                <w:p w14:paraId="297F706B">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Cs w:val="21"/>
                      <w:highlight w:val="none"/>
                      <w:lang w:eastAsia="zh-CN"/>
                    </w:rPr>
                  </w:pPr>
                  <w:r>
                    <w:rPr>
                      <w:rFonts w:hint="eastAsia" w:ascii="Times New Roman" w:hAnsi="Times New Roman" w:cs="Times New Roman"/>
                      <w:color w:val="auto"/>
                      <w:szCs w:val="21"/>
                      <w:highlight w:val="none"/>
                      <w:lang w:eastAsia="zh-CN"/>
                    </w:rPr>
                    <w:t>敏感区边界</w:t>
                  </w:r>
                </w:p>
                <w:p w14:paraId="316D515B">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lang w:eastAsia="zh-CN"/>
                    </w:rPr>
                    <w:t>最近直线距离</w:t>
                  </w:r>
                </w:p>
              </w:tc>
            </w:tr>
            <w:tr w14:paraId="438FE1E6">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727" w:type="dxa"/>
                  <w:tcBorders>
                    <w:tl2br w:val="nil"/>
                    <w:tr2bl w:val="nil"/>
                  </w:tcBorders>
                  <w:vAlign w:val="center"/>
                </w:tcPr>
                <w:p w14:paraId="2D1BFAF3">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1</w:t>
                  </w:r>
                </w:p>
              </w:tc>
              <w:tc>
                <w:tcPr>
                  <w:tcW w:w="2938" w:type="dxa"/>
                  <w:tcBorders>
                    <w:tl2br w:val="nil"/>
                    <w:tr2bl w:val="nil"/>
                  </w:tcBorders>
                  <w:vAlign w:val="center"/>
                </w:tcPr>
                <w:p w14:paraId="049D28D1">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维纳阳光小区</w:t>
                  </w:r>
                  <w:r>
                    <w:rPr>
                      <w:rFonts w:hint="eastAsia" w:ascii="Times New Roman" w:hAnsi="Times New Roman" w:cs="Times New Roman"/>
                      <w:color w:val="auto"/>
                      <w:szCs w:val="21"/>
                      <w:highlight w:val="none"/>
                      <w:lang w:eastAsia="zh-CN"/>
                    </w:rPr>
                    <w:t>住宅楼</w:t>
                  </w:r>
                </w:p>
              </w:tc>
              <w:tc>
                <w:tcPr>
                  <w:tcW w:w="1150" w:type="dxa"/>
                  <w:tcBorders>
                    <w:tl2br w:val="nil"/>
                    <w:tr2bl w:val="nil"/>
                  </w:tcBorders>
                  <w:vAlign w:val="center"/>
                </w:tcPr>
                <w:p w14:paraId="09EA341E">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东</w:t>
                  </w:r>
                </w:p>
              </w:tc>
              <w:tc>
                <w:tcPr>
                  <w:tcW w:w="1725" w:type="dxa"/>
                  <w:tcBorders>
                    <w:tl2br w:val="nil"/>
                    <w:tr2bl w:val="nil"/>
                  </w:tcBorders>
                  <w:vAlign w:val="center"/>
                </w:tcPr>
                <w:p w14:paraId="328336BF">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ascii="Times New Roman" w:hAnsi="Times New Roman" w:cs="Times New Roman"/>
                      <w:color w:val="auto"/>
                      <w:szCs w:val="21"/>
                      <w:highlight w:val="none"/>
                    </w:rPr>
                    <w:t>居民区</w:t>
                  </w:r>
                </w:p>
              </w:tc>
              <w:tc>
                <w:tcPr>
                  <w:tcW w:w="1964" w:type="dxa"/>
                  <w:tcBorders>
                    <w:tl2br w:val="nil"/>
                    <w:tr2bl w:val="nil"/>
                  </w:tcBorders>
                  <w:vAlign w:val="center"/>
                </w:tcPr>
                <w:p w14:paraId="3D3B58FE">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hint="eastAsia" w:cs="Times New Roman"/>
                      <w:color w:val="auto"/>
                      <w:szCs w:val="21"/>
                      <w:highlight w:val="none"/>
                      <w:lang w:val="en-US" w:eastAsia="zh-CN"/>
                    </w:rPr>
                    <w:t>5</w:t>
                  </w:r>
                  <w:r>
                    <w:rPr>
                      <w:rFonts w:ascii="Times New Roman" w:hAnsi="Times New Roman" w:cs="Times New Roman"/>
                      <w:color w:val="auto"/>
                      <w:szCs w:val="21"/>
                      <w:highlight w:val="none"/>
                    </w:rPr>
                    <w:t>m</w:t>
                  </w:r>
                </w:p>
              </w:tc>
            </w:tr>
            <w:tr w14:paraId="706ACE0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727" w:type="dxa"/>
                  <w:tcBorders>
                    <w:tl2br w:val="nil"/>
                    <w:tr2bl w:val="nil"/>
                  </w:tcBorders>
                  <w:vAlign w:val="center"/>
                </w:tcPr>
                <w:p w14:paraId="37BE18CB">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2</w:t>
                  </w:r>
                </w:p>
              </w:tc>
              <w:tc>
                <w:tcPr>
                  <w:tcW w:w="2938" w:type="dxa"/>
                  <w:tcBorders>
                    <w:tl2br w:val="nil"/>
                    <w:tr2bl w:val="nil"/>
                  </w:tcBorders>
                  <w:vAlign w:val="center"/>
                </w:tcPr>
                <w:p w14:paraId="0E85D171">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光谷鑫城小区住宅楼</w:t>
                  </w:r>
                </w:p>
              </w:tc>
              <w:tc>
                <w:tcPr>
                  <w:tcW w:w="1150" w:type="dxa"/>
                  <w:tcBorders>
                    <w:tl2br w:val="nil"/>
                    <w:tr2bl w:val="nil"/>
                  </w:tcBorders>
                  <w:vAlign w:val="center"/>
                </w:tcPr>
                <w:p w14:paraId="061D595A">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lang w:eastAsia="zh-CN"/>
                    </w:rPr>
                    <w:t>西</w:t>
                  </w:r>
                </w:p>
              </w:tc>
              <w:tc>
                <w:tcPr>
                  <w:tcW w:w="1725" w:type="dxa"/>
                  <w:tcBorders>
                    <w:tl2br w:val="nil"/>
                    <w:tr2bl w:val="nil"/>
                  </w:tcBorders>
                  <w:vAlign w:val="center"/>
                </w:tcPr>
                <w:p w14:paraId="17373E6E">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ascii="Times New Roman" w:hAnsi="Times New Roman" w:cs="Times New Roman"/>
                      <w:color w:val="auto"/>
                      <w:szCs w:val="21"/>
                      <w:highlight w:val="none"/>
                      <w:lang w:eastAsia="zh-CN"/>
                    </w:rPr>
                    <w:t>政府办公楼</w:t>
                  </w:r>
                </w:p>
              </w:tc>
              <w:tc>
                <w:tcPr>
                  <w:tcW w:w="1964" w:type="dxa"/>
                  <w:tcBorders>
                    <w:tl2br w:val="nil"/>
                    <w:tr2bl w:val="nil"/>
                  </w:tcBorders>
                  <w:vAlign w:val="center"/>
                </w:tcPr>
                <w:p w14:paraId="7D0D0869">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10</w:t>
                  </w:r>
                  <w:r>
                    <w:rPr>
                      <w:rFonts w:ascii="Times New Roman" w:hAnsi="Times New Roman" w:cs="Times New Roman"/>
                      <w:color w:val="auto"/>
                      <w:szCs w:val="21"/>
                      <w:highlight w:val="none"/>
                    </w:rPr>
                    <w:t>m</w:t>
                  </w:r>
                </w:p>
              </w:tc>
            </w:tr>
            <w:tr w14:paraId="10884628">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727" w:type="dxa"/>
                  <w:tcBorders>
                    <w:tl2br w:val="nil"/>
                    <w:tr2bl w:val="nil"/>
                  </w:tcBorders>
                  <w:vAlign w:val="center"/>
                </w:tcPr>
                <w:p w14:paraId="57EE9857">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val="en-US" w:eastAsia="zh-CN"/>
                    </w:rPr>
                  </w:pPr>
                  <w:r>
                    <w:rPr>
                      <w:rFonts w:hint="eastAsia" w:cs="Times New Roman" w:eastAsiaTheme="minorEastAsia"/>
                      <w:color w:val="auto"/>
                      <w:szCs w:val="21"/>
                      <w:highlight w:val="none"/>
                      <w:lang w:val="en-US" w:eastAsia="zh-CN"/>
                    </w:rPr>
                    <w:t>3</w:t>
                  </w:r>
                </w:p>
              </w:tc>
              <w:tc>
                <w:tcPr>
                  <w:tcW w:w="2938" w:type="dxa"/>
                  <w:tcBorders>
                    <w:tl2br w:val="nil"/>
                    <w:tr2bl w:val="nil"/>
                  </w:tcBorders>
                  <w:vAlign w:val="center"/>
                </w:tcPr>
                <w:p w14:paraId="59CA228E">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上魏村</w:t>
                  </w:r>
                </w:p>
              </w:tc>
              <w:tc>
                <w:tcPr>
                  <w:tcW w:w="1150" w:type="dxa"/>
                  <w:tcBorders>
                    <w:tl2br w:val="nil"/>
                    <w:tr2bl w:val="nil"/>
                  </w:tcBorders>
                  <w:vAlign w:val="center"/>
                </w:tcPr>
                <w:p w14:paraId="52AAE786">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eastAsiaTheme="minorEastAsia"/>
                      <w:color w:val="auto"/>
                      <w:szCs w:val="21"/>
                      <w:highlight w:val="none"/>
                      <w:lang w:eastAsia="zh-CN"/>
                    </w:rPr>
                    <w:t>西北</w:t>
                  </w:r>
                </w:p>
              </w:tc>
              <w:tc>
                <w:tcPr>
                  <w:tcW w:w="1725" w:type="dxa"/>
                  <w:tcBorders>
                    <w:tl2br w:val="nil"/>
                    <w:tr2bl w:val="nil"/>
                  </w:tcBorders>
                  <w:vAlign w:val="center"/>
                </w:tcPr>
                <w:p w14:paraId="45CC3259">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居民区</w:t>
                  </w:r>
                </w:p>
              </w:tc>
              <w:tc>
                <w:tcPr>
                  <w:tcW w:w="1964" w:type="dxa"/>
                  <w:tcBorders>
                    <w:tl2br w:val="nil"/>
                    <w:tr2bl w:val="nil"/>
                  </w:tcBorders>
                  <w:vAlign w:val="center"/>
                </w:tcPr>
                <w:p w14:paraId="0CA884A0">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61m</w:t>
                  </w:r>
                </w:p>
              </w:tc>
            </w:tr>
            <w:tr w14:paraId="77F0758A">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727" w:type="dxa"/>
                  <w:tcBorders>
                    <w:bottom w:val="single" w:color="000000" w:sz="12" w:space="0"/>
                    <w:tl2br w:val="nil"/>
                    <w:tr2bl w:val="nil"/>
                  </w:tcBorders>
                  <w:vAlign w:val="center"/>
                </w:tcPr>
                <w:p w14:paraId="20037896">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eastAsiaTheme="minorEastAsia"/>
                      <w:color w:val="auto"/>
                      <w:szCs w:val="21"/>
                      <w:highlight w:val="none"/>
                      <w:lang w:val="en-US" w:eastAsia="zh-CN"/>
                    </w:rPr>
                  </w:pPr>
                  <w:r>
                    <w:rPr>
                      <w:rFonts w:hint="eastAsia" w:cs="Times New Roman" w:eastAsiaTheme="minorEastAsia"/>
                      <w:color w:val="auto"/>
                      <w:szCs w:val="21"/>
                      <w:highlight w:val="none"/>
                      <w:lang w:val="en-US" w:eastAsia="zh-CN"/>
                    </w:rPr>
                    <w:t>4</w:t>
                  </w:r>
                </w:p>
              </w:tc>
              <w:tc>
                <w:tcPr>
                  <w:tcW w:w="2938" w:type="dxa"/>
                  <w:tcBorders>
                    <w:bottom w:val="single" w:color="000000" w:sz="12" w:space="0"/>
                    <w:tl2br w:val="nil"/>
                    <w:tr2bl w:val="nil"/>
                  </w:tcBorders>
                  <w:vAlign w:val="center"/>
                </w:tcPr>
                <w:p w14:paraId="060F2B5A">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eastAsia="zh-CN"/>
                    </w:rPr>
                    <w:t>张思村</w:t>
                  </w:r>
                </w:p>
              </w:tc>
              <w:tc>
                <w:tcPr>
                  <w:tcW w:w="1150" w:type="dxa"/>
                  <w:tcBorders>
                    <w:bottom w:val="single" w:color="000000" w:sz="12" w:space="0"/>
                    <w:tl2br w:val="nil"/>
                    <w:tr2bl w:val="nil"/>
                  </w:tcBorders>
                  <w:vAlign w:val="center"/>
                </w:tcPr>
                <w:p w14:paraId="6BC431B9">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color w:val="auto"/>
                      <w:szCs w:val="21"/>
                      <w:highlight w:val="none"/>
                      <w:lang w:eastAsia="zh-CN"/>
                    </w:rPr>
                  </w:pPr>
                  <w:r>
                    <w:rPr>
                      <w:rFonts w:hint="eastAsia" w:ascii="Times New Roman" w:hAnsi="Times New Roman" w:cs="Times New Roman"/>
                      <w:color w:val="auto"/>
                      <w:szCs w:val="21"/>
                      <w:highlight w:val="none"/>
                      <w:lang w:eastAsia="zh-CN"/>
                    </w:rPr>
                    <w:t>北</w:t>
                  </w:r>
                </w:p>
              </w:tc>
              <w:tc>
                <w:tcPr>
                  <w:tcW w:w="1725" w:type="dxa"/>
                  <w:tcBorders>
                    <w:bottom w:val="single" w:color="000000" w:sz="12" w:space="0"/>
                    <w:tl2br w:val="nil"/>
                    <w:tr2bl w:val="nil"/>
                  </w:tcBorders>
                  <w:vAlign w:val="center"/>
                </w:tcPr>
                <w:p w14:paraId="0FEB977C">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Cs w:val="21"/>
                      <w:highlight w:val="none"/>
                      <w:lang w:eastAsia="zh-CN"/>
                    </w:rPr>
                  </w:pPr>
                  <w:r>
                    <w:rPr>
                      <w:rFonts w:hint="eastAsia" w:cs="Times New Roman"/>
                      <w:color w:val="auto"/>
                      <w:szCs w:val="21"/>
                      <w:highlight w:val="none"/>
                      <w:lang w:eastAsia="zh-CN"/>
                    </w:rPr>
                    <w:t>居民区</w:t>
                  </w:r>
                </w:p>
              </w:tc>
              <w:tc>
                <w:tcPr>
                  <w:tcW w:w="1964" w:type="dxa"/>
                  <w:tcBorders>
                    <w:bottom w:val="single" w:color="000000" w:sz="12" w:space="0"/>
                    <w:tl2br w:val="nil"/>
                    <w:tr2bl w:val="nil"/>
                  </w:tcBorders>
                  <w:vAlign w:val="center"/>
                </w:tcPr>
                <w:p w14:paraId="3AAD5A3B">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color w:val="auto"/>
                      <w:szCs w:val="21"/>
                      <w:highlight w:val="none"/>
                      <w:lang w:val="en-US" w:eastAsia="zh-CN"/>
                    </w:rPr>
                  </w:pPr>
                  <w:r>
                    <w:rPr>
                      <w:rFonts w:hint="eastAsia" w:cs="Times New Roman"/>
                      <w:color w:val="auto"/>
                      <w:szCs w:val="21"/>
                      <w:highlight w:val="none"/>
                      <w:lang w:val="en-US" w:eastAsia="zh-CN"/>
                    </w:rPr>
                    <w:t>404m</w:t>
                  </w:r>
                </w:p>
              </w:tc>
            </w:tr>
          </w:tbl>
          <w:p w14:paraId="16DF87FE">
            <w:pPr>
              <w:pStyle w:val="37"/>
              <w:keepNext w:val="0"/>
              <w:keepLines w:val="0"/>
              <w:pageBreakBefore w:val="0"/>
              <w:widowControl w:val="0"/>
              <w:numPr>
                <w:ilvl w:val="0"/>
                <w:numId w:val="0"/>
              </w:numPr>
              <w:suppressLineNumbers w:val="0"/>
              <w:shd w:val="clear"/>
              <w:kinsoku/>
              <w:wordWrap/>
              <w:overflowPunct/>
              <w:topLinePunct w:val="0"/>
              <w:autoSpaceDE/>
              <w:autoSpaceDN/>
              <w:bidi w:val="0"/>
              <w:adjustRightInd/>
              <w:snapToGrid/>
              <w:spacing w:beforeAutospacing="0" w:afterAutospacing="0" w:line="360" w:lineRule="auto"/>
              <w:ind w:left="0" w:leftChars="0" w:right="0" w:rightChars="0" w:firstLine="480" w:firstLineChars="200"/>
              <w:jc w:val="left"/>
              <w:textAlignment w:val="auto"/>
              <w:outlineLvl w:val="9"/>
              <w:rPr>
                <w:rFonts w:hint="eastAsia" w:cs="Times New Roman" w:eastAsiaTheme="minorEastAsia"/>
                <w:b w:val="0"/>
                <w:bCs w:val="0"/>
                <w:color w:val="auto"/>
                <w:kern w:val="0"/>
                <w:sz w:val="24"/>
                <w:szCs w:val="24"/>
                <w:highlight w:val="none"/>
                <w:lang w:val="en-US" w:eastAsia="zh-CN"/>
              </w:rPr>
            </w:pPr>
            <w:r>
              <w:rPr>
                <w:rFonts w:hint="eastAsia" w:cs="Times New Roman" w:eastAsiaTheme="minorEastAsia"/>
                <w:b w:val="0"/>
                <w:bCs w:val="0"/>
                <w:color w:val="auto"/>
                <w:kern w:val="0"/>
                <w:sz w:val="24"/>
                <w:szCs w:val="24"/>
                <w:highlight w:val="none"/>
                <w:lang w:val="en-US" w:eastAsia="zh-CN"/>
              </w:rPr>
              <w:t>项目周边（除南侧外）均为居民住宅楼，不会对项目环境造成不良影响。</w:t>
            </w:r>
          </w:p>
          <w:p w14:paraId="3B914E0C">
            <w:pPr>
              <w:pStyle w:val="37"/>
              <w:keepNext w:val="0"/>
              <w:keepLines w:val="0"/>
              <w:pageBreakBefore w:val="0"/>
              <w:widowControl w:val="0"/>
              <w:numPr>
                <w:ilvl w:val="0"/>
                <w:numId w:val="11"/>
              </w:numPr>
              <w:suppressLineNumbers w:val="0"/>
              <w:shd w:val="clear"/>
              <w:kinsoku/>
              <w:wordWrap/>
              <w:overflowPunct/>
              <w:topLinePunct w:val="0"/>
              <w:autoSpaceDE/>
              <w:autoSpaceDN/>
              <w:bidi w:val="0"/>
              <w:adjustRightInd/>
              <w:snapToGrid/>
              <w:spacing w:beforeAutospacing="0" w:afterAutospacing="0" w:line="360" w:lineRule="auto"/>
              <w:ind w:left="0" w:leftChars="0" w:right="0" w:rightChars="0" w:firstLine="480" w:firstLineChars="200"/>
              <w:jc w:val="left"/>
              <w:textAlignment w:val="auto"/>
              <w:outlineLvl w:val="9"/>
              <w:rPr>
                <w:rFonts w:hint="eastAsia" w:cs="Times New Roman" w:eastAsiaTheme="minorEastAsia"/>
                <w:b w:val="0"/>
                <w:bCs w:val="0"/>
                <w:color w:val="auto"/>
                <w:kern w:val="0"/>
                <w:sz w:val="24"/>
                <w:szCs w:val="24"/>
                <w:highlight w:val="none"/>
                <w:lang w:val="en-US" w:eastAsia="zh-CN"/>
              </w:rPr>
            </w:pPr>
            <w:r>
              <w:rPr>
                <w:rFonts w:hint="eastAsia" w:cs="Times New Roman" w:eastAsiaTheme="minorEastAsia"/>
                <w:b w:val="0"/>
                <w:bCs w:val="0"/>
                <w:color w:val="auto"/>
                <w:kern w:val="0"/>
                <w:sz w:val="24"/>
                <w:szCs w:val="24"/>
                <w:highlight w:val="none"/>
                <w:lang w:val="en-US" w:eastAsia="zh-CN"/>
              </w:rPr>
              <w:t>周边企业单位影响</w:t>
            </w:r>
          </w:p>
          <w:p w14:paraId="64BECBBF">
            <w:pPr>
              <w:pStyle w:val="37"/>
              <w:keepNext w:val="0"/>
              <w:keepLines w:val="0"/>
              <w:pageBreakBefore w:val="0"/>
              <w:widowControl w:val="0"/>
              <w:numPr>
                <w:ilvl w:val="0"/>
                <w:numId w:val="0"/>
              </w:numPr>
              <w:suppressLineNumbers w:val="0"/>
              <w:shd w:val="clear"/>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9"/>
              <w:rPr>
                <w:rFonts w:hint="eastAsia" w:cs="Times New Roman" w:eastAsiaTheme="minorEastAsia"/>
                <w:b w:val="0"/>
                <w:bCs w:val="0"/>
                <w:color w:val="auto"/>
                <w:kern w:val="0"/>
                <w:sz w:val="24"/>
                <w:szCs w:val="24"/>
                <w:highlight w:val="none"/>
                <w:lang w:val="en-US" w:eastAsia="zh-CN"/>
              </w:rPr>
            </w:pPr>
            <w:r>
              <w:rPr>
                <w:rFonts w:hint="eastAsia" w:cs="Times New Roman" w:eastAsiaTheme="minorEastAsia"/>
                <w:b w:val="0"/>
                <w:bCs w:val="0"/>
                <w:color w:val="auto"/>
                <w:kern w:val="0"/>
                <w:sz w:val="24"/>
                <w:szCs w:val="24"/>
                <w:highlight w:val="none"/>
                <w:lang w:val="en-US" w:eastAsia="zh-CN"/>
              </w:rPr>
              <w:t>本项目南侧为</w:t>
            </w:r>
            <w:r>
              <w:rPr>
                <w:rFonts w:hint="eastAsia" w:eastAsia="宋体" w:cs="Times New Roman"/>
                <w:color w:val="auto"/>
                <w:sz w:val="24"/>
                <w:szCs w:val="24"/>
                <w:highlight w:val="none"/>
                <w:lang w:val="en-US" w:eastAsia="zh-CN"/>
              </w:rPr>
              <w:t>武汉精锐狮机械设备有限公司的储存车间</w:t>
            </w:r>
            <w:r>
              <w:rPr>
                <w:rFonts w:hint="eastAsia" w:cs="Times New Roman"/>
                <w:color w:val="auto"/>
                <w:sz w:val="24"/>
                <w:szCs w:val="24"/>
                <w:highlight w:val="none"/>
                <w:lang w:val="en-US" w:eastAsia="zh-CN"/>
              </w:rPr>
              <w:t>，</w:t>
            </w:r>
            <w:r>
              <w:rPr>
                <w:rFonts w:hint="eastAsia" w:cs="Times New Roman" w:eastAsiaTheme="minorEastAsia"/>
                <w:b w:val="0"/>
                <w:bCs w:val="0"/>
                <w:color w:val="auto"/>
                <w:kern w:val="0"/>
                <w:sz w:val="24"/>
                <w:szCs w:val="24"/>
                <w:highlight w:val="none"/>
                <w:lang w:val="en-US" w:eastAsia="zh-CN"/>
              </w:rPr>
              <w:t>其主要污染是噪声污染，根据环境质量现状检测可知该项目南侧环境噪声达到了</w:t>
            </w:r>
            <w:r>
              <w:rPr>
                <w:rFonts w:hint="default" w:ascii="Times New Roman" w:hAnsi="Times New Roman" w:eastAsia="宋体" w:cs="Times New Roman"/>
                <w:color w:val="auto"/>
                <w:sz w:val="24"/>
                <w:szCs w:val="24"/>
                <w:highlight w:val="none"/>
              </w:rPr>
              <w:t>《声环境质量标准》（GB3096-2008）</w:t>
            </w:r>
            <w:r>
              <w:rPr>
                <w:rFonts w:hint="eastAsia" w:ascii="Times New Roman" w:hAnsi="Times New Roman" w:cs="Times New Roman"/>
                <w:color w:val="auto"/>
                <w:sz w:val="24"/>
                <w:szCs w:val="24"/>
                <w:highlight w:val="none"/>
                <w:lang w:val="en-US" w:eastAsia="zh-CN"/>
              </w:rPr>
              <w:t>2</w:t>
            </w:r>
            <w:r>
              <w:rPr>
                <w:rFonts w:hint="eastAsia"/>
                <w:color w:val="auto"/>
                <w:kern w:val="0"/>
                <w:sz w:val="24"/>
                <w:highlight w:val="none"/>
              </w:rPr>
              <w:t>类标准</w:t>
            </w:r>
            <w:r>
              <w:rPr>
                <w:rFonts w:hint="eastAsia"/>
                <w:color w:val="auto"/>
                <w:kern w:val="0"/>
                <w:sz w:val="24"/>
                <w:highlight w:val="none"/>
                <w:lang w:eastAsia="zh-CN"/>
              </w:rPr>
              <w:t>，并且项目在采用具有良好隔声效果的墙体、在临道路侧设置绿化带、起居室尽量不设置在面向南面一侧等措施后，南面</w:t>
            </w:r>
            <w:r>
              <w:rPr>
                <w:rFonts w:hint="eastAsia"/>
                <w:color w:val="auto"/>
                <w:kern w:val="0"/>
                <w:sz w:val="24"/>
                <w:highlight w:val="none"/>
                <w:lang w:val="en-US" w:eastAsia="zh-CN"/>
              </w:rPr>
              <w:t>噪声</w:t>
            </w:r>
            <w:r>
              <w:rPr>
                <w:rFonts w:hint="eastAsia" w:cs="Times New Roman" w:eastAsiaTheme="minorEastAsia"/>
                <w:b w:val="0"/>
                <w:bCs w:val="0"/>
                <w:color w:val="auto"/>
                <w:kern w:val="0"/>
                <w:sz w:val="24"/>
                <w:szCs w:val="24"/>
                <w:highlight w:val="none"/>
                <w:lang w:val="en-US" w:eastAsia="zh-CN"/>
              </w:rPr>
              <w:t>对项目环境没有什么不良影响。</w:t>
            </w:r>
          </w:p>
          <w:p w14:paraId="1B853A77">
            <w:pPr>
              <w:pStyle w:val="37"/>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2" w:firstLineChars="200"/>
              <w:jc w:val="both"/>
              <w:textAlignment w:val="auto"/>
              <w:outlineLvl w:val="9"/>
              <w:rPr>
                <w:rFonts w:hint="default" w:ascii="Times New Roman" w:hAnsi="Times New Roman" w:eastAsia="宋体" w:cs="Times New Roman"/>
                <w:color w:val="auto"/>
                <w:sz w:val="24"/>
              </w:rPr>
            </w:pPr>
            <w:r>
              <w:rPr>
                <w:rFonts w:hint="eastAsia" w:cs="Times New Roman" w:eastAsiaTheme="minorEastAsia"/>
                <w:b/>
                <w:bCs/>
                <w:color w:val="auto"/>
                <w:kern w:val="0"/>
                <w:szCs w:val="28"/>
                <w:lang w:val="en-US" w:eastAsia="zh-CN"/>
              </w:rPr>
              <w:t>9、</w:t>
            </w:r>
            <w:r>
              <w:rPr>
                <w:rFonts w:hint="default" w:ascii="Times New Roman" w:hAnsi="Times New Roman" w:cs="Times New Roman" w:eastAsiaTheme="minorEastAsia"/>
                <w:b/>
                <w:bCs/>
                <w:color w:val="auto"/>
                <w:kern w:val="0"/>
                <w:szCs w:val="28"/>
              </w:rPr>
              <w:t>环境管理</w:t>
            </w:r>
            <w:r>
              <w:rPr>
                <w:rFonts w:hint="eastAsia" w:cs="Times New Roman" w:eastAsiaTheme="minorEastAsia"/>
                <w:b/>
                <w:bCs/>
                <w:color w:val="auto"/>
                <w:kern w:val="0"/>
                <w:szCs w:val="28"/>
                <w:lang w:eastAsia="zh-CN"/>
              </w:rPr>
              <w:t>分析</w:t>
            </w:r>
          </w:p>
          <w:p w14:paraId="113FD125">
            <w:pPr>
              <w:pStyle w:val="37"/>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rPr>
              <w:t>工程投入运营后，环境管理机构由物业管理部门负责，下设环境管理小组对该项目环境管理和环境监控负责，并受项目主管单位及环保局的监督和指导。环境管理机构职责：</w:t>
            </w:r>
          </w:p>
          <w:p w14:paraId="2AEF5E5E">
            <w:pPr>
              <w:pStyle w:val="37"/>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eastAsia" w:cs="Times New Roman"/>
                <w:color w:val="auto"/>
                <w:lang w:val="en-US" w:eastAsia="zh-CN"/>
              </w:rPr>
              <w:t>9</w:t>
            </w:r>
            <w:r>
              <w:rPr>
                <w:rFonts w:hint="eastAsia" w:ascii="Times New Roman" w:hAnsi="Times New Roman" w:cs="Times New Roman"/>
                <w:color w:val="auto"/>
                <w:lang w:val="en-US" w:eastAsia="zh-CN"/>
              </w:rPr>
              <w:t>.1、</w:t>
            </w:r>
            <w:r>
              <w:rPr>
                <w:rFonts w:hint="default" w:ascii="Times New Roman" w:hAnsi="Times New Roman" w:eastAsia="宋体" w:cs="Times New Roman"/>
                <w:color w:val="auto"/>
              </w:rPr>
              <w:t>贯彻、宣传国家的环保方针、政策和法律法规。加强消防宣传防患于未然。</w:t>
            </w:r>
          </w:p>
          <w:p w14:paraId="0C680EED">
            <w:pPr>
              <w:pStyle w:val="37"/>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eastAsia" w:cs="Times New Roman"/>
                <w:color w:val="auto"/>
                <w:lang w:val="en-US" w:eastAsia="zh-CN"/>
              </w:rPr>
              <w:t>9</w:t>
            </w:r>
            <w:r>
              <w:rPr>
                <w:rFonts w:hint="eastAsia" w:ascii="Times New Roman" w:hAnsi="Times New Roman" w:cs="Times New Roman"/>
                <w:color w:val="auto"/>
                <w:lang w:val="en-US" w:eastAsia="zh-CN"/>
              </w:rPr>
              <w:t>.2、</w:t>
            </w:r>
            <w:r>
              <w:rPr>
                <w:rFonts w:hint="default" w:ascii="Times New Roman" w:hAnsi="Times New Roman" w:eastAsia="宋体" w:cs="Times New Roman"/>
                <w:color w:val="auto"/>
              </w:rPr>
              <w:t>制定本小区的环保管理制度、环保技术经济政策、环境保护发展规划和年度实施计划；制定火灾应急预案，有条件的可以安排消防演习。</w:t>
            </w:r>
          </w:p>
          <w:p w14:paraId="47468918">
            <w:pPr>
              <w:pStyle w:val="37"/>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eastAsia" w:cs="Times New Roman"/>
                <w:color w:val="auto"/>
                <w:lang w:val="en-US" w:eastAsia="zh-CN"/>
              </w:rPr>
              <w:t>9</w:t>
            </w:r>
            <w:r>
              <w:rPr>
                <w:rFonts w:hint="eastAsia" w:ascii="Times New Roman" w:hAnsi="Times New Roman" w:cs="Times New Roman"/>
                <w:color w:val="auto"/>
                <w:lang w:val="en-US" w:eastAsia="zh-CN"/>
              </w:rPr>
              <w:t>.3、</w:t>
            </w:r>
            <w:r>
              <w:rPr>
                <w:rFonts w:hint="default" w:ascii="Times New Roman" w:hAnsi="Times New Roman" w:eastAsia="宋体" w:cs="Times New Roman"/>
                <w:color w:val="auto"/>
              </w:rPr>
              <w:t>按《民用建筑设计防火规范》规定，定期进行环保以及消防设备检查、维修和保养工作，确保环保设施长期、稳定、达标运转。</w:t>
            </w:r>
          </w:p>
          <w:p w14:paraId="588BA7DC">
            <w:pPr>
              <w:pStyle w:val="37"/>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eastAsia" w:cs="Times New Roman"/>
                <w:color w:val="auto"/>
                <w:lang w:val="en-US" w:eastAsia="zh-CN"/>
              </w:rPr>
              <w:t>9</w:t>
            </w:r>
            <w:r>
              <w:rPr>
                <w:rFonts w:hint="eastAsia" w:ascii="Times New Roman" w:hAnsi="Times New Roman" w:cs="Times New Roman"/>
                <w:color w:val="auto"/>
                <w:lang w:val="en-US" w:eastAsia="zh-CN"/>
              </w:rPr>
              <w:t>.4、</w:t>
            </w:r>
            <w:r>
              <w:rPr>
                <w:rFonts w:hint="default" w:ascii="Times New Roman" w:hAnsi="Times New Roman" w:eastAsia="宋体" w:cs="Times New Roman"/>
                <w:color w:val="auto"/>
              </w:rPr>
              <w:t>负责环保设施的日常运行管理工作，制定事故防范措施，一旦发生事故，组织污染源调查及控制工作，并及时总结经验教训。</w:t>
            </w:r>
          </w:p>
          <w:p w14:paraId="64C04884">
            <w:pPr>
              <w:pStyle w:val="37"/>
              <w:keepNext w:val="0"/>
              <w:keepLines w:val="0"/>
              <w:suppressLineNumbers w:val="0"/>
              <w:snapToGrid w:val="0"/>
              <w:spacing w:before="0" w:beforeAutospacing="0" w:after="0" w:afterAutospacing="0"/>
              <w:ind w:left="0" w:right="0"/>
              <w:rPr>
                <w:rFonts w:hint="default" w:ascii="Times New Roman" w:hAnsi="Times New Roman" w:eastAsia="宋体" w:cs="Times New Roman"/>
                <w:color w:val="auto"/>
              </w:rPr>
            </w:pPr>
            <w:r>
              <w:rPr>
                <w:rFonts w:hint="eastAsia" w:cs="Times New Roman"/>
                <w:color w:val="auto"/>
                <w:lang w:val="en-US" w:eastAsia="zh-CN"/>
              </w:rPr>
              <w:t>9</w:t>
            </w:r>
            <w:r>
              <w:rPr>
                <w:rFonts w:hint="eastAsia" w:ascii="Times New Roman" w:hAnsi="Times New Roman" w:cs="Times New Roman"/>
                <w:color w:val="auto"/>
                <w:lang w:val="en-US" w:eastAsia="zh-CN"/>
              </w:rPr>
              <w:t>.5、</w:t>
            </w:r>
            <w:r>
              <w:rPr>
                <w:rFonts w:hint="default" w:ascii="Times New Roman" w:hAnsi="Times New Roman" w:eastAsia="宋体" w:cs="Times New Roman"/>
                <w:color w:val="auto"/>
              </w:rPr>
              <w:t>负责对小区环保人员和居民进行环境保护教育，不断提高居民的环境意识和环保人员的业务素质。</w:t>
            </w:r>
          </w:p>
          <w:p w14:paraId="351BE39A">
            <w:pPr>
              <w:keepNext w:val="0"/>
              <w:keepLines w:val="0"/>
              <w:suppressLineNumbers w:val="0"/>
              <w:snapToGrid w:val="0"/>
              <w:spacing w:before="0" w:beforeAutospacing="0" w:after="0" w:afterAutospacing="0" w:line="360" w:lineRule="auto"/>
              <w:ind w:left="0" w:right="0" w:firstLine="480" w:firstLineChars="200"/>
              <w:rPr>
                <w:rFonts w:hint="eastAsia" w:ascii="Times New Roman" w:hAnsi="Times New Roman" w:eastAsia="宋体" w:cs="Times New Roman"/>
                <w:color w:val="auto"/>
                <w:sz w:val="24"/>
                <w:lang w:eastAsia="zh-CN"/>
              </w:rPr>
            </w:pPr>
            <w:r>
              <w:rPr>
                <w:rFonts w:hint="eastAsia" w:cs="Times New Roman"/>
                <w:color w:val="auto"/>
                <w:sz w:val="24"/>
                <w:lang w:val="en-US" w:eastAsia="zh-CN"/>
              </w:rPr>
              <w:t>9.6、</w:t>
            </w:r>
            <w:r>
              <w:rPr>
                <w:rFonts w:hint="default" w:ascii="Times New Roman" w:hAnsi="Times New Roman" w:eastAsia="宋体" w:cs="Times New Roman"/>
                <w:color w:val="auto"/>
                <w:sz w:val="24"/>
              </w:rPr>
              <w:t>根据“文化部关于《娱乐场所管理条例》贯彻执行中若干问题的意见(文市发〔2006〕31 号)”，对项目内部商业集中规划，住宅区内不得设立娱乐场所，主要包括歌舞厅、卡拉 OK 场所等各类歌舞娱乐场所和以操作游戏、游艺设备进行娱乐的各类游艺娱乐场所。根据“国家环境保护局、国家工商行政管理局《关于加强饮食娱乐服务企业环境管理的通知》（环监[1995] 100 号）”的规定，居民区内禁止兴办产生恶臭、异味的修理业、加工业、餐饮等服务企业。因此，建设单位在招商时不得引入娱乐行业及修理业，如 KTV、电玩城、汽修厂、餐饮等。</w:t>
            </w:r>
          </w:p>
        </w:tc>
      </w:tr>
    </w:tbl>
    <w:p w14:paraId="395E6D4A">
      <w:pPr>
        <w:pStyle w:val="2"/>
        <w:rPr>
          <w:color w:val="auto"/>
        </w:rPr>
      </w:pPr>
      <w:bookmarkStart w:id="58" w:name="_Toc10590"/>
      <w:bookmarkStart w:id="59" w:name="_Toc15057"/>
      <w:bookmarkStart w:id="60" w:name="_Toc27508"/>
      <w:r>
        <w:rPr>
          <w:color w:val="auto"/>
        </w:rPr>
        <mc:AlternateContent>
          <mc:Choice Requires="wps">
            <w:drawing>
              <wp:anchor distT="0" distB="0" distL="114300" distR="114300" simplePos="0" relativeHeight="251668480" behindDoc="0" locked="0" layoutInCell="1" allowOverlap="1">
                <wp:simplePos x="0" y="0"/>
                <wp:positionH relativeFrom="column">
                  <wp:posOffset>153035</wp:posOffset>
                </wp:positionH>
                <wp:positionV relativeFrom="paragraph">
                  <wp:posOffset>392430</wp:posOffset>
                </wp:positionV>
                <wp:extent cx="525780" cy="274320"/>
                <wp:effectExtent l="0" t="0" r="0" b="0"/>
                <wp:wrapNone/>
                <wp:docPr id="14" name="文本框 14"/>
                <wp:cNvGraphicFramePr/>
                <a:graphic xmlns:a="http://schemas.openxmlformats.org/drawingml/2006/main">
                  <a:graphicData uri="http://schemas.microsoft.com/office/word/2010/wordprocessingShape">
                    <wps:wsp>
                      <wps:cNvSpPr txBox="1"/>
                      <wps:spPr>
                        <a:xfrm>
                          <a:off x="1387475" y="1344930"/>
                          <a:ext cx="525780" cy="2743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9915B1">
                            <w:pPr>
                              <w:jc w:val="center"/>
                              <w:rPr>
                                <w:rFonts w:hint="eastAsia" w:eastAsia="宋体"/>
                                <w:sz w:val="24"/>
                                <w:szCs w:val="24"/>
                                <w:lang w:eastAsia="zh-CN"/>
                              </w:rPr>
                            </w:pPr>
                            <w:r>
                              <w:rPr>
                                <w:rFonts w:hint="eastAsia"/>
                                <w:sz w:val="24"/>
                                <w:szCs w:val="24"/>
                                <w:lang w:eastAsia="zh-CN"/>
                              </w:rPr>
                              <w:t>内容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05pt;margin-top:30.9pt;height:21.6pt;width:41.4pt;z-index:251668480;mso-width-relative:page;mso-height-relative:page;" filled="f" stroked="f" coordsize="21600,21600" o:gfxdata="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nYlPy2QAAAAkBAAAPAAAAAAAAAAEA&#10;IAAAACIAAABkcnMvZG93bnJldi54bWxQSwECFAAUAAAACACHTuJA1TQRvUcCAABzBAAADgAAAAAA&#10;AAABACAAAAAoAQAAZHJzL2Uyb0RvYy54bWxQSwUGAAAAAAYABgBZAQAA4QUAAAAA&#10;">
                <v:fill on="f" focussize="0,0"/>
                <v:stroke on="f" weight="0.5pt"/>
                <v:imagedata o:title=""/>
                <o:lock v:ext="edit" aspectratio="f"/>
                <v:textbox>
                  <w:txbxContent>
                    <w:p w14:paraId="779915B1">
                      <w:pPr>
                        <w:jc w:val="center"/>
                        <w:rPr>
                          <w:rFonts w:hint="eastAsia" w:eastAsia="宋体"/>
                          <w:sz w:val="24"/>
                          <w:szCs w:val="24"/>
                          <w:lang w:eastAsia="zh-CN"/>
                        </w:rPr>
                      </w:pPr>
                      <w:r>
                        <w:rPr>
                          <w:rFonts w:hint="eastAsia"/>
                          <w:sz w:val="24"/>
                          <w:szCs w:val="24"/>
                          <w:lang w:eastAsia="zh-CN"/>
                        </w:rPr>
                        <w:t>内容</w:t>
                      </w:r>
                    </w:p>
                  </w:txbxContent>
                </v:textbox>
              </v:shape>
            </w:pict>
          </mc:Fallback>
        </mc:AlternateContent>
      </w:r>
      <w:r>
        <w:rPr>
          <w:color w:val="auto"/>
        </w:rPr>
        <w:t>八、建设项目拟采取的防治措施及预期治理效果</w:t>
      </w:r>
      <w:bookmarkEnd w:id="58"/>
      <w:bookmarkEnd w:id="59"/>
      <w:bookmarkEnd w:id="60"/>
    </w:p>
    <w:tbl>
      <w:tblPr>
        <w:tblStyle w:val="15"/>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807"/>
        <w:gridCol w:w="644"/>
        <w:gridCol w:w="1"/>
        <w:gridCol w:w="1392"/>
        <w:gridCol w:w="1848"/>
        <w:gridCol w:w="1980"/>
        <w:gridCol w:w="2399"/>
      </w:tblGrid>
      <w:tr w14:paraId="61775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1452" w:type="dxa"/>
            <w:gridSpan w:val="3"/>
            <w:tcBorders>
              <w:top w:val="single" w:color="auto" w:sz="12" w:space="0"/>
              <w:left w:val="single" w:color="auto" w:sz="12" w:space="0"/>
            </w:tcBorders>
            <w:vAlign w:val="center"/>
          </w:tcPr>
          <w:p w14:paraId="2D3CAC2D">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color w:val="auto"/>
                <w:sz w:val="24"/>
              </w:rPr>
              <mc:AlternateContent>
                <mc:Choice Requires="wps">
                  <w:drawing>
                    <wp:anchor distT="0" distB="0" distL="114300" distR="114300" simplePos="0" relativeHeight="251669504" behindDoc="0" locked="0" layoutInCell="1" allowOverlap="1">
                      <wp:simplePos x="0" y="0"/>
                      <wp:positionH relativeFrom="column">
                        <wp:posOffset>-28575</wp:posOffset>
                      </wp:positionH>
                      <wp:positionV relativeFrom="paragraph">
                        <wp:posOffset>137160</wp:posOffset>
                      </wp:positionV>
                      <wp:extent cx="518160" cy="320040"/>
                      <wp:effectExtent l="0" t="0" r="0" b="0"/>
                      <wp:wrapNone/>
                      <wp:docPr id="15" name="文本框 15"/>
                      <wp:cNvGraphicFramePr/>
                      <a:graphic xmlns:a="http://schemas.openxmlformats.org/drawingml/2006/main">
                        <a:graphicData uri="http://schemas.microsoft.com/office/word/2010/wordprocessingShape">
                          <wps:wsp>
                            <wps:cNvSpPr txBox="1"/>
                            <wps:spPr>
                              <a:xfrm>
                                <a:off x="937895" y="1512570"/>
                                <a:ext cx="518160" cy="3200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6DD76A">
                                  <w:pPr>
                                    <w:rPr>
                                      <w:rFonts w:hint="eastAsia" w:eastAsia="宋体"/>
                                      <w:sz w:val="24"/>
                                      <w:szCs w:val="24"/>
                                      <w:lang w:eastAsia="zh-CN"/>
                                    </w:rPr>
                                  </w:pPr>
                                  <w:r>
                                    <w:rPr>
                                      <w:rFonts w:hint="eastAsia"/>
                                      <w:sz w:val="24"/>
                                      <w:szCs w:val="24"/>
                                      <w:lang w:eastAsia="zh-CN"/>
                                    </w:rPr>
                                    <w:t>类型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pt;margin-top:10.8pt;height:25.2pt;width:40.8pt;z-index:251669504;mso-width-relative:page;mso-height-relative:page;" filled="f" stroked="f" coordsize="21600,21600" o:gfxdata="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Tm/cQ2AAAAAcBAAAPAAAAAAAAAAEAIAAA&#10;ACIAAABkcnMvZG93bnJldi54bWxQSwECFAAUAAAACACHTuJADz3cY0UCAAByBAAADgAAAAAAAAAB&#10;ACAAAAAnAQAAZHJzL2Uyb0RvYy54bWxQSwUGAAAAAAYABgBZAQAA3gUAAAAA&#10;">
                      <v:fill on="f" focussize="0,0"/>
                      <v:stroke on="f" weight="0.5pt"/>
                      <v:imagedata o:title=""/>
                      <o:lock v:ext="edit" aspectratio="f"/>
                      <v:textbox>
                        <w:txbxContent>
                          <w:p w14:paraId="7A6DD76A">
                            <w:pPr>
                              <w:rPr>
                                <w:rFonts w:hint="eastAsia" w:eastAsia="宋体"/>
                                <w:sz w:val="24"/>
                                <w:szCs w:val="24"/>
                                <w:lang w:eastAsia="zh-CN"/>
                              </w:rPr>
                            </w:pPr>
                            <w:r>
                              <w:rPr>
                                <w:rFonts w:hint="eastAsia"/>
                                <w:sz w:val="24"/>
                                <w:szCs w:val="24"/>
                                <w:lang w:eastAsia="zh-CN"/>
                              </w:rPr>
                              <w:t>类型</w:t>
                            </w:r>
                          </w:p>
                        </w:txbxContent>
                      </v:textbox>
                    </v:shape>
                  </w:pict>
                </mc:Fallback>
              </mc:AlternateContent>
            </w:r>
            <w:r>
              <w:rPr>
                <w:color w:val="auto"/>
                <w:sz w:val="24"/>
              </w:rPr>
              <mc:AlternateContent>
                <mc:Choice Requires="wps">
                  <w:drawing>
                    <wp:anchor distT="0" distB="0" distL="114300" distR="114300" simplePos="0" relativeHeight="251667456" behindDoc="0" locked="0" layoutInCell="1" allowOverlap="1">
                      <wp:simplePos x="0" y="0"/>
                      <wp:positionH relativeFrom="column">
                        <wp:posOffset>-43815</wp:posOffset>
                      </wp:positionH>
                      <wp:positionV relativeFrom="paragraph">
                        <wp:posOffset>0</wp:posOffset>
                      </wp:positionV>
                      <wp:extent cx="929640" cy="388620"/>
                      <wp:effectExtent l="1905" t="4445" r="13335" b="18415"/>
                      <wp:wrapNone/>
                      <wp:docPr id="13" name="直接连接符 13"/>
                      <wp:cNvGraphicFramePr/>
                      <a:graphic xmlns:a="http://schemas.openxmlformats.org/drawingml/2006/main">
                        <a:graphicData uri="http://schemas.microsoft.com/office/word/2010/wordprocessingShape">
                          <wps:wsp>
                            <wps:cNvCnPr/>
                            <wps:spPr>
                              <a:xfrm flipH="1" flipV="1">
                                <a:off x="892175" y="1329690"/>
                                <a:ext cx="929640" cy="388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 y;margin-left:-3.45pt;margin-top:0pt;height:30.6pt;width:73.2pt;z-index:251667456;mso-width-relative:page;mso-height-relative:page;" filled="f" stroked="t" coordsize="21600,21600" o:gfxdata="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HqbavWAAAABgEAAA8AAAAAAAAAAQAgAAAAIgAAAGRycy9kb3ducmV2&#10;LnhtbFBLAQIUABQAAAAIAIdO4kAn8s2Z/gEAANYDAAAOAAAAAAAAAAEAIAAAACUBAABkcnMvZTJv&#10;RG9jLnhtbFBLBQYAAAAABgAGAFkBAACVBQAAAAA=&#10;">
                      <v:fill on="f" focussize="0,0"/>
                      <v:stroke weight="0.5pt" color="#000000 [3200]" miterlimit="8" joinstyle="miter"/>
                      <v:imagedata o:title=""/>
                      <o:lock v:ext="edit" aspectratio="f"/>
                    </v:line>
                  </w:pict>
                </mc:Fallback>
              </mc:AlternateContent>
            </w:r>
          </w:p>
        </w:tc>
        <w:tc>
          <w:tcPr>
            <w:tcW w:w="1392" w:type="dxa"/>
            <w:tcBorders>
              <w:top w:val="single" w:color="auto" w:sz="12" w:space="0"/>
            </w:tcBorders>
            <w:vAlign w:val="center"/>
          </w:tcPr>
          <w:p w14:paraId="7369CC01">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排放源</w:t>
            </w:r>
          </w:p>
        </w:tc>
        <w:tc>
          <w:tcPr>
            <w:tcW w:w="1848" w:type="dxa"/>
            <w:tcBorders>
              <w:top w:val="single" w:color="auto" w:sz="12" w:space="0"/>
            </w:tcBorders>
            <w:vAlign w:val="center"/>
          </w:tcPr>
          <w:p w14:paraId="004B4DA7">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污染物名称</w:t>
            </w:r>
          </w:p>
        </w:tc>
        <w:tc>
          <w:tcPr>
            <w:tcW w:w="1980" w:type="dxa"/>
            <w:tcBorders>
              <w:top w:val="single" w:color="auto" w:sz="12" w:space="0"/>
            </w:tcBorders>
            <w:vAlign w:val="center"/>
          </w:tcPr>
          <w:p w14:paraId="777261A9">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防治措施</w:t>
            </w:r>
          </w:p>
        </w:tc>
        <w:tc>
          <w:tcPr>
            <w:tcW w:w="2399" w:type="dxa"/>
            <w:tcBorders>
              <w:top w:val="single" w:color="auto" w:sz="12" w:space="0"/>
              <w:right w:val="single" w:color="auto" w:sz="12" w:space="0"/>
            </w:tcBorders>
            <w:vAlign w:val="center"/>
          </w:tcPr>
          <w:p w14:paraId="2E42B990">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预期治理效果</w:t>
            </w:r>
          </w:p>
        </w:tc>
      </w:tr>
      <w:tr w14:paraId="61A9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restart"/>
            <w:tcBorders>
              <w:left w:val="single" w:color="auto" w:sz="12" w:space="0"/>
            </w:tcBorders>
            <w:vAlign w:val="center"/>
          </w:tcPr>
          <w:p w14:paraId="56774FD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大</w:t>
            </w:r>
          </w:p>
          <w:p w14:paraId="6900C1A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气</w:t>
            </w:r>
          </w:p>
          <w:p w14:paraId="3C69BF6F">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污</w:t>
            </w:r>
          </w:p>
          <w:p w14:paraId="393E8B24">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染</w:t>
            </w:r>
          </w:p>
          <w:p w14:paraId="713FC4C5">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物</w:t>
            </w:r>
          </w:p>
        </w:tc>
        <w:tc>
          <w:tcPr>
            <w:tcW w:w="644" w:type="dxa"/>
            <w:vMerge w:val="restart"/>
            <w:vAlign w:val="center"/>
          </w:tcPr>
          <w:p w14:paraId="35EF2A49">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施</w:t>
            </w:r>
          </w:p>
          <w:p w14:paraId="72C623D1">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工</w:t>
            </w:r>
          </w:p>
          <w:p w14:paraId="004869C7">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期</w:t>
            </w:r>
          </w:p>
        </w:tc>
        <w:tc>
          <w:tcPr>
            <w:tcW w:w="1393" w:type="dxa"/>
            <w:gridSpan w:val="2"/>
            <w:vAlign w:val="center"/>
          </w:tcPr>
          <w:p w14:paraId="28E49E2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施</w:t>
            </w:r>
            <w:r>
              <w:rPr>
                <w:rFonts w:hint="eastAsia" w:ascii="Times New Roman" w:hAnsi="Times New Roman" w:eastAsia="宋体" w:cs="Times New Roman"/>
                <w:color w:val="auto"/>
                <w:sz w:val="24"/>
                <w:szCs w:val="24"/>
                <w:lang w:eastAsia="zh-CN"/>
              </w:rPr>
              <w:t>工废气</w:t>
            </w:r>
          </w:p>
        </w:tc>
        <w:tc>
          <w:tcPr>
            <w:tcW w:w="1848" w:type="dxa"/>
            <w:vAlign w:val="center"/>
          </w:tcPr>
          <w:p w14:paraId="5CBD249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扬尘及</w:t>
            </w:r>
            <w:r>
              <w:rPr>
                <w:rFonts w:hint="eastAsia" w:ascii="Times New Roman" w:hAnsi="Times New Roman" w:eastAsia="宋体" w:cs="Times New Roman"/>
                <w:color w:val="auto"/>
                <w:sz w:val="24"/>
                <w:szCs w:val="24"/>
                <w:lang w:eastAsia="zh-CN"/>
              </w:rPr>
              <w:t>烟尘</w:t>
            </w:r>
          </w:p>
        </w:tc>
        <w:tc>
          <w:tcPr>
            <w:tcW w:w="1980" w:type="dxa"/>
            <w:vAlign w:val="center"/>
          </w:tcPr>
          <w:p w14:paraId="3BCA7F6F">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场界设置围墙、</w:t>
            </w:r>
          </w:p>
          <w:p w14:paraId="099AD67A">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封闭施工、</w:t>
            </w:r>
          </w:p>
          <w:p w14:paraId="0DA1A36A">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eastAsia="宋体" w:cs="Times New Roman"/>
                <w:b w:val="0"/>
                <w:bCs w:val="0"/>
                <w:color w:val="auto"/>
                <w:sz w:val="24"/>
                <w:szCs w:val="24"/>
                <w:lang w:eastAsia="zh-CN"/>
              </w:rPr>
              <w:t>洒水降尘等</w:t>
            </w:r>
          </w:p>
        </w:tc>
        <w:tc>
          <w:tcPr>
            <w:tcW w:w="2399" w:type="dxa"/>
            <w:tcBorders>
              <w:right w:val="single" w:color="auto" w:sz="12" w:space="0"/>
            </w:tcBorders>
            <w:vAlign w:val="center"/>
          </w:tcPr>
          <w:p w14:paraId="649F2204">
            <w:pPr>
              <w:pStyle w:val="10"/>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lang w:eastAsia="zh-CN"/>
              </w:rPr>
              <w:t>满足</w:t>
            </w:r>
            <w:r>
              <w:rPr>
                <w:rFonts w:hint="default" w:ascii="Times New Roman" w:hAnsi="Times New Roman" w:eastAsia="宋体" w:cs="Times New Roman"/>
                <w:b w:val="0"/>
                <w:bCs w:val="0"/>
                <w:color w:val="auto"/>
                <w:sz w:val="24"/>
                <w:szCs w:val="24"/>
              </w:rPr>
              <w:t>《大气污染物综合排放标准》</w:t>
            </w:r>
            <w:r>
              <w:rPr>
                <w:rFonts w:hint="eastAsia"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GB16297-1996</w:t>
            </w:r>
            <w:r>
              <w:rPr>
                <w:rFonts w:hint="eastAsia"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表2</w:t>
            </w:r>
            <w:r>
              <w:rPr>
                <w:rFonts w:hint="eastAsia" w:ascii="Times New Roman" w:hAnsi="Times New Roman" w:eastAsia="宋体" w:cs="Times New Roman"/>
                <w:b w:val="0"/>
                <w:bCs w:val="0"/>
                <w:color w:val="auto"/>
                <w:sz w:val="24"/>
                <w:szCs w:val="24"/>
                <w:lang w:eastAsia="zh-CN"/>
              </w:rPr>
              <w:t>新污染源大气污染物无组织排放监控浓度限值</w:t>
            </w:r>
          </w:p>
        </w:tc>
      </w:tr>
      <w:tr w14:paraId="1362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62CC0B3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0ACAAA9D">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Align w:val="center"/>
          </w:tcPr>
          <w:p w14:paraId="55F5D95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color w:val="auto"/>
                <w:sz w:val="24"/>
                <w:szCs w:val="24"/>
                <w:lang w:eastAsia="zh-CN"/>
              </w:rPr>
              <w:t>机械废气</w:t>
            </w:r>
          </w:p>
        </w:tc>
        <w:tc>
          <w:tcPr>
            <w:tcW w:w="1848" w:type="dxa"/>
            <w:vAlign w:val="center"/>
          </w:tcPr>
          <w:p w14:paraId="14F274B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ascii="Times New Roman" w:hAnsi="Times New Roman" w:cs="Times New Roman"/>
                <w:color w:val="auto"/>
                <w:sz w:val="24"/>
                <w:szCs w:val="24"/>
                <w:lang w:val="zh-CN"/>
              </w:rPr>
              <w:t>SO</w:t>
            </w:r>
            <w:r>
              <w:rPr>
                <w:rFonts w:ascii="Times New Roman" w:hAnsi="Times New Roman" w:cs="Times New Roman"/>
                <w:color w:val="auto"/>
                <w:sz w:val="24"/>
                <w:szCs w:val="24"/>
                <w:vertAlign w:val="subscript"/>
                <w:lang w:val="zh-CN"/>
              </w:rPr>
              <w:t>2</w:t>
            </w:r>
            <w:r>
              <w:rPr>
                <w:rFonts w:ascii="Times New Roman" w:hAnsi="Times New Roman" w:cs="Times New Roman"/>
                <w:color w:val="auto"/>
                <w:sz w:val="24"/>
                <w:szCs w:val="24"/>
                <w:lang w:val="zh-CN"/>
              </w:rPr>
              <w:t>、HC、NO</w:t>
            </w:r>
          </w:p>
        </w:tc>
        <w:tc>
          <w:tcPr>
            <w:tcW w:w="1980" w:type="dxa"/>
            <w:vAlign w:val="center"/>
          </w:tcPr>
          <w:p w14:paraId="0664CE00">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加强设备维修</w:t>
            </w:r>
          </w:p>
          <w:p w14:paraId="6D8054B4">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eastAsia="宋体" w:cs="Times New Roman"/>
                <w:b w:val="0"/>
                <w:bCs w:val="0"/>
                <w:color w:val="auto"/>
                <w:sz w:val="24"/>
                <w:szCs w:val="24"/>
                <w:lang w:eastAsia="zh-CN"/>
              </w:rPr>
              <w:t>保养</w:t>
            </w:r>
          </w:p>
        </w:tc>
        <w:tc>
          <w:tcPr>
            <w:tcW w:w="2399" w:type="dxa"/>
            <w:vMerge w:val="restart"/>
            <w:tcBorders>
              <w:right w:val="single" w:color="auto" w:sz="12" w:space="0"/>
            </w:tcBorders>
            <w:vAlign w:val="center"/>
          </w:tcPr>
          <w:p w14:paraId="14ED2EEF">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对大气环境影响小</w:t>
            </w:r>
          </w:p>
        </w:tc>
      </w:tr>
      <w:tr w14:paraId="1A02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1C9506F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67CE1241">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Align w:val="center"/>
          </w:tcPr>
          <w:p w14:paraId="3278EF16">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color w:val="auto"/>
                <w:sz w:val="24"/>
                <w:szCs w:val="24"/>
                <w:lang w:eastAsia="zh-CN"/>
              </w:rPr>
              <w:t>装修废气</w:t>
            </w:r>
          </w:p>
        </w:tc>
        <w:tc>
          <w:tcPr>
            <w:tcW w:w="1848" w:type="dxa"/>
            <w:vAlign w:val="center"/>
          </w:tcPr>
          <w:p w14:paraId="101399E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甲苯</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二甲苯</w:t>
            </w:r>
            <w:r>
              <w:rPr>
                <w:rFonts w:hint="eastAsia" w:ascii="Times New Roman" w:hAnsi="Times New Roman" w:eastAsia="宋体" w:cs="Times New Roman"/>
                <w:color w:val="auto"/>
                <w:sz w:val="24"/>
                <w:szCs w:val="24"/>
                <w:lang w:eastAsia="zh-CN"/>
              </w:rPr>
              <w:t>、甲醛</w:t>
            </w:r>
          </w:p>
        </w:tc>
        <w:tc>
          <w:tcPr>
            <w:tcW w:w="1980" w:type="dxa"/>
            <w:vAlign w:val="center"/>
          </w:tcPr>
          <w:p w14:paraId="4FA6F8C1">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加强室内通风</w:t>
            </w:r>
          </w:p>
          <w:p w14:paraId="6D3B49B0">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以及采用绿色</w:t>
            </w:r>
          </w:p>
          <w:p w14:paraId="43FB9C2D">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eastAsia="宋体" w:cs="Times New Roman"/>
                <w:b w:val="0"/>
                <w:bCs w:val="0"/>
                <w:color w:val="auto"/>
                <w:sz w:val="24"/>
                <w:szCs w:val="24"/>
                <w:lang w:eastAsia="zh-CN"/>
              </w:rPr>
              <w:t>装修材料</w:t>
            </w:r>
          </w:p>
        </w:tc>
        <w:tc>
          <w:tcPr>
            <w:tcW w:w="2399" w:type="dxa"/>
            <w:vMerge w:val="continue"/>
            <w:tcBorders>
              <w:right w:val="single" w:color="auto" w:sz="12" w:space="0"/>
            </w:tcBorders>
            <w:vAlign w:val="center"/>
          </w:tcPr>
          <w:p w14:paraId="2F524603">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r>
      <w:tr w14:paraId="04007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7443A3D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restart"/>
            <w:vAlign w:val="center"/>
          </w:tcPr>
          <w:p w14:paraId="40B428CC">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营</w:t>
            </w:r>
          </w:p>
          <w:p w14:paraId="21E33E17">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运</w:t>
            </w:r>
          </w:p>
          <w:p w14:paraId="1A614165">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期</w:t>
            </w:r>
          </w:p>
        </w:tc>
        <w:tc>
          <w:tcPr>
            <w:tcW w:w="1393" w:type="dxa"/>
            <w:gridSpan w:val="2"/>
            <w:vMerge w:val="restart"/>
            <w:vAlign w:val="center"/>
          </w:tcPr>
          <w:p w14:paraId="4D1EE82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居民厨房</w:t>
            </w:r>
          </w:p>
        </w:tc>
        <w:tc>
          <w:tcPr>
            <w:tcW w:w="1848" w:type="dxa"/>
            <w:vAlign w:val="center"/>
          </w:tcPr>
          <w:p w14:paraId="07A782FB">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天然气燃烧</w:t>
            </w:r>
          </w:p>
          <w:p w14:paraId="4C37927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废气</w:t>
            </w:r>
          </w:p>
        </w:tc>
        <w:tc>
          <w:tcPr>
            <w:tcW w:w="1980" w:type="dxa"/>
            <w:vMerge w:val="restart"/>
            <w:vAlign w:val="center"/>
          </w:tcPr>
          <w:p w14:paraId="4AE68445">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eastAsia" w:ascii="宋体" w:hAnsi="宋体" w:eastAsia="宋体" w:cs="宋体"/>
                <w:color w:val="auto"/>
                <w:sz w:val="24"/>
                <w:lang w:eastAsia="zh-CN"/>
              </w:rPr>
              <w:t>预留专门的烟道</w:t>
            </w:r>
            <w:r>
              <w:rPr>
                <w:rFonts w:hint="eastAsia" w:ascii="宋体" w:hAnsi="宋体" w:eastAsia="宋体" w:cs="宋体"/>
                <w:color w:val="auto"/>
                <w:sz w:val="24"/>
              </w:rPr>
              <w:t>烟</w:t>
            </w:r>
            <w:r>
              <w:rPr>
                <w:rFonts w:hint="eastAsia" w:ascii="宋体" w:hAnsi="宋体" w:eastAsia="宋体" w:cs="宋体"/>
                <w:color w:val="auto"/>
                <w:sz w:val="24"/>
                <w:lang w:eastAsia="zh-CN"/>
              </w:rPr>
              <w:t>，</w:t>
            </w:r>
            <w:r>
              <w:rPr>
                <w:rFonts w:hint="eastAsia" w:ascii="宋体" w:hAnsi="宋体" w:eastAsia="宋体" w:cs="宋体"/>
                <w:color w:val="auto"/>
                <w:sz w:val="24"/>
              </w:rPr>
              <w:t>集中收集至各栋楼顶高空排放</w:t>
            </w:r>
          </w:p>
        </w:tc>
        <w:tc>
          <w:tcPr>
            <w:tcW w:w="2399" w:type="dxa"/>
            <w:vMerge w:val="restart"/>
            <w:tcBorders>
              <w:right w:val="single" w:color="auto" w:sz="12" w:space="0"/>
            </w:tcBorders>
            <w:vAlign w:val="center"/>
          </w:tcPr>
          <w:p w14:paraId="767E61CB">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pacing w:val="0"/>
                <w:sz w:val="24"/>
                <w:szCs w:val="24"/>
              </w:rPr>
            </w:pPr>
            <w:r>
              <w:rPr>
                <w:rFonts w:hint="eastAsia" w:ascii="Times New Roman" w:hAnsi="Times New Roman" w:eastAsia="宋体" w:cs="Times New Roman"/>
                <w:color w:val="auto"/>
                <w:spacing w:val="0"/>
                <w:sz w:val="24"/>
                <w:szCs w:val="24"/>
                <w:lang w:eastAsia="zh-CN"/>
              </w:rPr>
              <w:t>满足</w:t>
            </w:r>
            <w:r>
              <w:rPr>
                <w:rFonts w:hint="default" w:ascii="Times New Roman" w:hAnsi="Times New Roman" w:eastAsia="宋体" w:cs="Times New Roman"/>
                <w:color w:val="auto"/>
                <w:spacing w:val="0"/>
                <w:sz w:val="24"/>
                <w:szCs w:val="24"/>
              </w:rPr>
              <w:t>《</w:t>
            </w:r>
            <w:r>
              <w:rPr>
                <w:rFonts w:hint="default" w:ascii="Times New Roman" w:hAnsi="Times New Roman" w:eastAsia="宋体" w:cs="Times New Roman"/>
                <w:color w:val="auto"/>
                <w:spacing w:val="0"/>
                <w:sz w:val="24"/>
                <w:szCs w:val="24"/>
                <w:lang w:eastAsia="zh-CN"/>
              </w:rPr>
              <w:t>饮食业油烟</w:t>
            </w:r>
            <w:r>
              <w:rPr>
                <w:rFonts w:hint="default" w:ascii="Times New Roman" w:hAnsi="Times New Roman" w:eastAsia="宋体" w:cs="Times New Roman"/>
                <w:color w:val="auto"/>
                <w:spacing w:val="0"/>
                <w:sz w:val="24"/>
                <w:szCs w:val="24"/>
              </w:rPr>
              <w:t>排放标准》</w:t>
            </w:r>
            <w:r>
              <w:rPr>
                <w:rFonts w:hint="default" w:ascii="Times New Roman" w:hAnsi="Times New Roman" w:eastAsia="宋体" w:cs="Times New Roman"/>
                <w:color w:val="auto"/>
                <w:spacing w:val="0"/>
                <w:sz w:val="24"/>
                <w:szCs w:val="24"/>
                <w:lang w:eastAsia="zh-CN"/>
              </w:rPr>
              <w:t>（</w:t>
            </w:r>
            <w:r>
              <w:rPr>
                <w:rFonts w:hint="default" w:ascii="Times New Roman" w:hAnsi="Times New Roman" w:eastAsia="宋体" w:cs="Times New Roman"/>
                <w:color w:val="auto"/>
                <w:spacing w:val="0"/>
                <w:sz w:val="24"/>
                <w:szCs w:val="24"/>
              </w:rPr>
              <w:t>GB1</w:t>
            </w:r>
            <w:r>
              <w:rPr>
                <w:rFonts w:hint="default" w:ascii="Times New Roman" w:hAnsi="Times New Roman" w:eastAsia="宋体" w:cs="Times New Roman"/>
                <w:color w:val="auto"/>
                <w:spacing w:val="0"/>
                <w:sz w:val="24"/>
                <w:szCs w:val="24"/>
                <w:lang w:val="en-US" w:eastAsia="zh-CN"/>
              </w:rPr>
              <w:t>8483</w:t>
            </w:r>
            <w:r>
              <w:rPr>
                <w:rFonts w:hint="default" w:ascii="Times New Roman" w:hAnsi="Times New Roman" w:eastAsia="宋体" w:cs="Times New Roman"/>
                <w:color w:val="auto"/>
                <w:spacing w:val="0"/>
                <w:sz w:val="24"/>
                <w:szCs w:val="24"/>
              </w:rPr>
              <w:t>-</w:t>
            </w:r>
            <w:r>
              <w:rPr>
                <w:rFonts w:hint="default" w:ascii="Times New Roman" w:hAnsi="Times New Roman" w:eastAsia="宋体" w:cs="Times New Roman"/>
                <w:color w:val="auto"/>
                <w:spacing w:val="0"/>
                <w:sz w:val="24"/>
                <w:szCs w:val="24"/>
                <w:lang w:val="en-US" w:eastAsia="zh-CN"/>
              </w:rPr>
              <w:t>2001</w:t>
            </w:r>
            <w:r>
              <w:rPr>
                <w:rFonts w:hint="default" w:ascii="Times New Roman" w:hAnsi="Times New Roman" w:eastAsia="宋体" w:cs="Times New Roman"/>
                <w:color w:val="auto"/>
                <w:spacing w:val="0"/>
                <w:sz w:val="24"/>
                <w:szCs w:val="24"/>
                <w:lang w:eastAsia="zh-CN"/>
              </w:rPr>
              <w:t>）</w:t>
            </w:r>
            <w:r>
              <w:rPr>
                <w:rFonts w:hint="default" w:ascii="Times New Roman" w:hAnsi="Times New Roman" w:eastAsia="宋体" w:cs="Times New Roman"/>
                <w:color w:val="auto"/>
                <w:spacing w:val="0"/>
                <w:sz w:val="24"/>
                <w:szCs w:val="24"/>
              </w:rPr>
              <w:t>中油烟最高允许排放</w:t>
            </w:r>
          </w:p>
          <w:p w14:paraId="2DDA19D6">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pacing w:val="0"/>
                <w:sz w:val="24"/>
                <w:szCs w:val="24"/>
              </w:rPr>
              <w:t>浓度限值</w:t>
            </w:r>
          </w:p>
        </w:tc>
      </w:tr>
      <w:tr w14:paraId="27AAD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65C362E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2D1D9D46">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Merge w:val="continue"/>
            <w:vAlign w:val="center"/>
          </w:tcPr>
          <w:p w14:paraId="6B1D49F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rPr>
            </w:pPr>
          </w:p>
        </w:tc>
        <w:tc>
          <w:tcPr>
            <w:tcW w:w="1848" w:type="dxa"/>
            <w:vAlign w:val="center"/>
          </w:tcPr>
          <w:p w14:paraId="162302CF">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油烟</w:t>
            </w:r>
          </w:p>
        </w:tc>
        <w:tc>
          <w:tcPr>
            <w:tcW w:w="1980" w:type="dxa"/>
            <w:vMerge w:val="continue"/>
            <w:vAlign w:val="center"/>
          </w:tcPr>
          <w:p w14:paraId="1F836AA6">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2399" w:type="dxa"/>
            <w:vMerge w:val="continue"/>
            <w:tcBorders>
              <w:right w:val="single" w:color="auto" w:sz="12" w:space="0"/>
            </w:tcBorders>
            <w:vAlign w:val="center"/>
          </w:tcPr>
          <w:p w14:paraId="0C630924">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r>
      <w:tr w14:paraId="2B89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1BE0167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3840DFCA">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Merge w:val="restart"/>
            <w:vAlign w:val="center"/>
          </w:tcPr>
          <w:p w14:paraId="5DE42AF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color w:val="auto"/>
                <w:sz w:val="24"/>
                <w:szCs w:val="24"/>
                <w:lang w:eastAsia="zh-CN"/>
              </w:rPr>
              <w:t>地下车库</w:t>
            </w:r>
          </w:p>
        </w:tc>
        <w:tc>
          <w:tcPr>
            <w:tcW w:w="1848" w:type="dxa"/>
            <w:vAlign w:val="center"/>
          </w:tcPr>
          <w:p w14:paraId="61DCF16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CO</w:t>
            </w:r>
          </w:p>
        </w:tc>
        <w:tc>
          <w:tcPr>
            <w:tcW w:w="1980" w:type="dxa"/>
            <w:vMerge w:val="restart"/>
            <w:vAlign w:val="center"/>
          </w:tcPr>
          <w:p w14:paraId="68ABCC63">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eastAsia" w:ascii="宋体" w:hAnsi="宋体" w:eastAsia="宋体" w:cs="宋体"/>
                <w:color w:val="auto"/>
                <w:sz w:val="24"/>
              </w:rPr>
              <w:t>地下车库抽排风系统，地面绿化带设置隐蔽排放口</w:t>
            </w:r>
          </w:p>
        </w:tc>
        <w:tc>
          <w:tcPr>
            <w:tcW w:w="2399" w:type="dxa"/>
            <w:vMerge w:val="restart"/>
            <w:tcBorders>
              <w:right w:val="single" w:color="auto" w:sz="12" w:space="0"/>
            </w:tcBorders>
            <w:vAlign w:val="center"/>
          </w:tcPr>
          <w:p w14:paraId="6AC6C5DA">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lang w:eastAsia="zh-CN"/>
              </w:rPr>
              <w:t>满足</w:t>
            </w:r>
            <w:r>
              <w:rPr>
                <w:rFonts w:hint="default" w:ascii="Times New Roman" w:hAnsi="Times New Roman" w:eastAsia="宋体" w:cs="Times New Roman"/>
                <w:b w:val="0"/>
                <w:bCs w:val="0"/>
                <w:color w:val="auto"/>
                <w:sz w:val="24"/>
                <w:szCs w:val="24"/>
              </w:rPr>
              <w:t>《大气污染物综合排放标准》</w:t>
            </w:r>
            <w:r>
              <w:rPr>
                <w:rFonts w:hint="eastAsia"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GB16297-1996</w:t>
            </w:r>
            <w:r>
              <w:rPr>
                <w:rFonts w:hint="eastAsia"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表2</w:t>
            </w:r>
            <w:r>
              <w:rPr>
                <w:rFonts w:hint="eastAsia" w:ascii="Times New Roman" w:hAnsi="Times New Roman" w:eastAsia="宋体" w:cs="Times New Roman"/>
                <w:b w:val="0"/>
                <w:bCs w:val="0"/>
                <w:color w:val="auto"/>
                <w:sz w:val="24"/>
                <w:szCs w:val="24"/>
                <w:lang w:eastAsia="zh-CN"/>
              </w:rPr>
              <w:t>新污染源大气污染物无组织排放监控浓度限值</w:t>
            </w:r>
          </w:p>
        </w:tc>
      </w:tr>
      <w:tr w14:paraId="11BA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1E01544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0D560A19">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Merge w:val="continue"/>
            <w:vAlign w:val="center"/>
          </w:tcPr>
          <w:p w14:paraId="0427642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4"/>
                <w:szCs w:val="24"/>
                <w:lang w:eastAsia="zh-CN"/>
              </w:rPr>
            </w:pPr>
          </w:p>
        </w:tc>
        <w:tc>
          <w:tcPr>
            <w:tcW w:w="1848" w:type="dxa"/>
            <w:vAlign w:val="center"/>
          </w:tcPr>
          <w:p w14:paraId="2DD87F5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非甲烷总烃</w:t>
            </w:r>
          </w:p>
        </w:tc>
        <w:tc>
          <w:tcPr>
            <w:tcW w:w="1980" w:type="dxa"/>
            <w:vMerge w:val="continue"/>
            <w:vAlign w:val="center"/>
          </w:tcPr>
          <w:p w14:paraId="64123E08">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2399" w:type="dxa"/>
            <w:vMerge w:val="continue"/>
            <w:tcBorders>
              <w:right w:val="single" w:color="auto" w:sz="12" w:space="0"/>
            </w:tcBorders>
            <w:vAlign w:val="center"/>
          </w:tcPr>
          <w:p w14:paraId="1D7082FD">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r>
      <w:tr w14:paraId="1429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3C9D8116">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0F083D5E">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Merge w:val="continue"/>
            <w:vAlign w:val="center"/>
          </w:tcPr>
          <w:p w14:paraId="7B4B29F4">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4"/>
                <w:szCs w:val="24"/>
                <w:lang w:eastAsia="zh-CN"/>
              </w:rPr>
            </w:pPr>
          </w:p>
        </w:tc>
        <w:tc>
          <w:tcPr>
            <w:tcW w:w="1848" w:type="dxa"/>
            <w:vAlign w:val="center"/>
          </w:tcPr>
          <w:p w14:paraId="4EAC62F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NO</w:t>
            </w:r>
            <w:r>
              <w:rPr>
                <w:rFonts w:hint="default" w:ascii="Times New Roman" w:hAnsi="Times New Roman" w:eastAsia="宋体" w:cs="Times New Roman"/>
                <w:color w:val="auto"/>
                <w:sz w:val="24"/>
                <w:szCs w:val="24"/>
                <w:vertAlign w:val="subscript"/>
              </w:rPr>
              <w:t>2</w:t>
            </w:r>
          </w:p>
        </w:tc>
        <w:tc>
          <w:tcPr>
            <w:tcW w:w="1980" w:type="dxa"/>
            <w:vMerge w:val="continue"/>
            <w:vAlign w:val="center"/>
          </w:tcPr>
          <w:p w14:paraId="36E9C91A">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2399" w:type="dxa"/>
            <w:vMerge w:val="continue"/>
            <w:tcBorders>
              <w:right w:val="single" w:color="auto" w:sz="12" w:space="0"/>
            </w:tcBorders>
            <w:vAlign w:val="center"/>
          </w:tcPr>
          <w:p w14:paraId="5CE3DB51">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r>
      <w:tr w14:paraId="26B3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4BBA17F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4F4DB0FB">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Align w:val="center"/>
          </w:tcPr>
          <w:p w14:paraId="7259436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垃圾</w:t>
            </w:r>
          </w:p>
          <w:p w14:paraId="60ED6A0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收集点</w:t>
            </w:r>
          </w:p>
        </w:tc>
        <w:tc>
          <w:tcPr>
            <w:tcW w:w="1848" w:type="dxa"/>
            <w:vAlign w:val="center"/>
          </w:tcPr>
          <w:p w14:paraId="4A26F5D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恶臭</w:t>
            </w:r>
          </w:p>
        </w:tc>
        <w:tc>
          <w:tcPr>
            <w:tcW w:w="1980" w:type="dxa"/>
            <w:vAlign w:val="center"/>
          </w:tcPr>
          <w:p w14:paraId="73AEAECC">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eastAsia" w:ascii="Times New Roman" w:hAnsi="Times New Roman" w:cs="Times New Roman" w:eastAsiaTheme="minorEastAsia"/>
                <w:color w:val="auto"/>
                <w:sz w:val="24"/>
                <w:szCs w:val="24"/>
                <w:lang w:eastAsia="zh-CN"/>
              </w:rPr>
              <w:t>对</w:t>
            </w:r>
            <w:r>
              <w:rPr>
                <w:rFonts w:hint="default" w:ascii="Times New Roman" w:hAnsi="Times New Roman" w:cs="Times New Roman" w:eastAsiaTheme="minorEastAsia"/>
                <w:color w:val="auto"/>
                <w:sz w:val="24"/>
                <w:szCs w:val="24"/>
              </w:rPr>
              <w:t>垃圾桶</w:t>
            </w:r>
            <w:r>
              <w:rPr>
                <w:rFonts w:hint="eastAsia" w:ascii="Times New Roman" w:hAnsi="Times New Roman" w:cs="Times New Roman" w:eastAsiaTheme="minorEastAsia"/>
                <w:color w:val="auto"/>
                <w:sz w:val="24"/>
                <w:szCs w:val="24"/>
                <w:lang w:eastAsia="zh-CN"/>
              </w:rPr>
              <w:t>采用封闭设置</w:t>
            </w:r>
            <w:r>
              <w:rPr>
                <w:rFonts w:hint="default" w:ascii="Times New Roman" w:hAnsi="Times New Roman" w:cs="Times New Roman" w:eastAsiaTheme="minorEastAsia"/>
                <w:color w:val="auto"/>
                <w:sz w:val="24"/>
                <w:szCs w:val="24"/>
              </w:rPr>
              <w:t>，加强垃圾管理、及时清运，药剂喷洒除臭</w:t>
            </w:r>
          </w:p>
        </w:tc>
        <w:tc>
          <w:tcPr>
            <w:tcW w:w="2399" w:type="dxa"/>
            <w:tcBorders>
              <w:right w:val="single" w:color="auto" w:sz="12" w:space="0"/>
            </w:tcBorders>
            <w:vAlign w:val="center"/>
          </w:tcPr>
          <w:p w14:paraId="4974A5D9">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满足《恶臭污染物排放标准》(GB14554-93)</w:t>
            </w:r>
            <w:r>
              <w:rPr>
                <w:rFonts w:hint="eastAsia" w:eastAsia="宋体" w:cs="Times New Roman"/>
                <w:b w:val="0"/>
                <w:bCs w:val="0"/>
                <w:color w:val="auto"/>
                <w:sz w:val="24"/>
                <w:szCs w:val="24"/>
                <w:lang w:eastAsia="zh-CN"/>
              </w:rPr>
              <w:t>中</w:t>
            </w:r>
            <w:r>
              <w:rPr>
                <w:rFonts w:hint="default" w:ascii="Times New Roman" w:hAnsi="Times New Roman" w:eastAsia="宋体" w:cs="Times New Roman"/>
                <w:color w:val="auto"/>
                <w:spacing w:val="-3"/>
                <w:sz w:val="24"/>
              </w:rPr>
              <w:t>二级标准</w:t>
            </w:r>
          </w:p>
        </w:tc>
      </w:tr>
      <w:tr w14:paraId="535B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restart"/>
            <w:tcBorders>
              <w:left w:val="single" w:color="auto" w:sz="12" w:space="0"/>
            </w:tcBorders>
            <w:vAlign w:val="center"/>
          </w:tcPr>
          <w:p w14:paraId="734C8F6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水</w:t>
            </w:r>
          </w:p>
          <w:p w14:paraId="48EA16E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污</w:t>
            </w:r>
          </w:p>
          <w:p w14:paraId="370646A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染</w:t>
            </w:r>
          </w:p>
          <w:p w14:paraId="02E6284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物</w:t>
            </w:r>
          </w:p>
        </w:tc>
        <w:tc>
          <w:tcPr>
            <w:tcW w:w="644" w:type="dxa"/>
            <w:vMerge w:val="restart"/>
            <w:vAlign w:val="center"/>
          </w:tcPr>
          <w:p w14:paraId="507EA4F4">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施</w:t>
            </w:r>
          </w:p>
          <w:p w14:paraId="155B05EC">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工</w:t>
            </w:r>
          </w:p>
          <w:p w14:paraId="4D35093F">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期</w:t>
            </w:r>
          </w:p>
        </w:tc>
        <w:tc>
          <w:tcPr>
            <w:tcW w:w="1393" w:type="dxa"/>
            <w:gridSpan w:val="2"/>
            <w:vAlign w:val="center"/>
          </w:tcPr>
          <w:p w14:paraId="5F731F68">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color w:val="auto"/>
                <w:sz w:val="24"/>
                <w:szCs w:val="24"/>
              </w:rPr>
              <w:t>施工</w:t>
            </w:r>
            <w:r>
              <w:rPr>
                <w:rFonts w:hint="eastAsia" w:eastAsia="宋体" w:cs="Times New Roman"/>
                <w:b w:val="0"/>
                <w:bCs w:val="0"/>
                <w:color w:val="auto"/>
                <w:sz w:val="24"/>
                <w:szCs w:val="24"/>
                <w:lang w:eastAsia="zh-CN"/>
              </w:rPr>
              <w:t>废水</w:t>
            </w:r>
          </w:p>
        </w:tc>
        <w:tc>
          <w:tcPr>
            <w:tcW w:w="1848" w:type="dxa"/>
            <w:vAlign w:val="center"/>
          </w:tcPr>
          <w:p w14:paraId="6130B68F">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4"/>
                <w:szCs w:val="24"/>
              </w:rPr>
            </w:pPr>
            <w:r>
              <w:rPr>
                <w:rFonts w:hint="eastAsia" w:eastAsia="宋体" w:cs="Times New Roman"/>
                <w:b w:val="0"/>
                <w:bCs w:val="0"/>
                <w:color w:val="auto"/>
                <w:sz w:val="24"/>
                <w:szCs w:val="24"/>
                <w:lang w:eastAsia="zh-CN"/>
              </w:rPr>
              <w:t>主要污染物</w:t>
            </w:r>
            <w:r>
              <w:rPr>
                <w:rFonts w:hint="eastAsia" w:eastAsia="宋体" w:cs="Times New Roman"/>
                <w:b w:val="0"/>
                <w:bCs w:val="0"/>
                <w:color w:val="auto"/>
                <w:sz w:val="24"/>
                <w:szCs w:val="24"/>
                <w:lang w:val="en-US" w:eastAsia="zh-CN"/>
              </w:rPr>
              <w:t>SS，含量约为</w:t>
            </w:r>
            <w:r>
              <w:rPr>
                <w:rFonts w:hint="eastAsia"/>
                <w:color w:val="auto"/>
                <w:sz w:val="24"/>
                <w:lang w:val="en-US" w:eastAsia="zh-CN"/>
              </w:rPr>
              <w:t>2000~4000</w:t>
            </w:r>
            <w:r>
              <w:rPr>
                <w:rFonts w:hint="eastAsia"/>
                <w:color w:val="auto"/>
                <w:sz w:val="24"/>
              </w:rPr>
              <w:t>mg/L</w:t>
            </w:r>
          </w:p>
        </w:tc>
        <w:tc>
          <w:tcPr>
            <w:tcW w:w="1980" w:type="dxa"/>
            <w:vAlign w:val="center"/>
          </w:tcPr>
          <w:p w14:paraId="645994C2">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宋体" w:hAnsi="宋体" w:eastAsia="宋体" w:cs="宋体"/>
                <w:color w:val="auto"/>
                <w:sz w:val="24"/>
              </w:rPr>
            </w:pPr>
            <w:r>
              <w:rPr>
                <w:rFonts w:hint="eastAsia" w:ascii="宋体" w:hAnsi="宋体" w:eastAsia="宋体" w:cs="宋体"/>
                <w:color w:val="auto"/>
                <w:sz w:val="24"/>
              </w:rPr>
              <w:t>采用沉淀池处理后全部回用于场地的抑尘洒水，</w:t>
            </w:r>
          </w:p>
          <w:p w14:paraId="5BB44A7A">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ascii="宋体" w:hAnsi="宋体" w:eastAsia="宋体" w:cs="宋体"/>
                <w:color w:val="auto"/>
                <w:sz w:val="24"/>
              </w:rPr>
              <w:t>不排放</w:t>
            </w:r>
          </w:p>
        </w:tc>
        <w:tc>
          <w:tcPr>
            <w:tcW w:w="2399" w:type="dxa"/>
            <w:tcBorders>
              <w:right w:val="single" w:color="auto" w:sz="12" w:space="0"/>
            </w:tcBorders>
            <w:vAlign w:val="center"/>
          </w:tcPr>
          <w:p w14:paraId="5C05D607">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eastAsia="宋体" w:cs="Times New Roman"/>
                <w:b w:val="0"/>
                <w:bCs w:val="0"/>
                <w:color w:val="auto"/>
                <w:sz w:val="24"/>
                <w:szCs w:val="24"/>
                <w:lang w:eastAsia="zh-CN"/>
              </w:rPr>
              <w:t>对水环境影响小</w:t>
            </w:r>
          </w:p>
        </w:tc>
      </w:tr>
      <w:tr w14:paraId="6755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2A1D56E5">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53A93379">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Align w:val="center"/>
          </w:tcPr>
          <w:p w14:paraId="71859E61">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施工</w:t>
            </w:r>
          </w:p>
          <w:p w14:paraId="5A96C7C2">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4"/>
                <w:szCs w:val="24"/>
              </w:rPr>
            </w:pPr>
            <w:r>
              <w:rPr>
                <w:rFonts w:hint="eastAsia" w:eastAsia="宋体" w:cs="Times New Roman"/>
                <w:b w:val="0"/>
                <w:bCs w:val="0"/>
                <w:color w:val="auto"/>
                <w:sz w:val="24"/>
                <w:szCs w:val="24"/>
                <w:lang w:eastAsia="zh-CN"/>
              </w:rPr>
              <w:t>生活污水</w:t>
            </w:r>
          </w:p>
        </w:tc>
        <w:tc>
          <w:tcPr>
            <w:tcW w:w="1848" w:type="dxa"/>
            <w:vAlign w:val="center"/>
          </w:tcPr>
          <w:p w14:paraId="59BCA70E">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eastAsia="宋体" w:cs="Times New Roman"/>
                <w:b w:val="0"/>
                <w:bCs w:val="0"/>
                <w:color w:val="auto"/>
                <w:sz w:val="24"/>
                <w:szCs w:val="24"/>
                <w:lang w:eastAsia="zh-CN"/>
              </w:rPr>
            </w:pPr>
            <w:r>
              <w:rPr>
                <w:rFonts w:hint="eastAsia" w:ascii="Times New Roman" w:hAnsi="Times New Roman" w:eastAsia="宋体" w:cs="Times New Roman"/>
                <w:color w:val="auto"/>
                <w:sz w:val="24"/>
                <w:szCs w:val="24"/>
                <w:lang w:val="en-US" w:eastAsia="zh-CN"/>
              </w:rPr>
              <w:t>COD</w:t>
            </w:r>
            <w:r>
              <w:rPr>
                <w:rFonts w:hint="default" w:ascii="Times New Roman" w:hAnsi="Times New Roman" w:cs="Times New Roman"/>
                <w:color w:val="auto"/>
                <w:sz w:val="21"/>
                <w:szCs w:val="21"/>
              </w:rPr>
              <w:t>cr</w:t>
            </w: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color w:val="auto"/>
                <w:sz w:val="24"/>
                <w:szCs w:val="24"/>
              </w:rPr>
              <w:t>BOD</w:t>
            </w:r>
            <w:r>
              <w:rPr>
                <w:rFonts w:hint="default" w:ascii="Times New Roman" w:hAnsi="Times New Roman" w:eastAsia="宋体" w:cs="Times New Roman"/>
                <w:color w:val="auto"/>
                <w:sz w:val="24"/>
                <w:szCs w:val="24"/>
                <w:vertAlign w:val="subscript"/>
              </w:rPr>
              <w:t>5</w:t>
            </w:r>
            <w:r>
              <w:rPr>
                <w:rFonts w:hint="default" w:ascii="Times New Roman" w:hAnsi="Times New Roman" w:eastAsia="宋体" w:cs="Times New Roman"/>
                <w:b w:val="0"/>
                <w:bCs w:val="0"/>
                <w:color w:val="auto"/>
                <w:sz w:val="24"/>
                <w:szCs w:val="24"/>
              </w:rPr>
              <w:t>、NH</w:t>
            </w:r>
            <w:r>
              <w:rPr>
                <w:rFonts w:hint="default" w:ascii="Times New Roman" w:hAnsi="Times New Roman" w:eastAsia="宋体" w:cs="Times New Roman"/>
                <w:b w:val="0"/>
                <w:bCs w:val="0"/>
                <w:color w:val="auto"/>
                <w:sz w:val="24"/>
                <w:szCs w:val="24"/>
                <w:vertAlign w:val="subscript"/>
              </w:rPr>
              <w:t>3</w:t>
            </w:r>
            <w:r>
              <w:rPr>
                <w:rFonts w:hint="default" w:ascii="Times New Roman" w:hAnsi="Times New Roman" w:eastAsia="宋体" w:cs="Times New Roman"/>
                <w:b w:val="0"/>
                <w:bCs w:val="0"/>
                <w:color w:val="auto"/>
                <w:sz w:val="24"/>
                <w:szCs w:val="24"/>
              </w:rPr>
              <w:t>-N、SS</w:t>
            </w:r>
            <w:r>
              <w:rPr>
                <w:rFonts w:hint="eastAsia" w:eastAsia="宋体" w:cs="Times New Roman"/>
                <w:b w:val="0"/>
                <w:bCs w:val="0"/>
                <w:color w:val="auto"/>
                <w:sz w:val="24"/>
                <w:szCs w:val="24"/>
                <w:lang w:eastAsia="zh-CN"/>
              </w:rPr>
              <w:t>、</w:t>
            </w:r>
          </w:p>
          <w:p w14:paraId="39F02232">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4"/>
                <w:szCs w:val="24"/>
              </w:rPr>
            </w:pPr>
            <w:r>
              <w:rPr>
                <w:rFonts w:hint="eastAsia" w:eastAsia="宋体" w:cs="Times New Roman"/>
                <w:b w:val="0"/>
                <w:bCs w:val="0"/>
                <w:color w:val="auto"/>
                <w:sz w:val="24"/>
                <w:szCs w:val="24"/>
                <w:lang w:eastAsia="zh-CN"/>
              </w:rPr>
              <w:t>动植物油</w:t>
            </w:r>
          </w:p>
        </w:tc>
        <w:tc>
          <w:tcPr>
            <w:tcW w:w="1980" w:type="dxa"/>
            <w:vAlign w:val="center"/>
          </w:tcPr>
          <w:p w14:paraId="54301EBC">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eastAsia="宋体" w:cs="Times New Roman"/>
                <w:b w:val="0"/>
                <w:bCs w:val="0"/>
                <w:color w:val="auto"/>
                <w:sz w:val="24"/>
                <w:szCs w:val="24"/>
                <w:lang w:eastAsia="zh-CN"/>
              </w:rPr>
              <w:t>经临时简易化粪池处理后排入市政污水管网</w:t>
            </w:r>
          </w:p>
        </w:tc>
        <w:tc>
          <w:tcPr>
            <w:tcW w:w="2399" w:type="dxa"/>
            <w:tcBorders>
              <w:right w:val="single" w:color="auto" w:sz="12" w:space="0"/>
            </w:tcBorders>
            <w:vAlign w:val="center"/>
          </w:tcPr>
          <w:p w14:paraId="1B70857B">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满足《污水综合排放标准》（GB8978-1996）三级标准，氨氮</w:t>
            </w:r>
            <w:r>
              <w:rPr>
                <w:rFonts w:hint="eastAsia" w:ascii="Times New Roman" w:hAnsi="Times New Roman" w:eastAsia="宋体" w:cs="Times New Roman"/>
                <w:b w:val="0"/>
                <w:bCs w:val="0"/>
                <w:color w:val="auto"/>
                <w:sz w:val="24"/>
                <w:szCs w:val="24"/>
                <w:lang w:eastAsia="zh-CN"/>
              </w:rPr>
              <w:t>满足</w:t>
            </w:r>
            <w:r>
              <w:rPr>
                <w:rFonts w:hint="default" w:ascii="Times New Roman" w:hAnsi="Times New Roman" w:eastAsia="宋体" w:cs="Times New Roman"/>
                <w:b w:val="0"/>
                <w:bCs w:val="0"/>
                <w:color w:val="auto"/>
                <w:sz w:val="24"/>
                <w:szCs w:val="24"/>
              </w:rPr>
              <w:t>《污水排入城镇下水道水质标准》（GB/T31962-2015）</w:t>
            </w:r>
          </w:p>
        </w:tc>
      </w:tr>
      <w:tr w14:paraId="1A67C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47A71A6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restart"/>
            <w:vAlign w:val="center"/>
          </w:tcPr>
          <w:p w14:paraId="63ECD2E7">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营</w:t>
            </w:r>
          </w:p>
          <w:p w14:paraId="0EC1E4CB">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运</w:t>
            </w:r>
          </w:p>
          <w:p w14:paraId="58D13256">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期</w:t>
            </w:r>
          </w:p>
        </w:tc>
        <w:tc>
          <w:tcPr>
            <w:tcW w:w="1393" w:type="dxa"/>
            <w:gridSpan w:val="2"/>
            <w:vAlign w:val="center"/>
          </w:tcPr>
          <w:p w14:paraId="0059D874">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商业区、</w:t>
            </w:r>
          </w:p>
          <w:p w14:paraId="186D55A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住宅区、</w:t>
            </w:r>
          </w:p>
          <w:p w14:paraId="6DC426F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配套公建</w:t>
            </w:r>
          </w:p>
          <w:p w14:paraId="2260F9F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设施用房、</w:t>
            </w:r>
          </w:p>
          <w:p w14:paraId="34E1193C">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4"/>
                <w:szCs w:val="24"/>
              </w:rPr>
            </w:pPr>
            <w:r>
              <w:rPr>
                <w:rFonts w:hint="eastAsia" w:ascii="宋体" w:hAnsi="宋体" w:eastAsia="宋体" w:cs="宋体"/>
                <w:color w:val="auto"/>
                <w:sz w:val="24"/>
                <w:szCs w:val="24"/>
                <w:lang w:eastAsia="zh-CN"/>
              </w:rPr>
              <w:t>的生活污水</w:t>
            </w:r>
          </w:p>
        </w:tc>
        <w:tc>
          <w:tcPr>
            <w:tcW w:w="1848" w:type="dxa"/>
            <w:vAlign w:val="center"/>
          </w:tcPr>
          <w:p w14:paraId="5E4B699E">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eastAsia="宋体" w:cs="Times New Roman"/>
                <w:b w:val="0"/>
                <w:bCs w:val="0"/>
                <w:color w:val="auto"/>
                <w:sz w:val="24"/>
                <w:szCs w:val="24"/>
                <w:lang w:eastAsia="zh-CN"/>
              </w:rPr>
            </w:pPr>
            <w:r>
              <w:rPr>
                <w:rFonts w:hint="eastAsia" w:ascii="Times New Roman" w:hAnsi="Times New Roman" w:eastAsia="宋体" w:cs="Times New Roman"/>
                <w:color w:val="auto"/>
                <w:sz w:val="24"/>
                <w:szCs w:val="24"/>
                <w:lang w:val="en-US" w:eastAsia="zh-CN"/>
              </w:rPr>
              <w:t>COD</w:t>
            </w:r>
            <w:r>
              <w:rPr>
                <w:rFonts w:hint="default" w:ascii="Times New Roman" w:hAnsi="Times New Roman" w:cs="Times New Roman"/>
                <w:color w:val="auto"/>
                <w:sz w:val="21"/>
                <w:szCs w:val="21"/>
              </w:rPr>
              <w:t>cr</w:t>
            </w: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color w:val="auto"/>
                <w:sz w:val="24"/>
                <w:szCs w:val="24"/>
              </w:rPr>
              <w:t>BOD</w:t>
            </w:r>
            <w:r>
              <w:rPr>
                <w:rFonts w:hint="default" w:ascii="Times New Roman" w:hAnsi="Times New Roman" w:eastAsia="宋体" w:cs="Times New Roman"/>
                <w:color w:val="auto"/>
                <w:sz w:val="24"/>
                <w:szCs w:val="24"/>
                <w:vertAlign w:val="subscript"/>
              </w:rPr>
              <w:t>5</w:t>
            </w:r>
            <w:r>
              <w:rPr>
                <w:rFonts w:hint="default" w:ascii="Times New Roman" w:hAnsi="Times New Roman" w:eastAsia="宋体" w:cs="Times New Roman"/>
                <w:b w:val="0"/>
                <w:bCs w:val="0"/>
                <w:color w:val="auto"/>
                <w:sz w:val="24"/>
                <w:szCs w:val="24"/>
              </w:rPr>
              <w:t>、NH</w:t>
            </w:r>
            <w:r>
              <w:rPr>
                <w:rFonts w:hint="default" w:ascii="Times New Roman" w:hAnsi="Times New Roman" w:eastAsia="宋体" w:cs="Times New Roman"/>
                <w:b w:val="0"/>
                <w:bCs w:val="0"/>
                <w:color w:val="auto"/>
                <w:sz w:val="24"/>
                <w:szCs w:val="24"/>
                <w:vertAlign w:val="subscript"/>
              </w:rPr>
              <w:t>3</w:t>
            </w:r>
            <w:r>
              <w:rPr>
                <w:rFonts w:hint="default" w:ascii="Times New Roman" w:hAnsi="Times New Roman" w:eastAsia="宋体" w:cs="Times New Roman"/>
                <w:b w:val="0"/>
                <w:bCs w:val="0"/>
                <w:color w:val="auto"/>
                <w:sz w:val="24"/>
                <w:szCs w:val="24"/>
              </w:rPr>
              <w:t>-N、SS</w:t>
            </w:r>
            <w:r>
              <w:rPr>
                <w:rFonts w:hint="eastAsia" w:eastAsia="宋体" w:cs="Times New Roman"/>
                <w:b w:val="0"/>
                <w:bCs w:val="0"/>
                <w:color w:val="auto"/>
                <w:sz w:val="24"/>
                <w:szCs w:val="24"/>
                <w:lang w:eastAsia="zh-CN"/>
              </w:rPr>
              <w:t>、</w:t>
            </w:r>
          </w:p>
          <w:p w14:paraId="2CFF7A54">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4"/>
                <w:szCs w:val="24"/>
              </w:rPr>
            </w:pPr>
            <w:r>
              <w:rPr>
                <w:rFonts w:hint="eastAsia" w:eastAsia="宋体" w:cs="Times New Roman"/>
                <w:b w:val="0"/>
                <w:bCs w:val="0"/>
                <w:color w:val="auto"/>
                <w:sz w:val="24"/>
                <w:szCs w:val="24"/>
                <w:lang w:eastAsia="zh-CN"/>
              </w:rPr>
              <w:t>动植物油</w:t>
            </w:r>
          </w:p>
        </w:tc>
        <w:tc>
          <w:tcPr>
            <w:tcW w:w="1980" w:type="dxa"/>
            <w:vMerge w:val="restart"/>
            <w:vAlign w:val="center"/>
          </w:tcPr>
          <w:p w14:paraId="417888A2">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eastAsia" w:ascii="宋体" w:hAnsi="宋体" w:eastAsia="宋体" w:cs="宋体"/>
                <w:color w:val="auto"/>
                <w:sz w:val="24"/>
                <w:lang w:eastAsia="zh-CN"/>
              </w:rPr>
              <w:t>冲洗废水</w:t>
            </w:r>
            <w:r>
              <w:rPr>
                <w:rFonts w:hint="eastAsia" w:ascii="宋体" w:hAnsi="宋体" w:eastAsia="宋体" w:cs="宋体"/>
                <w:color w:val="auto"/>
                <w:sz w:val="24"/>
              </w:rPr>
              <w:t>经</w:t>
            </w:r>
            <w:r>
              <w:rPr>
                <w:rFonts w:hint="eastAsia" w:ascii="宋体" w:hAnsi="宋体" w:eastAsia="宋体" w:cs="宋体"/>
                <w:color w:val="auto"/>
                <w:sz w:val="24"/>
                <w:lang w:eastAsia="zh-CN"/>
              </w:rPr>
              <w:t>过隔油沉砂池和生活污水一起通过</w:t>
            </w:r>
            <w:r>
              <w:rPr>
                <w:rFonts w:hint="eastAsia" w:ascii="宋体" w:hAnsi="宋体" w:eastAsia="宋体" w:cs="宋体"/>
                <w:color w:val="auto"/>
                <w:sz w:val="24"/>
              </w:rPr>
              <w:t>化粪池处理后</w:t>
            </w:r>
            <w:r>
              <w:rPr>
                <w:rFonts w:hint="eastAsia" w:ascii="宋体" w:hAnsi="宋体" w:eastAsia="宋体" w:cs="宋体"/>
                <w:color w:val="auto"/>
                <w:sz w:val="24"/>
                <w:lang w:eastAsia="zh-CN"/>
              </w:rPr>
              <w:t>通过项目总排口排入</w:t>
            </w:r>
            <w:r>
              <w:rPr>
                <w:rFonts w:hint="eastAsia" w:ascii="宋体" w:hAnsi="宋体" w:eastAsia="宋体" w:cs="宋体"/>
                <w:color w:val="auto"/>
                <w:sz w:val="24"/>
              </w:rPr>
              <w:t>市政污水管网</w:t>
            </w:r>
          </w:p>
        </w:tc>
        <w:tc>
          <w:tcPr>
            <w:tcW w:w="2399" w:type="dxa"/>
            <w:vMerge w:val="restart"/>
            <w:tcBorders>
              <w:right w:val="single" w:color="auto" w:sz="12" w:space="0"/>
            </w:tcBorders>
            <w:vAlign w:val="center"/>
          </w:tcPr>
          <w:p w14:paraId="67B23CD8">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满足《污水综合排放标准》（GB8978-1996）三级标准，氨氮</w:t>
            </w:r>
            <w:r>
              <w:rPr>
                <w:rFonts w:hint="eastAsia" w:ascii="Times New Roman" w:hAnsi="Times New Roman" w:eastAsia="宋体" w:cs="Times New Roman"/>
                <w:b w:val="0"/>
                <w:bCs w:val="0"/>
                <w:color w:val="auto"/>
                <w:sz w:val="24"/>
                <w:szCs w:val="24"/>
                <w:lang w:eastAsia="zh-CN"/>
              </w:rPr>
              <w:t>满足</w:t>
            </w:r>
            <w:r>
              <w:rPr>
                <w:rFonts w:hint="default" w:ascii="Times New Roman" w:hAnsi="Times New Roman" w:eastAsia="宋体" w:cs="Times New Roman"/>
                <w:b w:val="0"/>
                <w:bCs w:val="0"/>
                <w:color w:val="auto"/>
                <w:sz w:val="24"/>
                <w:szCs w:val="24"/>
              </w:rPr>
              <w:t>《污水排入城镇下水道水质标准》（GB/T31962-2015）</w:t>
            </w:r>
          </w:p>
        </w:tc>
      </w:tr>
      <w:tr w14:paraId="72C0B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1C30FB5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5B91AB26">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Align w:val="center"/>
          </w:tcPr>
          <w:p w14:paraId="3BD72319">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地下车库</w:t>
            </w:r>
          </w:p>
          <w:p w14:paraId="579FE2EB">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清洗废水</w:t>
            </w:r>
          </w:p>
        </w:tc>
        <w:tc>
          <w:tcPr>
            <w:tcW w:w="1848" w:type="dxa"/>
            <w:vAlign w:val="center"/>
          </w:tcPr>
          <w:p w14:paraId="61876456">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ascii="Times New Roman" w:hAnsi="Times New Roman" w:eastAsia="宋体" w:cs="Times New Roman"/>
                <w:color w:val="auto"/>
                <w:sz w:val="24"/>
                <w:szCs w:val="24"/>
                <w:lang w:val="en-US" w:eastAsia="zh-CN"/>
              </w:rPr>
              <w:t>COD</w:t>
            </w:r>
            <w:r>
              <w:rPr>
                <w:rFonts w:hint="default" w:ascii="Times New Roman" w:hAnsi="Times New Roman" w:cs="Times New Roman"/>
                <w:color w:val="auto"/>
                <w:sz w:val="21"/>
                <w:szCs w:val="21"/>
              </w:rPr>
              <w:t>cr</w:t>
            </w:r>
            <w:r>
              <w:rPr>
                <w:rFonts w:hint="default" w:ascii="Times New Roman" w:hAnsi="Times New Roman" w:eastAsia="宋体" w:cs="Times New Roman"/>
                <w:b w:val="0"/>
                <w:bCs w:val="0"/>
                <w:color w:val="auto"/>
                <w:sz w:val="24"/>
                <w:szCs w:val="24"/>
              </w:rPr>
              <w:t>、SS</w:t>
            </w:r>
            <w:r>
              <w:rPr>
                <w:rFonts w:hint="eastAsia" w:ascii="Times New Roman" w:hAnsi="Times New Roman" w:eastAsia="宋体" w:cs="Times New Roman"/>
                <w:b w:val="0"/>
                <w:bCs w:val="0"/>
                <w:color w:val="auto"/>
                <w:sz w:val="24"/>
                <w:szCs w:val="24"/>
                <w:lang w:eastAsia="zh-CN"/>
              </w:rPr>
              <w:t>、</w:t>
            </w:r>
          </w:p>
          <w:p w14:paraId="717ED49E">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color w:val="auto"/>
                <w:sz w:val="24"/>
                <w:szCs w:val="24"/>
              </w:rPr>
              <w:t>石油类</w:t>
            </w:r>
          </w:p>
        </w:tc>
        <w:tc>
          <w:tcPr>
            <w:tcW w:w="1980" w:type="dxa"/>
            <w:vMerge w:val="continue"/>
            <w:vAlign w:val="center"/>
          </w:tcPr>
          <w:p w14:paraId="74DD23B9">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2399" w:type="dxa"/>
            <w:vMerge w:val="continue"/>
            <w:tcBorders>
              <w:right w:val="single" w:color="auto" w:sz="12" w:space="0"/>
            </w:tcBorders>
            <w:vAlign w:val="center"/>
          </w:tcPr>
          <w:p w14:paraId="2438B348">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r>
      <w:tr w14:paraId="4E2A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restart"/>
            <w:tcBorders>
              <w:left w:val="single" w:color="auto" w:sz="12" w:space="0"/>
            </w:tcBorders>
            <w:vAlign w:val="center"/>
          </w:tcPr>
          <w:p w14:paraId="29AB131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固体废物</w:t>
            </w:r>
          </w:p>
        </w:tc>
        <w:tc>
          <w:tcPr>
            <w:tcW w:w="644" w:type="dxa"/>
            <w:vMerge w:val="restart"/>
            <w:vAlign w:val="center"/>
          </w:tcPr>
          <w:p w14:paraId="2410ACF6">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施</w:t>
            </w:r>
          </w:p>
          <w:p w14:paraId="4FBE73BC">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工</w:t>
            </w:r>
          </w:p>
          <w:p w14:paraId="67621207">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期</w:t>
            </w:r>
          </w:p>
        </w:tc>
        <w:tc>
          <w:tcPr>
            <w:tcW w:w="1393" w:type="dxa"/>
            <w:gridSpan w:val="2"/>
            <w:vMerge w:val="restart"/>
            <w:vAlign w:val="center"/>
          </w:tcPr>
          <w:p w14:paraId="4367921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施工场地</w:t>
            </w:r>
          </w:p>
        </w:tc>
        <w:tc>
          <w:tcPr>
            <w:tcW w:w="1848" w:type="dxa"/>
            <w:vAlign w:val="center"/>
          </w:tcPr>
          <w:p w14:paraId="1D4D9C5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color w:val="auto"/>
                <w:sz w:val="24"/>
                <w:szCs w:val="24"/>
                <w:lang w:eastAsia="zh-CN"/>
              </w:rPr>
              <w:t>建筑</w:t>
            </w:r>
            <w:r>
              <w:rPr>
                <w:rFonts w:hint="default" w:ascii="Times New Roman" w:hAnsi="Times New Roman" w:eastAsia="宋体" w:cs="Times New Roman"/>
                <w:color w:val="auto"/>
                <w:sz w:val="24"/>
                <w:szCs w:val="24"/>
              </w:rPr>
              <w:t>垃圾</w:t>
            </w:r>
          </w:p>
        </w:tc>
        <w:tc>
          <w:tcPr>
            <w:tcW w:w="1980" w:type="dxa"/>
            <w:vMerge w:val="restart"/>
            <w:vAlign w:val="center"/>
          </w:tcPr>
          <w:p w14:paraId="08A79EA5">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eastAsia="宋体" w:cs="Times New Roman"/>
                <w:b w:val="0"/>
                <w:bCs w:val="0"/>
                <w:color w:val="auto"/>
                <w:sz w:val="24"/>
                <w:szCs w:val="24"/>
                <w:lang w:eastAsia="zh-CN"/>
              </w:rPr>
              <w:t>交由环卫部门清运处理</w:t>
            </w:r>
          </w:p>
        </w:tc>
        <w:tc>
          <w:tcPr>
            <w:tcW w:w="2399" w:type="dxa"/>
            <w:vMerge w:val="restart"/>
            <w:tcBorders>
              <w:right w:val="single" w:color="auto" w:sz="12" w:space="0"/>
            </w:tcBorders>
            <w:vAlign w:val="center"/>
          </w:tcPr>
          <w:p w14:paraId="70A9577B">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eastAsia="宋体" w:cs="Times New Roman"/>
                <w:b w:val="0"/>
                <w:bCs w:val="0"/>
                <w:color w:val="auto"/>
                <w:sz w:val="24"/>
                <w:szCs w:val="24"/>
                <w:lang w:eastAsia="zh-CN"/>
              </w:rPr>
              <w:t>零排放</w:t>
            </w:r>
          </w:p>
        </w:tc>
      </w:tr>
      <w:tr w14:paraId="5AE5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6151879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2FA7974D">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Merge w:val="continue"/>
            <w:vAlign w:val="center"/>
          </w:tcPr>
          <w:p w14:paraId="77B1371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p>
        </w:tc>
        <w:tc>
          <w:tcPr>
            <w:tcW w:w="1848" w:type="dxa"/>
            <w:vAlign w:val="center"/>
          </w:tcPr>
          <w:p w14:paraId="6405251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color w:val="auto"/>
                <w:sz w:val="24"/>
                <w:szCs w:val="24"/>
                <w:lang w:eastAsia="zh-CN"/>
              </w:rPr>
              <w:t>生活垃圾</w:t>
            </w:r>
          </w:p>
        </w:tc>
        <w:tc>
          <w:tcPr>
            <w:tcW w:w="1980" w:type="dxa"/>
            <w:vMerge w:val="continue"/>
            <w:vAlign w:val="center"/>
          </w:tcPr>
          <w:p w14:paraId="38E64BE8">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2399" w:type="dxa"/>
            <w:vMerge w:val="continue"/>
            <w:tcBorders>
              <w:right w:val="single" w:color="auto" w:sz="12" w:space="0"/>
            </w:tcBorders>
            <w:vAlign w:val="center"/>
          </w:tcPr>
          <w:p w14:paraId="19F4BAA9">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r>
      <w:tr w14:paraId="5637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5237A43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0CEA9356">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Merge w:val="continue"/>
            <w:vAlign w:val="center"/>
          </w:tcPr>
          <w:p w14:paraId="39D5F40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p>
        </w:tc>
        <w:tc>
          <w:tcPr>
            <w:tcW w:w="1848" w:type="dxa"/>
            <w:vAlign w:val="center"/>
          </w:tcPr>
          <w:p w14:paraId="23A1FAA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4"/>
                <w:szCs w:val="24"/>
                <w:lang w:eastAsia="zh-CN"/>
              </w:rPr>
            </w:pPr>
            <w:r>
              <w:rPr>
                <w:rFonts w:hint="eastAsia" w:cs="Times New Roman"/>
                <w:color w:val="auto"/>
                <w:sz w:val="24"/>
                <w:szCs w:val="24"/>
                <w:lang w:eastAsia="zh-CN"/>
              </w:rPr>
              <w:t>工程挖方</w:t>
            </w:r>
          </w:p>
        </w:tc>
        <w:tc>
          <w:tcPr>
            <w:tcW w:w="1980" w:type="dxa"/>
            <w:vAlign w:val="center"/>
          </w:tcPr>
          <w:p w14:paraId="1E81FD9F">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eastAsia="宋体" w:cs="Times New Roman"/>
                <w:b w:val="0"/>
                <w:bCs w:val="0"/>
                <w:color w:val="auto"/>
                <w:sz w:val="24"/>
                <w:szCs w:val="24"/>
                <w:lang w:eastAsia="zh-CN"/>
              </w:rPr>
              <w:t>由专业渣土公司清运</w:t>
            </w:r>
          </w:p>
        </w:tc>
        <w:tc>
          <w:tcPr>
            <w:tcW w:w="2399" w:type="dxa"/>
            <w:vMerge w:val="continue"/>
            <w:tcBorders>
              <w:right w:val="single" w:color="auto" w:sz="12" w:space="0"/>
            </w:tcBorders>
            <w:vAlign w:val="center"/>
          </w:tcPr>
          <w:p w14:paraId="31AB4DF2">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r>
      <w:tr w14:paraId="0727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2428FE3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restart"/>
            <w:vAlign w:val="center"/>
          </w:tcPr>
          <w:p w14:paraId="6D5AC651">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营</w:t>
            </w:r>
          </w:p>
          <w:p w14:paraId="1679AD9A">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运</w:t>
            </w:r>
          </w:p>
          <w:p w14:paraId="15A7B035">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期</w:t>
            </w:r>
          </w:p>
        </w:tc>
        <w:tc>
          <w:tcPr>
            <w:tcW w:w="1393" w:type="dxa"/>
            <w:gridSpan w:val="2"/>
            <w:vAlign w:val="center"/>
          </w:tcPr>
          <w:p w14:paraId="3C93A0F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color w:val="auto"/>
                <w:sz w:val="24"/>
                <w:szCs w:val="24"/>
                <w:lang w:eastAsia="zh-CN"/>
              </w:rPr>
              <w:t>住宅楼</w:t>
            </w:r>
          </w:p>
        </w:tc>
        <w:tc>
          <w:tcPr>
            <w:tcW w:w="1848" w:type="dxa"/>
            <w:vAlign w:val="center"/>
          </w:tcPr>
          <w:p w14:paraId="5D175E85">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color w:val="auto"/>
                <w:sz w:val="24"/>
                <w:szCs w:val="24"/>
                <w:lang w:eastAsia="zh-CN"/>
              </w:rPr>
              <w:t>居民</w:t>
            </w:r>
            <w:r>
              <w:rPr>
                <w:rFonts w:hint="default" w:ascii="Times New Roman" w:hAnsi="Times New Roman" w:eastAsia="宋体" w:cs="Times New Roman"/>
                <w:color w:val="auto"/>
                <w:sz w:val="24"/>
                <w:szCs w:val="24"/>
              </w:rPr>
              <w:t>生活垃圾</w:t>
            </w:r>
          </w:p>
        </w:tc>
        <w:tc>
          <w:tcPr>
            <w:tcW w:w="1980" w:type="dxa"/>
            <w:vMerge w:val="restart"/>
            <w:vAlign w:val="center"/>
          </w:tcPr>
          <w:p w14:paraId="66B406D5">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eastAsia" w:eastAsia="宋体" w:cs="Times New Roman"/>
                <w:b w:val="0"/>
                <w:bCs w:val="0"/>
                <w:color w:val="auto"/>
                <w:sz w:val="24"/>
                <w:szCs w:val="24"/>
                <w:lang w:eastAsia="zh-CN"/>
              </w:rPr>
              <w:t>交由环卫部门清运处理</w:t>
            </w:r>
          </w:p>
        </w:tc>
        <w:tc>
          <w:tcPr>
            <w:tcW w:w="2399" w:type="dxa"/>
            <w:vMerge w:val="continue"/>
            <w:tcBorders>
              <w:right w:val="single" w:color="auto" w:sz="12" w:space="0"/>
            </w:tcBorders>
            <w:vAlign w:val="center"/>
          </w:tcPr>
          <w:p w14:paraId="5FF89A00">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r>
      <w:tr w14:paraId="7DF7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242BF7AF">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vMerge w:val="continue"/>
            <w:vAlign w:val="center"/>
          </w:tcPr>
          <w:p w14:paraId="40AFC6F3">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1393" w:type="dxa"/>
            <w:gridSpan w:val="2"/>
            <w:vAlign w:val="center"/>
          </w:tcPr>
          <w:p w14:paraId="55B7001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商铺及</w:t>
            </w:r>
          </w:p>
          <w:p w14:paraId="39001F5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eastAsia" w:ascii="宋体" w:hAnsi="宋体" w:eastAsia="宋体" w:cs="宋体"/>
                <w:color w:val="auto"/>
                <w:sz w:val="24"/>
                <w:szCs w:val="24"/>
                <w:lang w:eastAsia="zh-CN"/>
              </w:rPr>
              <w:t>配套公建设施用房</w:t>
            </w:r>
          </w:p>
        </w:tc>
        <w:tc>
          <w:tcPr>
            <w:tcW w:w="1848" w:type="dxa"/>
            <w:vAlign w:val="center"/>
          </w:tcPr>
          <w:p w14:paraId="7FFC9F88">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商铺及</w:t>
            </w:r>
          </w:p>
          <w:p w14:paraId="21F090C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4"/>
                <w:szCs w:val="24"/>
              </w:rPr>
            </w:pPr>
            <w:r>
              <w:rPr>
                <w:rFonts w:hint="eastAsia" w:ascii="宋体" w:hAnsi="宋体" w:eastAsia="宋体" w:cs="宋体"/>
                <w:color w:val="auto"/>
                <w:sz w:val="24"/>
                <w:szCs w:val="24"/>
                <w:lang w:eastAsia="zh-CN"/>
              </w:rPr>
              <w:t>配套公建设施用房</w:t>
            </w:r>
            <w:r>
              <w:rPr>
                <w:rFonts w:hint="eastAsia" w:ascii="Times New Roman" w:hAnsi="Times New Roman" w:eastAsia="宋体" w:cs="Times New Roman"/>
                <w:color w:val="auto"/>
                <w:sz w:val="24"/>
                <w:szCs w:val="24"/>
                <w:lang w:eastAsia="zh-CN"/>
              </w:rPr>
              <w:t>垃圾</w:t>
            </w:r>
          </w:p>
        </w:tc>
        <w:tc>
          <w:tcPr>
            <w:tcW w:w="1980" w:type="dxa"/>
            <w:vMerge w:val="continue"/>
            <w:vAlign w:val="center"/>
          </w:tcPr>
          <w:p w14:paraId="6743B371">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c>
          <w:tcPr>
            <w:tcW w:w="2399" w:type="dxa"/>
            <w:vMerge w:val="continue"/>
            <w:tcBorders>
              <w:right w:val="single" w:color="auto" w:sz="12" w:space="0"/>
            </w:tcBorders>
            <w:vAlign w:val="center"/>
          </w:tcPr>
          <w:p w14:paraId="41A7FF4D">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p>
        </w:tc>
      </w:tr>
      <w:tr w14:paraId="3050F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restart"/>
            <w:tcBorders>
              <w:left w:val="single" w:color="auto" w:sz="12" w:space="0"/>
            </w:tcBorders>
            <w:vAlign w:val="center"/>
          </w:tcPr>
          <w:p w14:paraId="0313E9F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噪声</w:t>
            </w:r>
          </w:p>
        </w:tc>
        <w:tc>
          <w:tcPr>
            <w:tcW w:w="644" w:type="dxa"/>
            <w:tcBorders>
              <w:right w:val="single" w:color="auto" w:sz="4" w:space="0"/>
            </w:tcBorders>
            <w:vAlign w:val="center"/>
          </w:tcPr>
          <w:p w14:paraId="11269CC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施</w:t>
            </w:r>
          </w:p>
          <w:p w14:paraId="61848B3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工</w:t>
            </w:r>
          </w:p>
          <w:p w14:paraId="0E62F3EE">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期</w:t>
            </w:r>
          </w:p>
        </w:tc>
        <w:tc>
          <w:tcPr>
            <w:tcW w:w="1393" w:type="dxa"/>
            <w:gridSpan w:val="2"/>
            <w:tcBorders>
              <w:right w:val="single" w:color="auto" w:sz="4" w:space="0"/>
            </w:tcBorders>
            <w:vAlign w:val="center"/>
          </w:tcPr>
          <w:p w14:paraId="5D9401B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施工</w:t>
            </w:r>
            <w:r>
              <w:rPr>
                <w:rFonts w:hint="eastAsia" w:cs="Times New Roman"/>
                <w:b w:val="0"/>
                <w:bCs w:val="0"/>
                <w:color w:val="auto"/>
                <w:sz w:val="24"/>
                <w:szCs w:val="24"/>
                <w:lang w:eastAsia="zh-CN"/>
              </w:rPr>
              <w:t>噪声</w:t>
            </w:r>
          </w:p>
        </w:tc>
        <w:tc>
          <w:tcPr>
            <w:tcW w:w="1848" w:type="dxa"/>
            <w:tcBorders>
              <w:left w:val="single" w:color="auto" w:sz="4" w:space="0"/>
              <w:right w:val="single" w:color="auto" w:sz="4" w:space="0"/>
            </w:tcBorders>
            <w:vAlign w:val="center"/>
          </w:tcPr>
          <w:p w14:paraId="3C7954C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设备及</w:t>
            </w:r>
          </w:p>
          <w:p w14:paraId="7E81FFD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运输车辆噪声</w:t>
            </w:r>
          </w:p>
        </w:tc>
        <w:tc>
          <w:tcPr>
            <w:tcW w:w="1980" w:type="dxa"/>
            <w:tcBorders>
              <w:left w:val="single" w:color="auto" w:sz="4" w:space="0"/>
              <w:right w:val="single" w:color="auto" w:sz="4" w:space="0"/>
            </w:tcBorders>
            <w:vAlign w:val="center"/>
          </w:tcPr>
          <w:p w14:paraId="7689376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cs="Times New Roman"/>
                <w:b w:val="0"/>
                <w:bCs w:val="0"/>
                <w:color w:val="auto"/>
                <w:sz w:val="24"/>
                <w:szCs w:val="24"/>
                <w:lang w:eastAsia="zh-CN"/>
              </w:rPr>
              <w:t>尽量采用低声装备、运输车辆限速行驶等</w:t>
            </w:r>
          </w:p>
        </w:tc>
        <w:tc>
          <w:tcPr>
            <w:tcW w:w="2399" w:type="dxa"/>
            <w:tcBorders>
              <w:left w:val="single" w:color="auto" w:sz="4" w:space="0"/>
              <w:right w:val="single" w:color="auto" w:sz="12" w:space="0"/>
            </w:tcBorders>
            <w:vAlign w:val="center"/>
          </w:tcPr>
          <w:p w14:paraId="66FC234D">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eastAsia" w:cs="Times New Roman"/>
                <w:b w:val="0"/>
                <w:bCs w:val="0"/>
                <w:color w:val="auto"/>
                <w:sz w:val="24"/>
                <w:szCs w:val="24"/>
                <w:lang w:eastAsia="zh-CN"/>
              </w:rPr>
              <w:t>满足</w:t>
            </w:r>
            <w:r>
              <w:rPr>
                <w:rFonts w:hint="default" w:ascii="Times New Roman" w:hAnsi="Times New Roman" w:eastAsia="宋体" w:cs="Times New Roman"/>
                <w:b w:val="0"/>
                <w:bCs w:val="0"/>
                <w:color w:val="auto"/>
                <w:sz w:val="24"/>
                <w:szCs w:val="24"/>
              </w:rPr>
              <w:t>《建筑施工场界环境噪声排放标准》（GB12523-2011）</w:t>
            </w:r>
            <w:r>
              <w:rPr>
                <w:rFonts w:hint="eastAsia" w:cs="Times New Roman"/>
                <w:b w:val="0"/>
                <w:bCs w:val="0"/>
                <w:color w:val="auto"/>
                <w:sz w:val="24"/>
                <w:szCs w:val="24"/>
                <w:lang w:eastAsia="zh-CN"/>
              </w:rPr>
              <w:t>中标准限值</w:t>
            </w:r>
          </w:p>
        </w:tc>
      </w:tr>
      <w:tr w14:paraId="0123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54" w:hRule="atLeast"/>
          <w:jc w:val="center"/>
        </w:trPr>
        <w:tc>
          <w:tcPr>
            <w:tcW w:w="807" w:type="dxa"/>
            <w:vMerge w:val="continue"/>
            <w:tcBorders>
              <w:left w:val="single" w:color="auto" w:sz="12" w:space="0"/>
            </w:tcBorders>
            <w:vAlign w:val="center"/>
          </w:tcPr>
          <w:p w14:paraId="6A5D291E">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p>
        </w:tc>
        <w:tc>
          <w:tcPr>
            <w:tcW w:w="644" w:type="dxa"/>
            <w:tcBorders>
              <w:right w:val="single" w:color="auto" w:sz="4" w:space="0"/>
            </w:tcBorders>
            <w:vAlign w:val="center"/>
          </w:tcPr>
          <w:p w14:paraId="007A6EE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营</w:t>
            </w:r>
          </w:p>
          <w:p w14:paraId="6329DB8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运</w:t>
            </w:r>
          </w:p>
          <w:p w14:paraId="4838D7B6">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期</w:t>
            </w:r>
          </w:p>
        </w:tc>
        <w:tc>
          <w:tcPr>
            <w:tcW w:w="1393" w:type="dxa"/>
            <w:gridSpan w:val="2"/>
            <w:tcBorders>
              <w:right w:val="single" w:color="auto" w:sz="4" w:space="0"/>
            </w:tcBorders>
            <w:vAlign w:val="center"/>
          </w:tcPr>
          <w:p w14:paraId="4B63B3B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cs="Times New Roman"/>
                <w:b w:val="0"/>
                <w:bCs w:val="0"/>
                <w:color w:val="auto"/>
                <w:sz w:val="24"/>
                <w:szCs w:val="24"/>
                <w:lang w:eastAsia="zh-CN"/>
              </w:rPr>
              <w:t>生活噪声</w:t>
            </w:r>
          </w:p>
        </w:tc>
        <w:tc>
          <w:tcPr>
            <w:tcW w:w="1848" w:type="dxa"/>
            <w:tcBorders>
              <w:left w:val="single" w:color="auto" w:sz="4" w:space="0"/>
              <w:right w:val="single" w:color="auto" w:sz="4" w:space="0"/>
            </w:tcBorders>
            <w:vAlign w:val="center"/>
          </w:tcPr>
          <w:p w14:paraId="295A166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商业活动噪声</w:t>
            </w:r>
            <w:r>
              <w:rPr>
                <w:rFonts w:hint="eastAsia" w:ascii="Times New Roman" w:hAnsi="Times New Roman"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进出车辆噪声</w:t>
            </w:r>
            <w:r>
              <w:rPr>
                <w:rFonts w:hint="eastAsia" w:ascii="Times New Roman" w:hAnsi="Times New Roman"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设备噪声</w:t>
            </w:r>
          </w:p>
        </w:tc>
        <w:tc>
          <w:tcPr>
            <w:tcW w:w="1980" w:type="dxa"/>
            <w:tcBorders>
              <w:left w:val="single" w:color="auto" w:sz="4" w:space="0"/>
              <w:right w:val="single" w:color="auto" w:sz="4" w:space="0"/>
            </w:tcBorders>
            <w:vAlign w:val="center"/>
          </w:tcPr>
          <w:p w14:paraId="30FF276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Times New Roman" w:hAnsi="Times New Roman" w:eastAsia="宋体" w:cs="Times New Roman"/>
                <w:b w:val="0"/>
                <w:bCs w:val="0"/>
                <w:color w:val="auto"/>
                <w:sz w:val="24"/>
                <w:szCs w:val="24"/>
                <w:lang w:eastAsia="zh-CN"/>
              </w:rPr>
            </w:pPr>
            <w:r>
              <w:rPr>
                <w:rFonts w:hint="eastAsia" w:cs="Times New Roman"/>
                <w:b w:val="0"/>
                <w:bCs w:val="0"/>
                <w:color w:val="auto"/>
                <w:sz w:val="24"/>
                <w:szCs w:val="24"/>
                <w:lang w:eastAsia="zh-CN"/>
              </w:rPr>
              <w:t>采取减振、消音、隔声处理措施，加强小区管理车辆进出管理，加强商铺规范制度管理</w:t>
            </w:r>
          </w:p>
        </w:tc>
        <w:tc>
          <w:tcPr>
            <w:tcW w:w="2399" w:type="dxa"/>
            <w:tcBorders>
              <w:left w:val="single" w:color="auto" w:sz="4" w:space="0"/>
              <w:right w:val="single" w:color="auto" w:sz="12" w:space="0"/>
            </w:tcBorders>
            <w:vAlign w:val="center"/>
          </w:tcPr>
          <w:p w14:paraId="6C7D20E1">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4"/>
                <w:szCs w:val="24"/>
              </w:rPr>
            </w:pPr>
            <w:r>
              <w:rPr>
                <w:rFonts w:hint="eastAsia" w:cs="Times New Roman"/>
                <w:b w:val="0"/>
                <w:bCs w:val="0"/>
                <w:color w:val="auto"/>
                <w:sz w:val="24"/>
                <w:szCs w:val="24"/>
                <w:lang w:eastAsia="zh-CN"/>
              </w:rPr>
              <w:t>满足</w:t>
            </w:r>
            <w:r>
              <w:rPr>
                <w:rFonts w:hint="default" w:ascii="Times New Roman" w:hAnsi="Times New Roman" w:eastAsia="宋体" w:cs="Times New Roman"/>
                <w:b w:val="0"/>
                <w:bCs w:val="0"/>
                <w:color w:val="auto"/>
                <w:sz w:val="24"/>
                <w:szCs w:val="24"/>
              </w:rPr>
              <w:t>《社会生活环境噪声排放标准》（GB22337-2008）中2类标准</w:t>
            </w:r>
          </w:p>
        </w:tc>
      </w:tr>
      <w:tr w14:paraId="0F58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807" w:type="dxa"/>
            <w:tcBorders>
              <w:left w:val="single" w:color="auto" w:sz="12" w:space="0"/>
              <w:bottom w:val="single" w:color="auto" w:sz="12" w:space="0"/>
            </w:tcBorders>
            <w:vAlign w:val="center"/>
          </w:tcPr>
          <w:p w14:paraId="033ABD9E">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其他</w:t>
            </w:r>
          </w:p>
        </w:tc>
        <w:tc>
          <w:tcPr>
            <w:tcW w:w="8264" w:type="dxa"/>
            <w:gridSpan w:val="6"/>
            <w:tcBorders>
              <w:bottom w:val="single" w:color="auto" w:sz="12" w:space="0"/>
              <w:right w:val="single" w:color="auto" w:sz="12" w:space="0"/>
            </w:tcBorders>
            <w:vAlign w:val="center"/>
          </w:tcPr>
          <w:p w14:paraId="0B6CC409">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无</w:t>
            </w:r>
          </w:p>
        </w:tc>
      </w:tr>
      <w:tr w14:paraId="2377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71" w:type="dxa"/>
            <w:gridSpan w:val="7"/>
            <w:tcBorders>
              <w:top w:val="single" w:color="auto" w:sz="12" w:space="0"/>
              <w:left w:val="single" w:color="auto" w:sz="12" w:space="0"/>
              <w:bottom w:val="single" w:color="auto" w:sz="12" w:space="0"/>
              <w:right w:val="single" w:color="auto" w:sz="12" w:space="0"/>
            </w:tcBorders>
            <w:vAlign w:val="center"/>
          </w:tcPr>
          <w:p w14:paraId="1D72E2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b/>
                <w:color w:val="auto"/>
                <w:sz w:val="30"/>
                <w:szCs w:val="30"/>
              </w:rPr>
            </w:pPr>
            <w:r>
              <w:rPr>
                <w:rFonts w:hint="default" w:ascii="Times New Roman" w:hAnsi="Times New Roman" w:eastAsia="宋体" w:cs="Times New Roman"/>
                <w:b/>
                <w:bCs/>
                <w:color w:val="auto"/>
                <w:sz w:val="30"/>
                <w:szCs w:val="30"/>
              </w:rPr>
              <w:t>生态保护措施及预期效果</w:t>
            </w:r>
            <w:r>
              <w:rPr>
                <w:rFonts w:hint="eastAsia" w:cs="Times New Roman"/>
                <w:b/>
                <w:bCs/>
                <w:color w:val="auto"/>
                <w:sz w:val="30"/>
                <w:szCs w:val="30"/>
                <w:lang w:eastAsia="zh-CN"/>
              </w:rPr>
              <w:t>：</w:t>
            </w:r>
          </w:p>
          <w:p w14:paraId="36D8FC8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48" w:firstLineChars="200"/>
              <w:jc w:val="both"/>
              <w:textAlignment w:val="auto"/>
              <w:outlineLvl w:val="9"/>
              <w:rPr>
                <w:rFonts w:hAnsi="宋体"/>
                <w:color w:val="auto"/>
                <w:spacing w:val="-8"/>
                <w:sz w:val="24"/>
              </w:rPr>
            </w:pPr>
            <w:r>
              <w:rPr>
                <w:rFonts w:hAnsi="宋体"/>
                <w:color w:val="auto"/>
                <w:spacing w:val="-8"/>
                <w:sz w:val="24"/>
              </w:rPr>
              <w:t>本项目在施工阶段采取了以下水土保持措施以避免或减缓水土流失现象：在施工区内增设必要的排水沟道；土石方工程尽量避开暴雨季节，施工完成后及时进行路面硬化和绿化。</w:t>
            </w:r>
          </w:p>
          <w:p w14:paraId="39406D5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Ansi="宋体"/>
                <w:color w:val="auto"/>
                <w:sz w:val="24"/>
              </w:rPr>
            </w:pPr>
            <w:r>
              <w:rPr>
                <w:rFonts w:hAnsi="宋体"/>
                <w:color w:val="auto"/>
                <w:sz w:val="24"/>
              </w:rPr>
              <w:t>本项目在运营后，通过栽种树木、草坪，可以有效的避免水土流失，起到保护生态环境的作用；还可以净化厂区环境空气，降低外环境对本项目所产生噪声的影响。建议本项目在绿化工程中要实行</w:t>
            </w:r>
            <w:r>
              <w:rPr>
                <w:rFonts w:hint="eastAsia"/>
                <w:color w:val="auto"/>
                <w:sz w:val="24"/>
              </w:rPr>
              <w:t>“</w:t>
            </w:r>
            <w:r>
              <w:rPr>
                <w:rFonts w:hAnsi="宋体"/>
                <w:color w:val="auto"/>
                <w:sz w:val="24"/>
              </w:rPr>
              <w:t>常（绿）与落（针）相结合，乔（木）与灌（木）相结合，灌（木）与草（坪）相结合</w:t>
            </w:r>
            <w:r>
              <w:rPr>
                <w:rFonts w:hint="eastAsia"/>
                <w:color w:val="auto"/>
                <w:sz w:val="24"/>
              </w:rPr>
              <w:t>”</w:t>
            </w:r>
            <w:r>
              <w:rPr>
                <w:rFonts w:hAnsi="宋体"/>
                <w:color w:val="auto"/>
                <w:sz w:val="24"/>
              </w:rPr>
              <w:t>。</w:t>
            </w:r>
          </w:p>
          <w:p w14:paraId="3511F9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color w:val="auto"/>
                <w:sz w:val="30"/>
                <w:szCs w:val="30"/>
              </w:rPr>
            </w:pPr>
            <w:r>
              <w:rPr>
                <w:rFonts w:hAnsi="宋体"/>
                <w:b/>
                <w:color w:val="auto"/>
                <w:sz w:val="30"/>
                <w:szCs w:val="30"/>
              </w:rPr>
              <w:t>环保投资估算：</w:t>
            </w:r>
          </w:p>
          <w:p w14:paraId="4378E68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color w:val="auto"/>
                <w:kern w:val="0"/>
                <w:sz w:val="24"/>
              </w:rPr>
            </w:pPr>
            <w:r>
              <w:rPr>
                <w:rFonts w:hAnsi="宋体"/>
                <w:color w:val="auto"/>
                <w:kern w:val="0"/>
                <w:sz w:val="24"/>
              </w:rPr>
              <w:t>本项目总投资</w:t>
            </w:r>
            <w:r>
              <w:rPr>
                <w:rFonts w:hint="eastAsia" w:cs="Times New Roman"/>
                <w:color w:val="auto"/>
                <w:sz w:val="24"/>
                <w:szCs w:val="24"/>
                <w:vertAlign w:val="baseline"/>
                <w:lang w:val="en-US" w:eastAsia="zh-CN"/>
              </w:rPr>
              <w:t>15000</w:t>
            </w:r>
            <w:r>
              <w:rPr>
                <w:rFonts w:hAnsi="宋体"/>
                <w:color w:val="auto"/>
                <w:kern w:val="0"/>
                <w:sz w:val="24"/>
              </w:rPr>
              <w:t>万元，环保投资共计</w:t>
            </w:r>
            <w:r>
              <w:rPr>
                <w:rFonts w:hint="eastAsia" w:hAnsi="宋体"/>
                <w:color w:val="auto"/>
                <w:kern w:val="0"/>
                <w:sz w:val="24"/>
                <w:lang w:val="en-US" w:eastAsia="zh-CN"/>
              </w:rPr>
              <w:t>500</w:t>
            </w:r>
            <w:r>
              <w:rPr>
                <w:rFonts w:hAnsi="宋体"/>
                <w:color w:val="auto"/>
                <w:kern w:val="0"/>
                <w:sz w:val="24"/>
              </w:rPr>
              <w:t>万元，占总投资</w:t>
            </w:r>
            <w:r>
              <w:rPr>
                <w:rFonts w:hint="eastAsia" w:hAnsi="宋体"/>
                <w:color w:val="auto"/>
                <w:kern w:val="0"/>
                <w:sz w:val="24"/>
                <w:lang w:val="en-US" w:eastAsia="zh-CN"/>
              </w:rPr>
              <w:t>3.33</w:t>
            </w:r>
            <w:r>
              <w:rPr>
                <w:color w:val="auto"/>
                <w:kern w:val="0"/>
                <w:sz w:val="24"/>
              </w:rPr>
              <w:t>%</w:t>
            </w:r>
            <w:r>
              <w:rPr>
                <w:rFonts w:hAnsi="宋体"/>
                <w:color w:val="auto"/>
                <w:kern w:val="0"/>
                <w:sz w:val="24"/>
              </w:rPr>
              <w:t>。项目环保投资估算及三同时验收情况见表</w:t>
            </w:r>
            <w:r>
              <w:rPr>
                <w:color w:val="auto"/>
                <w:kern w:val="0"/>
                <w:sz w:val="24"/>
              </w:rPr>
              <w:t>8-1</w:t>
            </w:r>
            <w:r>
              <w:rPr>
                <w:rFonts w:hAnsi="宋体"/>
                <w:color w:val="auto"/>
                <w:kern w:val="0"/>
                <w:sz w:val="24"/>
              </w:rPr>
              <w:t>。</w:t>
            </w:r>
          </w:p>
          <w:p w14:paraId="6D731AA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outlineLvl w:val="9"/>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表8-1</w:t>
            </w:r>
            <w:r>
              <w:rPr>
                <w:rFonts w:hint="eastAsia" w:ascii="Times New Roman" w:hAnsi="Times New Roman" w:cs="Times New Roman"/>
                <w:b/>
                <w:color w:val="auto"/>
                <w:sz w:val="21"/>
                <w:szCs w:val="21"/>
                <w:lang w:val="en-US" w:eastAsia="zh-CN"/>
              </w:rPr>
              <w:t xml:space="preserve">  </w:t>
            </w:r>
            <w:r>
              <w:rPr>
                <w:rFonts w:hint="default" w:ascii="Times New Roman" w:hAnsi="Times New Roman" w:eastAsia="宋体" w:cs="Times New Roman"/>
                <w:b/>
                <w:color w:val="auto"/>
                <w:sz w:val="21"/>
                <w:szCs w:val="21"/>
              </w:rPr>
              <w:t>建设项目环保投资估算及三同时验收情况表</w:t>
            </w:r>
          </w:p>
          <w:tbl>
            <w:tblPr>
              <w:tblStyle w:val="15"/>
              <w:tblW w:w="8504"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477"/>
              <w:gridCol w:w="3252"/>
              <w:gridCol w:w="2064"/>
              <w:gridCol w:w="986"/>
            </w:tblGrid>
            <w:tr w14:paraId="1A65214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tcBorders>
                    <w:tl2br w:val="nil"/>
                    <w:tr2bl w:val="nil"/>
                  </w:tcBorders>
                  <w:vAlign w:val="center"/>
                </w:tcPr>
                <w:p w14:paraId="595DD59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污染类别</w:t>
                  </w:r>
                </w:p>
              </w:tc>
              <w:tc>
                <w:tcPr>
                  <w:tcW w:w="1477" w:type="dxa"/>
                  <w:tcBorders>
                    <w:tl2br w:val="nil"/>
                    <w:tr2bl w:val="nil"/>
                  </w:tcBorders>
                  <w:vAlign w:val="center"/>
                </w:tcPr>
                <w:p w14:paraId="4DDD54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来源</w:t>
                  </w:r>
                </w:p>
              </w:tc>
              <w:tc>
                <w:tcPr>
                  <w:tcW w:w="3252" w:type="dxa"/>
                  <w:tcBorders>
                    <w:tl2br w:val="nil"/>
                    <w:tr2bl w:val="nil"/>
                  </w:tcBorders>
                  <w:vAlign w:val="center"/>
                </w:tcPr>
                <w:p w14:paraId="35F3B9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治理措施</w:t>
                  </w:r>
                </w:p>
              </w:tc>
              <w:tc>
                <w:tcPr>
                  <w:tcW w:w="2064" w:type="dxa"/>
                  <w:tcBorders>
                    <w:tl2br w:val="nil"/>
                    <w:tr2bl w:val="nil"/>
                  </w:tcBorders>
                  <w:vAlign w:val="center"/>
                </w:tcPr>
                <w:p w14:paraId="245C6E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预计处理效果</w:t>
                  </w:r>
                </w:p>
              </w:tc>
              <w:tc>
                <w:tcPr>
                  <w:tcW w:w="986" w:type="dxa"/>
                  <w:tcBorders>
                    <w:tl2br w:val="nil"/>
                    <w:tr2bl w:val="nil"/>
                  </w:tcBorders>
                  <w:vAlign w:val="center"/>
                </w:tcPr>
                <w:p w14:paraId="0012513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环保</w:t>
                  </w:r>
                </w:p>
                <w:p w14:paraId="72A65AC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投资</w:t>
                  </w:r>
                </w:p>
                <w:p w14:paraId="5F5E7EA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3"/>
                      <w:sz w:val="21"/>
                      <w:szCs w:val="21"/>
                    </w:rPr>
                    <w:t>（万元）</w:t>
                  </w:r>
                </w:p>
              </w:tc>
            </w:tr>
            <w:tr w14:paraId="181B878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tcBorders>
                    <w:tl2br w:val="nil"/>
                    <w:tr2bl w:val="nil"/>
                  </w:tcBorders>
                  <w:vAlign w:val="center"/>
                </w:tcPr>
                <w:p w14:paraId="4DEAB0B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w:t>
                  </w:r>
                </w:p>
              </w:tc>
              <w:tc>
                <w:tcPr>
                  <w:tcW w:w="1477" w:type="dxa"/>
                  <w:tcBorders>
                    <w:tl2br w:val="nil"/>
                    <w:tr2bl w:val="nil"/>
                  </w:tcBorders>
                  <w:vAlign w:val="center"/>
                </w:tcPr>
                <w:p w14:paraId="563019F7">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住宅区、</w:t>
                  </w:r>
                </w:p>
                <w:p w14:paraId="345E1040">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eastAsia="zh-CN"/>
                    </w:rPr>
                  </w:pPr>
                  <w:r>
                    <w:rPr>
                      <w:rFonts w:hint="eastAsia" w:ascii="宋体" w:hAnsi="宋体" w:eastAsia="宋体" w:cs="宋体"/>
                      <w:color w:val="auto"/>
                      <w:sz w:val="21"/>
                      <w:szCs w:val="21"/>
                      <w:lang w:eastAsia="zh-CN"/>
                    </w:rPr>
                    <w:t>配套公建设施用房</w:t>
                  </w:r>
                  <w:r>
                    <w:rPr>
                      <w:rFonts w:hint="default" w:ascii="Times New Roman" w:hAnsi="Times New Roman" w:eastAsia="宋体" w:cs="Times New Roman"/>
                      <w:color w:val="auto"/>
                      <w:sz w:val="21"/>
                      <w:szCs w:val="21"/>
                      <w:lang w:eastAsia="zh-CN"/>
                    </w:rPr>
                    <w:t>、</w:t>
                  </w:r>
                  <w:r>
                    <w:rPr>
                      <w:rFonts w:hint="eastAsia" w:cs="Times New Roman"/>
                      <w:color w:val="auto"/>
                      <w:sz w:val="21"/>
                      <w:szCs w:val="21"/>
                      <w:lang w:eastAsia="zh-CN"/>
                    </w:rPr>
                    <w:t>商业区</w:t>
                  </w:r>
                </w:p>
                <w:p w14:paraId="5ECB76FE">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pacing w:val="1"/>
                      <w:kern w:val="0"/>
                      <w:sz w:val="21"/>
                      <w:szCs w:val="21"/>
                    </w:rPr>
                  </w:pPr>
                  <w:r>
                    <w:rPr>
                      <w:rFonts w:hint="default" w:ascii="Times New Roman" w:hAnsi="Times New Roman" w:eastAsia="宋体" w:cs="Times New Roman"/>
                      <w:color w:val="auto"/>
                      <w:sz w:val="21"/>
                      <w:szCs w:val="21"/>
                      <w:lang w:eastAsia="zh-CN"/>
                    </w:rPr>
                    <w:t>的生活污水以及地下车库清洗废水</w:t>
                  </w:r>
                </w:p>
              </w:tc>
              <w:tc>
                <w:tcPr>
                  <w:tcW w:w="3252" w:type="dxa"/>
                  <w:tcBorders>
                    <w:tl2br w:val="nil"/>
                    <w:tr2bl w:val="nil"/>
                  </w:tcBorders>
                  <w:vAlign w:val="center"/>
                </w:tcPr>
                <w:p w14:paraId="22F2434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eastAsia="zh-CN"/>
                    </w:rPr>
                    <w:t>冲洗废水经过隔油沉砂池和生活污水一起通过化粪池处理后</w:t>
                  </w:r>
                  <w:r>
                    <w:rPr>
                      <w:rFonts w:hint="eastAsia" w:cs="Times New Roman"/>
                      <w:color w:val="auto"/>
                      <w:sz w:val="21"/>
                      <w:szCs w:val="21"/>
                      <w:lang w:eastAsia="zh-CN"/>
                    </w:rPr>
                    <w:t>通过项目总排口</w:t>
                  </w:r>
                  <w:r>
                    <w:rPr>
                      <w:rFonts w:hint="eastAsia" w:ascii="Times New Roman" w:hAnsi="Times New Roman" w:eastAsia="宋体" w:cs="Times New Roman"/>
                      <w:color w:val="auto"/>
                      <w:sz w:val="21"/>
                      <w:szCs w:val="21"/>
                      <w:lang w:eastAsia="zh-CN"/>
                    </w:rPr>
                    <w:t>进入市政污水管网</w:t>
                  </w:r>
                  <w:r>
                    <w:rPr>
                      <w:rFonts w:hint="eastAsia" w:cs="Times New Roman"/>
                      <w:color w:val="auto"/>
                      <w:sz w:val="21"/>
                      <w:szCs w:val="21"/>
                      <w:lang w:eastAsia="zh-CN"/>
                    </w:rPr>
                    <w:t>，然后</w:t>
                  </w:r>
                  <w:r>
                    <w:rPr>
                      <w:rFonts w:hint="default" w:ascii="Times New Roman" w:hAnsi="Times New Roman" w:eastAsia="宋体" w:cs="Times New Roman"/>
                      <w:color w:val="auto"/>
                      <w:sz w:val="21"/>
                      <w:szCs w:val="21"/>
                      <w:lang w:eastAsia="zh-CN"/>
                    </w:rPr>
                    <w:t>排放到葛店污水处理厂</w:t>
                  </w:r>
                  <w:r>
                    <w:rPr>
                      <w:rFonts w:hint="default" w:ascii="Times New Roman" w:hAnsi="Times New Roman" w:eastAsia="宋体" w:cs="Times New Roman"/>
                      <w:color w:val="auto"/>
                      <w:sz w:val="21"/>
                      <w:szCs w:val="21"/>
                    </w:rPr>
                    <w:t>处置达标后最终排入</w:t>
                  </w:r>
                  <w:r>
                    <w:rPr>
                      <w:rFonts w:hint="default" w:ascii="Times New Roman" w:hAnsi="Times New Roman" w:eastAsia="宋体" w:cs="Times New Roman"/>
                      <w:color w:val="auto"/>
                      <w:sz w:val="21"/>
                      <w:szCs w:val="21"/>
                      <w:lang w:eastAsia="zh-CN"/>
                    </w:rPr>
                    <w:t>长江（鄂州段）</w:t>
                  </w:r>
                  <w:r>
                    <w:rPr>
                      <w:rFonts w:hint="default" w:ascii="Times New Roman" w:hAnsi="Times New Roman" w:eastAsia="宋体" w:cs="Times New Roman"/>
                      <w:color w:val="auto"/>
                      <w:sz w:val="21"/>
                      <w:szCs w:val="21"/>
                    </w:rPr>
                    <w:t>。</w:t>
                  </w:r>
                </w:p>
              </w:tc>
              <w:tc>
                <w:tcPr>
                  <w:tcW w:w="2064" w:type="dxa"/>
                  <w:tcBorders>
                    <w:tl2br w:val="nil"/>
                    <w:tr2bl w:val="nil"/>
                  </w:tcBorders>
                  <w:vAlign w:val="center"/>
                </w:tcPr>
                <w:p w14:paraId="0851F1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b w:val="0"/>
                      <w:bCs w:val="0"/>
                      <w:color w:val="auto"/>
                      <w:spacing w:val="-9"/>
                      <w:sz w:val="21"/>
                      <w:szCs w:val="21"/>
                    </w:rPr>
                    <w:t>满足《污水综合排放标准》（GB8978-1996）三级标准，氨氮</w:t>
                  </w:r>
                  <w:r>
                    <w:rPr>
                      <w:rFonts w:hint="default" w:ascii="Times New Roman" w:hAnsi="Times New Roman" w:eastAsia="宋体" w:cs="Times New Roman"/>
                      <w:b w:val="0"/>
                      <w:bCs w:val="0"/>
                      <w:color w:val="auto"/>
                      <w:spacing w:val="-9"/>
                      <w:sz w:val="21"/>
                      <w:szCs w:val="21"/>
                      <w:lang w:eastAsia="zh-CN"/>
                    </w:rPr>
                    <w:t>满足</w:t>
                  </w:r>
                  <w:r>
                    <w:rPr>
                      <w:rFonts w:hint="default" w:ascii="Times New Roman" w:hAnsi="Times New Roman" w:eastAsia="宋体" w:cs="Times New Roman"/>
                      <w:b w:val="0"/>
                      <w:bCs w:val="0"/>
                      <w:color w:val="auto"/>
                      <w:spacing w:val="-9"/>
                      <w:sz w:val="21"/>
                      <w:szCs w:val="21"/>
                    </w:rPr>
                    <w:t>《污水排入城镇下水道水质标准》（GB/T31962-2015）</w:t>
                  </w:r>
                </w:p>
              </w:tc>
              <w:tc>
                <w:tcPr>
                  <w:tcW w:w="986" w:type="dxa"/>
                  <w:tcBorders>
                    <w:tl2br w:val="nil"/>
                    <w:tr2bl w:val="nil"/>
                  </w:tcBorders>
                  <w:vAlign w:val="center"/>
                </w:tcPr>
                <w:p w14:paraId="680F4C0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50</w:t>
                  </w:r>
                </w:p>
              </w:tc>
            </w:tr>
            <w:tr w14:paraId="40AB96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vMerge w:val="restart"/>
                  <w:tcBorders>
                    <w:tl2br w:val="nil"/>
                    <w:tr2bl w:val="nil"/>
                  </w:tcBorders>
                  <w:vAlign w:val="center"/>
                </w:tcPr>
                <w:p w14:paraId="2D912D5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w:t>
                  </w:r>
                </w:p>
              </w:tc>
              <w:tc>
                <w:tcPr>
                  <w:tcW w:w="1477" w:type="dxa"/>
                  <w:tcBorders>
                    <w:tl2br w:val="nil"/>
                    <w:tr2bl w:val="nil"/>
                  </w:tcBorders>
                  <w:vAlign w:val="center"/>
                </w:tcPr>
                <w:p w14:paraId="2FBDDB9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汽车尾气</w:t>
                  </w:r>
                </w:p>
              </w:tc>
              <w:tc>
                <w:tcPr>
                  <w:tcW w:w="3252" w:type="dxa"/>
                  <w:tcBorders>
                    <w:tl2br w:val="nil"/>
                    <w:tr2bl w:val="nil"/>
                  </w:tcBorders>
                  <w:vAlign w:val="center"/>
                </w:tcPr>
                <w:p w14:paraId="22903DB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地下车库抽排风系统，地面绿化带设置隐蔽排放口</w:t>
                  </w:r>
                </w:p>
              </w:tc>
              <w:tc>
                <w:tcPr>
                  <w:tcW w:w="2064" w:type="dxa"/>
                  <w:tcBorders>
                    <w:tl2br w:val="nil"/>
                    <w:tr2bl w:val="nil"/>
                  </w:tcBorders>
                  <w:vAlign w:val="center"/>
                </w:tcPr>
                <w:p w14:paraId="6E8D1E3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b w:val="0"/>
                      <w:bCs w:val="0"/>
                      <w:color w:val="auto"/>
                      <w:sz w:val="21"/>
                      <w:szCs w:val="21"/>
                      <w:lang w:eastAsia="zh-CN"/>
                    </w:rPr>
                  </w:pPr>
                  <w:r>
                    <w:rPr>
                      <w:rFonts w:hint="default" w:ascii="Times New Roman" w:hAnsi="Times New Roman" w:eastAsia="宋体" w:cs="Times New Roman"/>
                      <w:b w:val="0"/>
                      <w:bCs w:val="0"/>
                      <w:color w:val="auto"/>
                      <w:sz w:val="21"/>
                      <w:szCs w:val="21"/>
                      <w:lang w:eastAsia="zh-CN"/>
                    </w:rPr>
                    <w:t>满足</w:t>
                  </w:r>
                  <w:r>
                    <w:rPr>
                      <w:rFonts w:hint="default" w:ascii="Times New Roman" w:hAnsi="Times New Roman" w:eastAsia="宋体" w:cs="Times New Roman"/>
                      <w:b w:val="0"/>
                      <w:bCs w:val="0"/>
                      <w:color w:val="auto"/>
                      <w:sz w:val="21"/>
                      <w:szCs w:val="21"/>
                    </w:rPr>
                    <w:t>《大气污染物综合排放标准》</w:t>
                  </w:r>
                  <w:r>
                    <w:rPr>
                      <w:rFonts w:hint="default" w:ascii="Times New Roman" w:hAnsi="Times New Roman" w:eastAsia="宋体" w:cs="Times New Roman"/>
                      <w:b w:val="0"/>
                      <w:bCs w:val="0"/>
                      <w:color w:val="auto"/>
                      <w:sz w:val="21"/>
                      <w:szCs w:val="21"/>
                      <w:lang w:eastAsia="zh-CN"/>
                    </w:rPr>
                    <w:t>（</w:t>
                  </w:r>
                  <w:r>
                    <w:rPr>
                      <w:rFonts w:hint="default" w:ascii="Times New Roman" w:hAnsi="Times New Roman" w:eastAsia="宋体" w:cs="Times New Roman"/>
                      <w:b w:val="0"/>
                      <w:bCs w:val="0"/>
                      <w:color w:val="auto"/>
                      <w:sz w:val="21"/>
                      <w:szCs w:val="21"/>
                    </w:rPr>
                    <w:t>GB16297-1996</w:t>
                  </w:r>
                  <w:r>
                    <w:rPr>
                      <w:rFonts w:hint="default" w:ascii="Times New Roman" w:hAnsi="Times New Roman" w:eastAsia="宋体" w:cs="Times New Roman"/>
                      <w:b w:val="0"/>
                      <w:bCs w:val="0"/>
                      <w:color w:val="auto"/>
                      <w:sz w:val="21"/>
                      <w:szCs w:val="21"/>
                      <w:lang w:eastAsia="zh-CN"/>
                    </w:rPr>
                    <w:t>）</w:t>
                  </w:r>
                </w:p>
                <w:p w14:paraId="0CAAC66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b w:val="0"/>
                      <w:bCs w:val="0"/>
                      <w:color w:val="auto"/>
                      <w:sz w:val="21"/>
                      <w:szCs w:val="21"/>
                    </w:rPr>
                    <w:t>表2</w:t>
                  </w:r>
                  <w:r>
                    <w:rPr>
                      <w:rFonts w:hint="default" w:ascii="Times New Roman" w:hAnsi="Times New Roman" w:eastAsia="宋体" w:cs="Times New Roman"/>
                      <w:b w:val="0"/>
                      <w:bCs w:val="0"/>
                      <w:color w:val="auto"/>
                      <w:sz w:val="21"/>
                      <w:szCs w:val="21"/>
                      <w:lang w:eastAsia="zh-CN"/>
                    </w:rPr>
                    <w:t>新污染源大气污染物无组织排放监控浓度限值</w:t>
                  </w:r>
                </w:p>
              </w:tc>
              <w:tc>
                <w:tcPr>
                  <w:tcW w:w="986" w:type="dxa"/>
                  <w:tcBorders>
                    <w:tl2br w:val="nil"/>
                    <w:tr2bl w:val="nil"/>
                  </w:tcBorders>
                  <w:vAlign w:val="center"/>
                </w:tcPr>
                <w:p w14:paraId="2D31628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5</w:t>
                  </w:r>
                </w:p>
              </w:tc>
            </w:tr>
            <w:tr w14:paraId="7D6CE1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vMerge w:val="continue"/>
                  <w:tcBorders>
                    <w:tl2br w:val="nil"/>
                    <w:tr2bl w:val="nil"/>
                  </w:tcBorders>
                  <w:vAlign w:val="center"/>
                </w:tcPr>
                <w:p w14:paraId="7E2D21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p>
              </w:tc>
              <w:tc>
                <w:tcPr>
                  <w:tcW w:w="1477" w:type="dxa"/>
                  <w:tcBorders>
                    <w:tl2br w:val="nil"/>
                    <w:tr2bl w:val="nil"/>
                  </w:tcBorders>
                  <w:vAlign w:val="center"/>
                </w:tcPr>
                <w:p w14:paraId="33A65DA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居民厨房油烟</w:t>
                  </w:r>
                </w:p>
              </w:tc>
              <w:tc>
                <w:tcPr>
                  <w:tcW w:w="3252" w:type="dxa"/>
                  <w:tcBorders>
                    <w:tl2br w:val="nil"/>
                    <w:tr2bl w:val="nil"/>
                  </w:tcBorders>
                  <w:vAlign w:val="center"/>
                </w:tcPr>
                <w:p w14:paraId="4C07B177">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预留专门的烟道</w:t>
                  </w:r>
                  <w:r>
                    <w:rPr>
                      <w:rFonts w:hint="default" w:ascii="Times New Roman" w:hAnsi="Times New Roman" w:eastAsia="宋体" w:cs="Times New Roman"/>
                      <w:color w:val="auto"/>
                      <w:sz w:val="21"/>
                      <w:szCs w:val="21"/>
                    </w:rPr>
                    <w:t>烟</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集中收集至各栋楼顶高空排放</w:t>
                  </w:r>
                </w:p>
              </w:tc>
              <w:tc>
                <w:tcPr>
                  <w:tcW w:w="2064" w:type="dxa"/>
                  <w:tcBorders>
                    <w:tl2br w:val="nil"/>
                    <w:tr2bl w:val="nil"/>
                  </w:tcBorders>
                  <w:vAlign w:val="center"/>
                </w:tcPr>
                <w:p w14:paraId="7F415AB8">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b w:val="0"/>
                      <w:bCs w:val="0"/>
                      <w:color w:val="auto"/>
                      <w:sz w:val="21"/>
                      <w:szCs w:val="21"/>
                      <w:lang w:eastAsia="zh-CN"/>
                    </w:rPr>
                  </w:pPr>
                  <w:r>
                    <w:rPr>
                      <w:rFonts w:hint="default" w:ascii="Times New Roman" w:hAnsi="Times New Roman" w:eastAsia="宋体" w:cs="Times New Roman"/>
                      <w:b w:val="0"/>
                      <w:bCs w:val="0"/>
                      <w:color w:val="auto"/>
                      <w:sz w:val="21"/>
                      <w:szCs w:val="21"/>
                      <w:lang w:eastAsia="zh-CN"/>
                    </w:rPr>
                    <w:t>满足</w:t>
                  </w:r>
                  <w:r>
                    <w:rPr>
                      <w:rFonts w:hint="default" w:ascii="Times New Roman" w:hAnsi="Times New Roman" w:eastAsia="宋体" w:cs="Times New Roman"/>
                      <w:b w:val="0"/>
                      <w:bCs w:val="0"/>
                      <w:color w:val="auto"/>
                      <w:sz w:val="21"/>
                      <w:szCs w:val="21"/>
                    </w:rPr>
                    <w:t>《大气污染物综合排放标准》</w:t>
                  </w:r>
                  <w:r>
                    <w:rPr>
                      <w:rFonts w:hint="default" w:ascii="Times New Roman" w:hAnsi="Times New Roman" w:eastAsia="宋体" w:cs="Times New Roman"/>
                      <w:b w:val="0"/>
                      <w:bCs w:val="0"/>
                      <w:color w:val="auto"/>
                      <w:sz w:val="21"/>
                      <w:szCs w:val="21"/>
                      <w:lang w:eastAsia="zh-CN"/>
                    </w:rPr>
                    <w:t>（</w:t>
                  </w:r>
                  <w:r>
                    <w:rPr>
                      <w:rFonts w:hint="default" w:ascii="Times New Roman" w:hAnsi="Times New Roman" w:eastAsia="宋体" w:cs="Times New Roman"/>
                      <w:b w:val="0"/>
                      <w:bCs w:val="0"/>
                      <w:color w:val="auto"/>
                      <w:sz w:val="21"/>
                      <w:szCs w:val="21"/>
                    </w:rPr>
                    <w:t>GB16297-1996</w:t>
                  </w:r>
                  <w:r>
                    <w:rPr>
                      <w:rFonts w:hint="default" w:ascii="Times New Roman" w:hAnsi="Times New Roman" w:eastAsia="宋体" w:cs="Times New Roman"/>
                      <w:b w:val="0"/>
                      <w:bCs w:val="0"/>
                      <w:color w:val="auto"/>
                      <w:sz w:val="21"/>
                      <w:szCs w:val="21"/>
                      <w:lang w:eastAsia="zh-CN"/>
                    </w:rPr>
                    <w:t>）</w:t>
                  </w:r>
                </w:p>
                <w:p w14:paraId="332A213C">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b w:val="0"/>
                      <w:bCs w:val="0"/>
                      <w:color w:val="auto"/>
                      <w:sz w:val="21"/>
                      <w:szCs w:val="21"/>
                    </w:rPr>
                    <w:t>表2</w:t>
                  </w:r>
                  <w:r>
                    <w:rPr>
                      <w:rFonts w:hint="default" w:ascii="Times New Roman" w:hAnsi="Times New Roman" w:eastAsia="宋体" w:cs="Times New Roman"/>
                      <w:b w:val="0"/>
                      <w:bCs w:val="0"/>
                      <w:color w:val="auto"/>
                      <w:sz w:val="21"/>
                      <w:szCs w:val="21"/>
                      <w:lang w:eastAsia="zh-CN"/>
                    </w:rPr>
                    <w:t>新污染源大气污染物无组织排放监控浓度限值</w:t>
                  </w:r>
                </w:p>
              </w:tc>
              <w:tc>
                <w:tcPr>
                  <w:tcW w:w="986" w:type="dxa"/>
                  <w:tcBorders>
                    <w:tl2br w:val="nil"/>
                    <w:tr2bl w:val="nil"/>
                  </w:tcBorders>
                  <w:vAlign w:val="center"/>
                </w:tcPr>
                <w:p w14:paraId="7F27D95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eastAsia" w:ascii="Times New Roman" w:hAnsi="Times New Roman" w:cs="Times New Roman"/>
                      <w:color w:val="auto"/>
                      <w:sz w:val="21"/>
                      <w:szCs w:val="21"/>
                      <w:lang w:val="en-US" w:eastAsia="zh-CN"/>
                    </w:rPr>
                    <w:t>20</w:t>
                  </w:r>
                </w:p>
              </w:tc>
            </w:tr>
            <w:tr w14:paraId="0268B11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vMerge w:val="continue"/>
                  <w:tcBorders>
                    <w:tl2br w:val="nil"/>
                    <w:tr2bl w:val="nil"/>
                  </w:tcBorders>
                  <w:vAlign w:val="center"/>
                </w:tcPr>
                <w:p w14:paraId="551D6E3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p>
              </w:tc>
              <w:tc>
                <w:tcPr>
                  <w:tcW w:w="1477" w:type="dxa"/>
                  <w:tcBorders>
                    <w:tl2br w:val="nil"/>
                    <w:tr2bl w:val="nil"/>
                  </w:tcBorders>
                  <w:vAlign w:val="center"/>
                </w:tcPr>
                <w:p w14:paraId="18D1BC6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垃圾收集点臭气</w:t>
                  </w:r>
                </w:p>
              </w:tc>
              <w:tc>
                <w:tcPr>
                  <w:tcW w:w="3252" w:type="dxa"/>
                  <w:tcBorders>
                    <w:tl2br w:val="nil"/>
                    <w:tr2bl w:val="nil"/>
                  </w:tcBorders>
                  <w:vAlign w:val="center"/>
                </w:tcPr>
                <w:p w14:paraId="5370F68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对</w:t>
                  </w:r>
                  <w:r>
                    <w:rPr>
                      <w:rFonts w:hint="default" w:ascii="Times New Roman" w:hAnsi="Times New Roman" w:eastAsia="宋体" w:cs="Times New Roman"/>
                      <w:color w:val="auto"/>
                      <w:sz w:val="21"/>
                      <w:szCs w:val="21"/>
                    </w:rPr>
                    <w:t>垃圾桶</w:t>
                  </w:r>
                  <w:r>
                    <w:rPr>
                      <w:rFonts w:hint="default" w:ascii="Times New Roman" w:hAnsi="Times New Roman" w:eastAsia="宋体" w:cs="Times New Roman"/>
                      <w:color w:val="auto"/>
                      <w:sz w:val="21"/>
                      <w:szCs w:val="21"/>
                      <w:lang w:eastAsia="zh-CN"/>
                    </w:rPr>
                    <w:t>采用封闭设置</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加强垃圾</w:t>
                  </w:r>
                  <w:r>
                    <w:rPr>
                      <w:rFonts w:hint="eastAsia" w:cs="Times New Roman"/>
                      <w:color w:val="auto"/>
                      <w:sz w:val="21"/>
                      <w:szCs w:val="21"/>
                      <w:lang w:eastAsia="zh-CN"/>
                    </w:rPr>
                    <w:t>房的</w:t>
                  </w:r>
                  <w:r>
                    <w:rPr>
                      <w:rFonts w:hint="default" w:ascii="Times New Roman" w:hAnsi="Times New Roman" w:eastAsia="宋体" w:cs="Times New Roman"/>
                      <w:color w:val="auto"/>
                      <w:sz w:val="21"/>
                      <w:szCs w:val="21"/>
                    </w:rPr>
                    <w:t>管理</w:t>
                  </w:r>
                  <w:r>
                    <w:rPr>
                      <w:rFonts w:hint="eastAsia" w:cs="Times New Roman"/>
                      <w:color w:val="auto"/>
                      <w:sz w:val="21"/>
                      <w:szCs w:val="21"/>
                      <w:lang w:eastAsia="zh-CN"/>
                    </w:rPr>
                    <w:t>，</w:t>
                  </w:r>
                  <w:r>
                    <w:rPr>
                      <w:rFonts w:hint="default" w:ascii="Times New Roman" w:hAnsi="Times New Roman" w:eastAsia="宋体" w:cs="Times New Roman"/>
                      <w:color w:val="auto"/>
                      <w:sz w:val="21"/>
                      <w:szCs w:val="21"/>
                    </w:rPr>
                    <w:t>及时清运，药剂喷洒除臭</w:t>
                  </w:r>
                </w:p>
              </w:tc>
              <w:tc>
                <w:tcPr>
                  <w:tcW w:w="2064" w:type="dxa"/>
                  <w:tcBorders>
                    <w:tl2br w:val="nil"/>
                    <w:tr2bl w:val="nil"/>
                  </w:tcBorders>
                  <w:vAlign w:val="center"/>
                </w:tcPr>
                <w:p w14:paraId="3644210F">
                  <w:pPr>
                    <w:pStyle w:val="38"/>
                    <w:keepNext w:val="0"/>
                    <w:keepLines w:val="0"/>
                    <w:pageBreakBefore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b w:val="0"/>
                      <w:bCs w:val="0"/>
                      <w:color w:val="auto"/>
                      <w:sz w:val="21"/>
                      <w:szCs w:val="21"/>
                    </w:rPr>
                    <w:t>满足《恶臭污染物排放标准》(GB14554-93)</w:t>
                  </w:r>
                  <w:r>
                    <w:rPr>
                      <w:rFonts w:hint="default" w:ascii="Times New Roman" w:hAnsi="Times New Roman" w:eastAsia="宋体" w:cs="Times New Roman"/>
                      <w:b w:val="0"/>
                      <w:bCs w:val="0"/>
                      <w:color w:val="auto"/>
                      <w:sz w:val="21"/>
                      <w:szCs w:val="21"/>
                      <w:lang w:eastAsia="zh-CN"/>
                    </w:rPr>
                    <w:t>中</w:t>
                  </w:r>
                  <w:r>
                    <w:rPr>
                      <w:rFonts w:hint="default" w:ascii="Times New Roman" w:hAnsi="Times New Roman" w:eastAsia="宋体" w:cs="Times New Roman"/>
                      <w:color w:val="auto"/>
                      <w:spacing w:val="-3"/>
                      <w:sz w:val="21"/>
                      <w:szCs w:val="21"/>
                    </w:rPr>
                    <w:t>二级标准</w:t>
                  </w:r>
                </w:p>
              </w:tc>
              <w:tc>
                <w:tcPr>
                  <w:tcW w:w="986" w:type="dxa"/>
                  <w:tcBorders>
                    <w:tl2br w:val="nil"/>
                    <w:tr2bl w:val="nil"/>
                  </w:tcBorders>
                  <w:vAlign w:val="center"/>
                </w:tcPr>
                <w:p w14:paraId="5C212CE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w:t>
                  </w:r>
                </w:p>
              </w:tc>
            </w:tr>
            <w:tr w14:paraId="549EBF3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vMerge w:val="restart"/>
                  <w:tcBorders>
                    <w:tl2br w:val="nil"/>
                    <w:tr2bl w:val="nil"/>
                  </w:tcBorders>
                  <w:vAlign w:val="center"/>
                </w:tcPr>
                <w:p w14:paraId="5068C27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w:t>
                  </w:r>
                </w:p>
              </w:tc>
              <w:tc>
                <w:tcPr>
                  <w:tcW w:w="1477" w:type="dxa"/>
                  <w:tcBorders>
                    <w:tl2br w:val="nil"/>
                    <w:tr2bl w:val="nil"/>
                  </w:tcBorders>
                  <w:vAlign w:val="center"/>
                </w:tcPr>
                <w:p w14:paraId="342B292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设备噪声</w:t>
                  </w:r>
                </w:p>
              </w:tc>
              <w:tc>
                <w:tcPr>
                  <w:tcW w:w="3252" w:type="dxa"/>
                  <w:tcBorders>
                    <w:tl2br w:val="nil"/>
                    <w:tr2bl w:val="nil"/>
                  </w:tcBorders>
                  <w:vAlign w:val="center"/>
                </w:tcPr>
                <w:p w14:paraId="3B2736C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地下室分别设置专门的设备间，内部采用多孔吸声材料薄板吸声结构，设备配备减震垫等，控制低频带噪声。设置专门的变配电房，设备配备减震垫等</w:t>
                  </w:r>
                </w:p>
              </w:tc>
              <w:tc>
                <w:tcPr>
                  <w:tcW w:w="2064" w:type="dxa"/>
                  <w:vMerge w:val="restart"/>
                  <w:tcBorders>
                    <w:tl2br w:val="nil"/>
                    <w:tr2bl w:val="nil"/>
                  </w:tcBorders>
                  <w:vAlign w:val="center"/>
                </w:tcPr>
                <w:p w14:paraId="62FBAA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满足GB22337-2008《社会生活环境噪声排放标准》2类标准</w:t>
                  </w:r>
                </w:p>
              </w:tc>
              <w:tc>
                <w:tcPr>
                  <w:tcW w:w="986" w:type="dxa"/>
                  <w:tcBorders>
                    <w:tl2br w:val="nil"/>
                    <w:tr2bl w:val="nil"/>
                  </w:tcBorders>
                  <w:vAlign w:val="center"/>
                </w:tcPr>
                <w:p w14:paraId="06D1671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w:t>
                  </w:r>
                  <w:r>
                    <w:rPr>
                      <w:rFonts w:hint="eastAsia" w:ascii="Times New Roman" w:hAnsi="Times New Roman" w:cs="Times New Roman"/>
                      <w:color w:val="auto"/>
                      <w:sz w:val="21"/>
                      <w:szCs w:val="21"/>
                      <w:lang w:val="en-US" w:eastAsia="zh-CN"/>
                    </w:rPr>
                    <w:t>0</w:t>
                  </w:r>
                </w:p>
              </w:tc>
            </w:tr>
            <w:tr w14:paraId="2FDF9D5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vMerge w:val="continue"/>
                  <w:tcBorders>
                    <w:tl2br w:val="nil"/>
                    <w:tr2bl w:val="nil"/>
                  </w:tcBorders>
                  <w:vAlign w:val="center"/>
                </w:tcPr>
                <w:p w14:paraId="59A750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p>
              </w:tc>
              <w:tc>
                <w:tcPr>
                  <w:tcW w:w="1477" w:type="dxa"/>
                  <w:tcBorders>
                    <w:tl2br w:val="nil"/>
                    <w:tr2bl w:val="nil"/>
                  </w:tcBorders>
                  <w:vAlign w:val="center"/>
                </w:tcPr>
                <w:p w14:paraId="35CD4A2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交通噪声</w:t>
                  </w:r>
                </w:p>
              </w:tc>
              <w:tc>
                <w:tcPr>
                  <w:tcW w:w="3252" w:type="dxa"/>
                  <w:tcBorders>
                    <w:tl2br w:val="nil"/>
                    <w:tr2bl w:val="nil"/>
                  </w:tcBorders>
                  <w:vAlign w:val="center"/>
                </w:tcPr>
                <w:p w14:paraId="08BF5D1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小区内道路设置禁鸣、限速标志；</w:t>
                  </w:r>
                </w:p>
                <w:p w14:paraId="2909AD1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合理布置绿化带</w:t>
                  </w:r>
                </w:p>
              </w:tc>
              <w:tc>
                <w:tcPr>
                  <w:tcW w:w="2064" w:type="dxa"/>
                  <w:vMerge w:val="continue"/>
                  <w:tcBorders>
                    <w:tl2br w:val="nil"/>
                    <w:tr2bl w:val="nil"/>
                  </w:tcBorders>
                  <w:vAlign w:val="center"/>
                </w:tcPr>
                <w:p w14:paraId="37DBCE5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p>
              </w:tc>
              <w:tc>
                <w:tcPr>
                  <w:tcW w:w="986" w:type="dxa"/>
                  <w:tcBorders>
                    <w:tl2br w:val="nil"/>
                    <w:tr2bl w:val="nil"/>
                  </w:tcBorders>
                  <w:vAlign w:val="center"/>
                </w:tcPr>
                <w:p w14:paraId="5B2AD44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w:t>
                  </w:r>
                </w:p>
              </w:tc>
            </w:tr>
            <w:tr w14:paraId="51AF917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vMerge w:val="continue"/>
                  <w:tcBorders>
                    <w:tl2br w:val="nil"/>
                    <w:tr2bl w:val="nil"/>
                  </w:tcBorders>
                  <w:vAlign w:val="center"/>
                </w:tcPr>
                <w:p w14:paraId="5F3F56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p>
              </w:tc>
              <w:tc>
                <w:tcPr>
                  <w:tcW w:w="1477" w:type="dxa"/>
                  <w:tcBorders>
                    <w:tl2br w:val="nil"/>
                    <w:tr2bl w:val="nil"/>
                  </w:tcBorders>
                  <w:vAlign w:val="center"/>
                </w:tcPr>
                <w:p w14:paraId="429BC8D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商业噪声</w:t>
                  </w:r>
                </w:p>
              </w:tc>
              <w:tc>
                <w:tcPr>
                  <w:tcW w:w="3252" w:type="dxa"/>
                  <w:tcBorders>
                    <w:tl2br w:val="nil"/>
                    <w:tr2bl w:val="nil"/>
                  </w:tcBorders>
                  <w:vAlign w:val="center"/>
                </w:tcPr>
                <w:p w14:paraId="1D72AE3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制定严格的管理制度，规范商业操作，运货车尽量避免在居民休息时间运行</w:t>
                  </w:r>
                </w:p>
              </w:tc>
              <w:tc>
                <w:tcPr>
                  <w:tcW w:w="2064" w:type="dxa"/>
                  <w:vMerge w:val="continue"/>
                  <w:tcBorders>
                    <w:bottom w:val="single" w:color="000000" w:sz="4" w:space="0"/>
                    <w:tl2br w:val="nil"/>
                    <w:tr2bl w:val="nil"/>
                  </w:tcBorders>
                  <w:vAlign w:val="center"/>
                </w:tcPr>
                <w:p w14:paraId="320507D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p>
              </w:tc>
              <w:tc>
                <w:tcPr>
                  <w:tcW w:w="986" w:type="dxa"/>
                  <w:tcBorders>
                    <w:tl2br w:val="nil"/>
                    <w:tr2bl w:val="nil"/>
                  </w:tcBorders>
                  <w:vAlign w:val="center"/>
                </w:tcPr>
                <w:p w14:paraId="0FAE878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w:t>
                  </w:r>
                </w:p>
              </w:tc>
            </w:tr>
            <w:tr w14:paraId="43351AA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tcBorders>
                    <w:tl2br w:val="nil"/>
                    <w:tr2bl w:val="nil"/>
                  </w:tcBorders>
                  <w:vAlign w:val="center"/>
                </w:tcPr>
                <w:p w14:paraId="15896FA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固废</w:t>
                  </w:r>
                </w:p>
              </w:tc>
              <w:tc>
                <w:tcPr>
                  <w:tcW w:w="1477" w:type="dxa"/>
                  <w:tcBorders>
                    <w:tl2br w:val="nil"/>
                    <w:tr2bl w:val="nil"/>
                  </w:tcBorders>
                  <w:vAlign w:val="center"/>
                </w:tcPr>
                <w:p w14:paraId="78F73CD0">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居民</w:t>
                  </w:r>
                  <w:r>
                    <w:rPr>
                      <w:rFonts w:hint="default" w:ascii="Times New Roman" w:hAnsi="Times New Roman" w:eastAsia="宋体" w:cs="Times New Roman"/>
                      <w:color w:val="auto"/>
                      <w:sz w:val="21"/>
                      <w:szCs w:val="21"/>
                    </w:rPr>
                    <w:t>生活垃圾</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商铺及</w:t>
                  </w:r>
                  <w:r>
                    <w:rPr>
                      <w:rFonts w:hint="eastAsia" w:cs="Times New Roman"/>
                      <w:bCs/>
                      <w:color w:val="auto"/>
                      <w:sz w:val="21"/>
                      <w:szCs w:val="21"/>
                      <w:lang w:eastAsia="zh-CN"/>
                    </w:rPr>
                    <w:t>配套公建设施用房</w:t>
                  </w:r>
                  <w:r>
                    <w:rPr>
                      <w:rFonts w:hint="default" w:ascii="Times New Roman" w:hAnsi="Times New Roman" w:eastAsia="宋体" w:cs="Times New Roman"/>
                      <w:color w:val="auto"/>
                      <w:sz w:val="21"/>
                      <w:szCs w:val="21"/>
                    </w:rPr>
                    <w:t>垃圾</w:t>
                  </w:r>
                </w:p>
              </w:tc>
              <w:tc>
                <w:tcPr>
                  <w:tcW w:w="3252" w:type="dxa"/>
                  <w:tcBorders>
                    <w:tl2br w:val="nil"/>
                    <w:tr2bl w:val="nil"/>
                  </w:tcBorders>
                  <w:vAlign w:val="center"/>
                </w:tcPr>
                <w:p w14:paraId="34F7B4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住宅楼楼下设置分散垃圾收集桶，</w:t>
                  </w:r>
                  <w:r>
                    <w:rPr>
                      <w:rFonts w:hint="eastAsia" w:cs="Times New Roman"/>
                      <w:color w:val="auto"/>
                      <w:sz w:val="21"/>
                      <w:szCs w:val="21"/>
                      <w:lang w:eastAsia="zh-CN"/>
                    </w:rPr>
                    <w:t>建立垃圾房收集存放垃圾，</w:t>
                  </w:r>
                  <w:r>
                    <w:rPr>
                      <w:rFonts w:hint="default" w:ascii="Times New Roman" w:hAnsi="Times New Roman" w:eastAsia="宋体" w:cs="Times New Roman"/>
                      <w:color w:val="auto"/>
                      <w:sz w:val="21"/>
                      <w:szCs w:val="21"/>
                    </w:rPr>
                    <w:t>委托当地环卫部门清运</w:t>
                  </w:r>
                </w:p>
              </w:tc>
              <w:tc>
                <w:tcPr>
                  <w:tcW w:w="2064" w:type="dxa"/>
                  <w:tcBorders>
                    <w:top w:val="single" w:color="000000" w:sz="4" w:space="0"/>
                    <w:tl2br w:val="nil"/>
                    <w:tr2bl w:val="nil"/>
                  </w:tcBorders>
                  <w:vAlign w:val="center"/>
                </w:tcPr>
                <w:p w14:paraId="41F19E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不外排</w:t>
                  </w:r>
                </w:p>
              </w:tc>
              <w:tc>
                <w:tcPr>
                  <w:tcW w:w="986" w:type="dxa"/>
                  <w:tcBorders>
                    <w:tl2br w:val="nil"/>
                    <w:tr2bl w:val="nil"/>
                  </w:tcBorders>
                  <w:vAlign w:val="center"/>
                </w:tcPr>
                <w:p w14:paraId="6263831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30</w:t>
                  </w:r>
                </w:p>
              </w:tc>
            </w:tr>
            <w:tr w14:paraId="06A16BF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tcBorders>
                    <w:tl2br w:val="nil"/>
                    <w:tr2bl w:val="nil"/>
                  </w:tcBorders>
                  <w:vAlign w:val="center"/>
                </w:tcPr>
                <w:p w14:paraId="4D639B8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生态</w:t>
                  </w:r>
                </w:p>
              </w:tc>
              <w:tc>
                <w:tcPr>
                  <w:tcW w:w="1477" w:type="dxa"/>
                  <w:tcBorders>
                    <w:tl2br w:val="nil"/>
                    <w:tr2bl w:val="nil"/>
                  </w:tcBorders>
                  <w:vAlign w:val="center"/>
                </w:tcPr>
                <w:p w14:paraId="39AB4BC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绿化</w:t>
                  </w:r>
                </w:p>
              </w:tc>
              <w:tc>
                <w:tcPr>
                  <w:tcW w:w="3252" w:type="dxa"/>
                  <w:tcBorders>
                    <w:tl2br w:val="nil"/>
                    <w:tr2bl w:val="nil"/>
                  </w:tcBorders>
                  <w:vAlign w:val="center"/>
                </w:tcPr>
                <w:p w14:paraId="248536D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绿化率3</w:t>
                  </w:r>
                  <w:r>
                    <w:rPr>
                      <w:rFonts w:hint="eastAsia" w:cs="Times New Roman"/>
                      <w:color w:val="auto"/>
                      <w:sz w:val="21"/>
                      <w:szCs w:val="21"/>
                      <w:lang w:val="en-US" w:eastAsia="zh-CN"/>
                    </w:rPr>
                    <w:t>0</w:t>
                  </w:r>
                  <w:r>
                    <w:rPr>
                      <w:rFonts w:hint="default" w:ascii="Times New Roman" w:hAnsi="Times New Roman" w:eastAsia="宋体" w:cs="Times New Roman"/>
                      <w:color w:val="auto"/>
                      <w:sz w:val="21"/>
                      <w:szCs w:val="21"/>
                    </w:rPr>
                    <w:t>％</w:t>
                  </w:r>
                </w:p>
              </w:tc>
              <w:tc>
                <w:tcPr>
                  <w:tcW w:w="2064" w:type="dxa"/>
                  <w:tcBorders>
                    <w:tl2br w:val="nil"/>
                    <w:tr2bl w:val="nil"/>
                  </w:tcBorders>
                  <w:vAlign w:val="center"/>
                </w:tcPr>
                <w:p w14:paraId="09EBB9D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改善区域生态环境</w:t>
                  </w:r>
                </w:p>
              </w:tc>
              <w:tc>
                <w:tcPr>
                  <w:tcW w:w="986" w:type="dxa"/>
                  <w:tcBorders>
                    <w:tl2br w:val="nil"/>
                    <w:tr2bl w:val="nil"/>
                  </w:tcBorders>
                  <w:vAlign w:val="center"/>
                </w:tcPr>
                <w:p w14:paraId="21F5BDD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360</w:t>
                  </w:r>
                </w:p>
              </w:tc>
            </w:tr>
            <w:tr w14:paraId="4BDF122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02" w:type="dxa"/>
                  <w:gridSpan w:val="2"/>
                  <w:tcBorders>
                    <w:tl2br w:val="nil"/>
                    <w:tr2bl w:val="nil"/>
                  </w:tcBorders>
                  <w:vAlign w:val="center"/>
                </w:tcPr>
                <w:p w14:paraId="749A267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环境管理</w:t>
                  </w:r>
                </w:p>
              </w:tc>
              <w:tc>
                <w:tcPr>
                  <w:tcW w:w="3252" w:type="dxa"/>
                  <w:tcBorders>
                    <w:tl2br w:val="nil"/>
                    <w:tr2bl w:val="nil"/>
                  </w:tcBorders>
                  <w:vAlign w:val="center"/>
                </w:tcPr>
                <w:p w14:paraId="7B5B4B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环境管理人员日常培训</w:t>
                  </w:r>
                </w:p>
              </w:tc>
              <w:tc>
                <w:tcPr>
                  <w:tcW w:w="2064" w:type="dxa"/>
                  <w:tcBorders>
                    <w:tl2br w:val="nil"/>
                    <w:tr2bl w:val="nil"/>
                  </w:tcBorders>
                  <w:vAlign w:val="center"/>
                </w:tcPr>
                <w:p w14:paraId="266F1B9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986" w:type="dxa"/>
                  <w:tcBorders>
                    <w:tl2br w:val="nil"/>
                    <w:tr2bl w:val="nil"/>
                  </w:tcBorders>
                  <w:vAlign w:val="center"/>
                </w:tcPr>
                <w:p w14:paraId="18EAF45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5</w:t>
                  </w:r>
                </w:p>
              </w:tc>
            </w:tr>
            <w:tr w14:paraId="1EE1B19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8" w:type="dxa"/>
                  <w:gridSpan w:val="4"/>
                  <w:tcBorders>
                    <w:tl2br w:val="nil"/>
                    <w:tr2bl w:val="nil"/>
                  </w:tcBorders>
                  <w:vAlign w:val="center"/>
                </w:tcPr>
                <w:p w14:paraId="0962CC5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合计</w:t>
                  </w:r>
                </w:p>
              </w:tc>
              <w:tc>
                <w:tcPr>
                  <w:tcW w:w="986" w:type="dxa"/>
                  <w:tcBorders>
                    <w:tl2br w:val="nil"/>
                    <w:tr2bl w:val="nil"/>
                  </w:tcBorders>
                  <w:vAlign w:val="center"/>
                </w:tcPr>
                <w:p w14:paraId="14D2C0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500</w:t>
                  </w:r>
                </w:p>
              </w:tc>
            </w:tr>
          </w:tbl>
          <w:p w14:paraId="06DE826B">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Ansi="宋体"/>
                <w:color w:val="auto"/>
                <w:sz w:val="24"/>
              </w:rPr>
            </w:pPr>
          </w:p>
          <w:p w14:paraId="3B8098DC">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14957C1B">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33D4D07D">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7A68049E">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5213A274">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1E7AC241">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5C942059">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192B187E">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349055BA">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009FF942">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2362E70">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07E62F6A">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6E55842E">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6115E924">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5736DCF6">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55A9EF82">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5AC2BEF">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6FE6D87C">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70F776BB">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7CBE9AC3">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EDAF416">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261A4D0">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E763BF6">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55D8A2B">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356C6A5D">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DFF7174">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7AB2AAE5">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1555B2CD">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B652962">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1E4377F">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90AF9DC">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59C30EB9">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29DEA21F">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2FF6AB84">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CF67409">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4A302D31">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235AC92D">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p w14:paraId="77F8B1A3">
            <w:pPr>
              <w:keepNext w:val="0"/>
              <w:keepLines w:val="0"/>
              <w:pageBreakBefore w:val="0"/>
              <w:kinsoku/>
              <w:wordWrap/>
              <w:overflowPunct/>
              <w:topLinePunct w:val="0"/>
              <w:autoSpaceDE/>
              <w:autoSpaceDN/>
              <w:bidi w:val="0"/>
              <w:adjustRightInd/>
              <w:snapToGrid/>
              <w:spacing w:line="240" w:lineRule="auto"/>
              <w:ind w:left="0" w:leftChars="0" w:right="0" w:rightChars="0"/>
              <w:jc w:val="both"/>
              <w:outlineLvl w:val="9"/>
              <w:rPr>
                <w:rFonts w:hint="default" w:ascii="Times New Roman" w:hAnsi="Times New Roman" w:eastAsia="宋体" w:cs="Times New Roman"/>
                <w:b w:val="0"/>
                <w:bCs w:val="0"/>
                <w:color w:val="auto"/>
                <w:sz w:val="24"/>
                <w:szCs w:val="24"/>
              </w:rPr>
            </w:pPr>
          </w:p>
        </w:tc>
      </w:tr>
    </w:tbl>
    <w:p w14:paraId="61DC431D">
      <w:pPr>
        <w:pStyle w:val="2"/>
        <w:rPr>
          <w:rFonts w:hint="eastAsia"/>
          <w:color w:val="auto"/>
        </w:rPr>
      </w:pPr>
      <w:bookmarkStart w:id="61" w:name="_Toc941"/>
      <w:bookmarkStart w:id="62" w:name="_Toc4539"/>
      <w:bookmarkStart w:id="63" w:name="_Toc470801624"/>
      <w:bookmarkStart w:id="64" w:name="_Toc27645"/>
      <w:r>
        <w:rPr>
          <w:rFonts w:hint="eastAsia"/>
          <w:color w:val="auto"/>
          <w:lang w:eastAsia="zh-CN"/>
        </w:rPr>
        <w:t>九、</w:t>
      </w:r>
      <w:r>
        <w:rPr>
          <w:rFonts w:hint="eastAsia"/>
          <w:color w:val="auto"/>
        </w:rPr>
        <w:t>结论与建议</w:t>
      </w:r>
      <w:bookmarkEnd w:id="61"/>
      <w:bookmarkEnd w:id="62"/>
      <w:bookmarkEnd w:id="63"/>
      <w:bookmarkEnd w:id="64"/>
    </w:p>
    <w:tbl>
      <w:tblPr>
        <w:tblStyle w:val="15"/>
        <w:tblW w:w="907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71"/>
      </w:tblGrid>
      <w:tr w14:paraId="14B8845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9071" w:type="dxa"/>
            <w:vAlign w:val="bottom"/>
          </w:tcPr>
          <w:p w14:paraId="3379591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51" w:firstLineChars="196"/>
              <w:jc w:val="both"/>
              <w:textAlignment w:val="auto"/>
              <w:outlineLvl w:val="9"/>
              <w:rPr>
                <w:rFonts w:hint="eastAsia"/>
                <w:b/>
                <w:color w:val="auto"/>
                <w:sz w:val="28"/>
                <w:szCs w:val="28"/>
              </w:rPr>
            </w:pPr>
            <w:r>
              <w:rPr>
                <w:rFonts w:hint="eastAsia"/>
                <w:b/>
                <w:color w:val="auto"/>
                <w:sz w:val="28"/>
                <w:szCs w:val="28"/>
                <w:lang w:eastAsia="zh-CN"/>
              </w:rPr>
              <w:t>一、</w:t>
            </w:r>
            <w:r>
              <w:rPr>
                <w:rFonts w:hint="eastAsia"/>
                <w:b/>
                <w:color w:val="auto"/>
                <w:sz w:val="28"/>
                <w:szCs w:val="28"/>
              </w:rPr>
              <w:t>项目概况</w:t>
            </w:r>
          </w:p>
          <w:p w14:paraId="0C0DBF2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s="Times New Roman"/>
                <w:color w:val="auto"/>
                <w:sz w:val="24"/>
                <w:szCs w:val="24"/>
                <w:lang w:eastAsia="zh-CN"/>
              </w:rPr>
            </w:pPr>
            <w:r>
              <w:rPr>
                <w:rFonts w:hint="eastAsia" w:cs="Times New Roman"/>
                <w:b w:val="0"/>
                <w:i w:val="0"/>
                <w:caps w:val="0"/>
                <w:color w:val="auto"/>
                <w:spacing w:val="0"/>
                <w:sz w:val="24"/>
                <w:szCs w:val="24"/>
                <w:shd w:val="clear" w:fill="FFFFFF"/>
                <w:lang w:eastAsia="zh-CN"/>
              </w:rPr>
              <w:t>湖北省巨能房地产开发有限公司拟在</w:t>
            </w:r>
            <w:r>
              <w:rPr>
                <w:rFonts w:hint="default" w:ascii="Times New Roman" w:hAnsi="Times New Roman" w:cs="Times New Roman"/>
                <w:color w:val="auto"/>
                <w:sz w:val="24"/>
                <w:szCs w:val="24"/>
                <w:vertAlign w:val="baseline"/>
                <w:lang w:eastAsia="zh-CN"/>
              </w:rPr>
              <w:t>鄂州市葛店</w:t>
            </w:r>
            <w:r>
              <w:rPr>
                <w:rFonts w:hint="eastAsia" w:cs="Times New Roman"/>
                <w:color w:val="auto"/>
                <w:sz w:val="24"/>
                <w:szCs w:val="24"/>
                <w:vertAlign w:val="baseline"/>
                <w:lang w:eastAsia="zh-CN"/>
              </w:rPr>
              <w:t>开发区三号工业区建设</w:t>
            </w:r>
            <w:r>
              <w:rPr>
                <w:rFonts w:hint="eastAsia" w:cs="Times New Roman"/>
                <w:b w:val="0"/>
                <w:i w:val="0"/>
                <w:caps w:val="0"/>
                <w:color w:val="auto"/>
                <w:spacing w:val="0"/>
                <w:sz w:val="24"/>
                <w:szCs w:val="24"/>
                <w:shd w:val="clear" w:fill="FFFFFF"/>
                <w:lang w:eastAsia="zh-CN"/>
              </w:rPr>
              <w:t>维纳春天项目。</w:t>
            </w:r>
            <w:r>
              <w:rPr>
                <w:rFonts w:hint="default" w:ascii="Times New Roman" w:hAnsi="Times New Roman" w:cs="Times New Roman"/>
                <w:color w:val="auto"/>
                <w:sz w:val="24"/>
                <w:szCs w:val="24"/>
              </w:rPr>
              <w:t>根据建设单位提供的资料，</w:t>
            </w:r>
            <w:r>
              <w:rPr>
                <w:rFonts w:hint="eastAsia" w:cs="Times New Roman"/>
                <w:color w:val="auto"/>
                <w:sz w:val="24"/>
                <w:szCs w:val="24"/>
                <w:lang w:eastAsia="zh-CN"/>
              </w:rPr>
              <w:t>维纳春天项目规划净</w:t>
            </w:r>
            <w:r>
              <w:rPr>
                <w:rFonts w:hint="default" w:ascii="Times New Roman" w:hAnsi="Times New Roman" w:cs="Times New Roman"/>
                <w:color w:val="auto"/>
                <w:sz w:val="24"/>
                <w:szCs w:val="24"/>
                <w:lang w:eastAsia="zh-CN"/>
              </w:rPr>
              <w:t>用</w:t>
            </w:r>
            <w:r>
              <w:rPr>
                <w:rFonts w:hint="default" w:ascii="Times New Roman" w:hAnsi="Times New Roman" w:cs="Times New Roman"/>
                <w:color w:val="auto"/>
                <w:sz w:val="24"/>
                <w:szCs w:val="24"/>
              </w:rPr>
              <w:t>地面积为</w:t>
            </w:r>
            <w:r>
              <w:rPr>
                <w:rFonts w:hint="eastAsia" w:cs="Times New Roman"/>
                <w:color w:val="auto"/>
                <w:sz w:val="24"/>
                <w:szCs w:val="24"/>
                <w:lang w:val="en-US" w:eastAsia="zh-CN"/>
              </w:rPr>
              <w:t>21762.2</w:t>
            </w:r>
            <w:r>
              <w:rPr>
                <w:rFonts w:hint="default" w:ascii="Times New Roman" w:hAnsi="Times New Roman" w:cs="Times New Roman"/>
                <w:color w:val="auto"/>
                <w:sz w:val="24"/>
                <w:szCs w:val="24"/>
                <w:lang w:eastAsia="zh-CN"/>
              </w:rPr>
              <w:t>平方米</w:t>
            </w:r>
            <w:r>
              <w:rPr>
                <w:rFonts w:hint="eastAsia" w:cs="Times New Roman"/>
                <w:color w:val="auto"/>
                <w:sz w:val="24"/>
                <w:szCs w:val="24"/>
                <w:lang w:eastAsia="zh-CN"/>
              </w:rPr>
              <w:t>，</w:t>
            </w:r>
            <w:r>
              <w:rPr>
                <w:rFonts w:hint="default" w:ascii="Times New Roman" w:hAnsi="Times New Roman" w:cs="Times New Roman"/>
                <w:color w:val="auto"/>
                <w:sz w:val="24"/>
              </w:rPr>
              <w:t>建筑</w:t>
            </w:r>
            <w:r>
              <w:rPr>
                <w:rFonts w:hint="default" w:ascii="Times New Roman" w:hAnsi="Times New Roman" w:cs="Times New Roman"/>
                <w:color w:val="auto"/>
                <w:sz w:val="24"/>
                <w:lang w:eastAsia="zh-CN"/>
              </w:rPr>
              <w:t>总</w:t>
            </w:r>
            <w:r>
              <w:rPr>
                <w:rFonts w:hint="default" w:ascii="Times New Roman" w:hAnsi="Times New Roman" w:cs="Times New Roman"/>
                <w:color w:val="auto"/>
                <w:sz w:val="24"/>
              </w:rPr>
              <w:t>面积</w:t>
            </w:r>
            <w:r>
              <w:rPr>
                <w:rFonts w:hint="eastAsia" w:cs="Times New Roman"/>
                <w:color w:val="auto"/>
                <w:sz w:val="24"/>
                <w:szCs w:val="24"/>
                <w:lang w:val="en-US" w:eastAsia="zh-CN"/>
              </w:rPr>
              <w:t>85522.37</w:t>
            </w:r>
            <w:r>
              <w:rPr>
                <w:rFonts w:hint="default" w:ascii="Times New Roman" w:hAnsi="Times New Roman" w:cs="Times New Roman"/>
                <w:color w:val="auto"/>
                <w:sz w:val="24"/>
              </w:rPr>
              <w:t>平方米，</w:t>
            </w:r>
            <w:r>
              <w:rPr>
                <w:rFonts w:hint="default" w:ascii="Times New Roman" w:hAnsi="Times New Roman" w:cs="Times New Roman"/>
                <w:color w:val="auto"/>
                <w:sz w:val="24"/>
                <w:lang w:eastAsia="zh-CN"/>
              </w:rPr>
              <w:t>其中商业建筑面积为</w:t>
            </w:r>
            <w:r>
              <w:rPr>
                <w:rFonts w:hint="eastAsia" w:cs="Times New Roman"/>
                <w:color w:val="auto"/>
                <w:sz w:val="24"/>
                <w:lang w:val="en-US" w:eastAsia="zh-CN"/>
              </w:rPr>
              <w:t>3214.12</w:t>
            </w:r>
            <w:r>
              <w:rPr>
                <w:rFonts w:hint="default" w:ascii="Times New Roman" w:hAnsi="Times New Roman" w:cs="Times New Roman"/>
                <w:color w:val="auto"/>
                <w:sz w:val="24"/>
                <w:lang w:val="en-US" w:eastAsia="zh-CN"/>
              </w:rPr>
              <w:t>平方米，居住建筑面积为</w:t>
            </w:r>
            <w:r>
              <w:rPr>
                <w:rFonts w:hint="eastAsia" w:cs="Times New Roman"/>
                <w:color w:val="auto"/>
                <w:sz w:val="24"/>
                <w:lang w:val="en-US" w:eastAsia="zh-CN"/>
              </w:rPr>
              <w:t>67445.76</w:t>
            </w:r>
            <w:r>
              <w:rPr>
                <w:rFonts w:hint="default" w:ascii="Times New Roman" w:hAnsi="Times New Roman" w:cs="Times New Roman"/>
                <w:color w:val="auto"/>
                <w:sz w:val="24"/>
                <w:lang w:val="en-US" w:eastAsia="zh-CN"/>
              </w:rPr>
              <w:t>平方米</w:t>
            </w:r>
            <w:r>
              <w:rPr>
                <w:rFonts w:hint="eastAsia" w:cs="Times New Roman"/>
                <w:color w:val="auto"/>
                <w:sz w:val="24"/>
                <w:lang w:val="en-US" w:eastAsia="zh-CN"/>
              </w:rPr>
              <w:t>，</w:t>
            </w:r>
            <w:r>
              <w:rPr>
                <w:rFonts w:hint="default" w:ascii="Times New Roman" w:hAnsi="Times New Roman" w:cs="Times New Roman"/>
                <w:color w:val="auto"/>
                <w:sz w:val="24"/>
                <w:szCs w:val="24"/>
              </w:rPr>
              <w:t>地下</w:t>
            </w:r>
            <w:r>
              <w:rPr>
                <w:rFonts w:hint="default" w:ascii="Times New Roman" w:hAnsi="Times New Roman" w:cs="Times New Roman"/>
                <w:color w:val="auto"/>
                <w:sz w:val="24"/>
                <w:szCs w:val="24"/>
                <w:lang w:eastAsia="zh-CN"/>
              </w:rPr>
              <w:t>车库</w:t>
            </w:r>
            <w:r>
              <w:rPr>
                <w:rFonts w:hint="default" w:ascii="Times New Roman" w:hAnsi="Times New Roman" w:cs="Times New Roman"/>
                <w:color w:val="auto"/>
                <w:sz w:val="24"/>
                <w:szCs w:val="24"/>
              </w:rPr>
              <w:t>面积</w:t>
            </w:r>
            <w:r>
              <w:rPr>
                <w:rFonts w:hint="eastAsia" w:cs="Times New Roman"/>
                <w:color w:val="auto"/>
                <w:sz w:val="24"/>
                <w:szCs w:val="24"/>
                <w:lang w:val="en-US" w:eastAsia="zh-CN"/>
              </w:rPr>
              <w:t>12872.67</w:t>
            </w:r>
            <w:r>
              <w:rPr>
                <w:rFonts w:hint="default" w:ascii="Times New Roman" w:hAnsi="Times New Roman" w:cs="Times New Roman"/>
                <w:color w:val="auto"/>
                <w:sz w:val="24"/>
                <w:szCs w:val="24"/>
                <w:lang w:eastAsia="zh-CN"/>
              </w:rPr>
              <w:t>平方米</w:t>
            </w:r>
            <w:r>
              <w:rPr>
                <w:rFonts w:hint="default" w:ascii="Times New Roman" w:hAnsi="Times New Roman" w:cs="Times New Roman"/>
                <w:color w:val="auto"/>
                <w:sz w:val="24"/>
              </w:rPr>
              <w:t>。总居住户数</w:t>
            </w:r>
            <w:r>
              <w:rPr>
                <w:rFonts w:hint="eastAsia" w:cs="Times New Roman"/>
                <w:color w:val="auto"/>
                <w:sz w:val="24"/>
                <w:lang w:val="en-US" w:eastAsia="zh-CN"/>
              </w:rPr>
              <w:t>660</w:t>
            </w:r>
            <w:r>
              <w:rPr>
                <w:rFonts w:hint="default" w:ascii="Times New Roman" w:hAnsi="Times New Roman" w:cs="Times New Roman"/>
                <w:color w:val="auto"/>
                <w:sz w:val="24"/>
              </w:rPr>
              <w:t>户，规划总居住人口</w:t>
            </w:r>
            <w:r>
              <w:rPr>
                <w:rFonts w:hint="eastAsia" w:cs="Times New Roman"/>
                <w:color w:val="auto"/>
                <w:sz w:val="24"/>
                <w:lang w:val="en-US" w:eastAsia="zh-CN"/>
              </w:rPr>
              <w:t>2112</w:t>
            </w:r>
            <w:r>
              <w:rPr>
                <w:rFonts w:hint="default" w:ascii="Times New Roman" w:hAnsi="Times New Roman" w:cs="Times New Roman"/>
                <w:color w:val="auto"/>
                <w:sz w:val="24"/>
              </w:rPr>
              <w:t>人</w:t>
            </w:r>
            <w:r>
              <w:rPr>
                <w:rFonts w:hint="default" w:ascii="Times New Roman" w:hAnsi="Times New Roman" w:cs="Times New Roman"/>
                <w:color w:val="auto"/>
                <w:sz w:val="24"/>
                <w:lang w:eastAsia="zh-CN"/>
              </w:rPr>
              <w:t>（每户按照</w:t>
            </w:r>
            <w:r>
              <w:rPr>
                <w:rFonts w:hint="default" w:ascii="Times New Roman" w:hAnsi="Times New Roman" w:cs="Times New Roman"/>
                <w:color w:val="auto"/>
                <w:sz w:val="24"/>
                <w:lang w:val="en-US" w:eastAsia="zh-CN"/>
              </w:rPr>
              <w:t>3.</w:t>
            </w:r>
            <w:r>
              <w:rPr>
                <w:rFonts w:hint="eastAsia" w:cs="Times New Roman"/>
                <w:color w:val="auto"/>
                <w:sz w:val="24"/>
                <w:lang w:val="en-US" w:eastAsia="zh-CN"/>
              </w:rPr>
              <w:t>2</w:t>
            </w:r>
            <w:r>
              <w:rPr>
                <w:rFonts w:hint="default" w:ascii="Times New Roman" w:hAnsi="Times New Roman" w:cs="Times New Roman"/>
                <w:color w:val="auto"/>
                <w:sz w:val="24"/>
                <w:lang w:val="en-US" w:eastAsia="zh-CN"/>
              </w:rPr>
              <w:t>人计</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，容积率</w:t>
            </w:r>
            <w:r>
              <w:rPr>
                <w:rFonts w:hint="eastAsia" w:cs="Times New Roman"/>
                <w:color w:val="auto"/>
                <w:sz w:val="24"/>
                <w:lang w:val="en-US" w:eastAsia="zh-CN"/>
              </w:rPr>
              <w:t>3.5</w:t>
            </w:r>
            <w:r>
              <w:rPr>
                <w:rFonts w:hint="default" w:ascii="Times New Roman" w:hAnsi="Times New Roman" w:cs="Times New Roman"/>
                <w:color w:val="auto"/>
                <w:sz w:val="24"/>
              </w:rPr>
              <w:t>，绿化覆盖率</w:t>
            </w:r>
            <w:r>
              <w:rPr>
                <w:rFonts w:hint="eastAsia" w:cs="Times New Roman"/>
                <w:color w:val="auto"/>
                <w:sz w:val="24"/>
                <w:lang w:val="en-US" w:eastAsia="zh-CN"/>
              </w:rPr>
              <w:t>35.88</w:t>
            </w:r>
            <w:r>
              <w:rPr>
                <w:rFonts w:hint="default" w:ascii="Times New Roman" w:hAnsi="Times New Roman" w:cs="Times New Roman"/>
                <w:color w:val="auto"/>
                <w:sz w:val="24"/>
              </w:rPr>
              <w:t>%。</w:t>
            </w:r>
          </w:p>
          <w:p w14:paraId="3598D86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rPr>
            </w:pPr>
            <w:r>
              <w:rPr>
                <w:rFonts w:hint="eastAsia" w:cs="Times New Roman"/>
                <w:color w:val="auto"/>
                <w:sz w:val="24"/>
                <w:szCs w:val="24"/>
                <w:lang w:eastAsia="zh-CN"/>
              </w:rPr>
              <w:t>维纳春天项目规划净</w:t>
            </w:r>
            <w:r>
              <w:rPr>
                <w:rFonts w:hint="default" w:ascii="Times New Roman" w:hAnsi="Times New Roman" w:cs="Times New Roman"/>
                <w:color w:val="auto"/>
                <w:sz w:val="24"/>
                <w:szCs w:val="24"/>
                <w:lang w:eastAsia="zh-CN"/>
              </w:rPr>
              <w:t>用</w:t>
            </w:r>
            <w:r>
              <w:rPr>
                <w:rFonts w:hint="default" w:ascii="Times New Roman" w:hAnsi="Times New Roman" w:cs="Times New Roman"/>
                <w:color w:val="auto"/>
                <w:sz w:val="24"/>
                <w:szCs w:val="24"/>
              </w:rPr>
              <w:t>地面积为</w:t>
            </w:r>
            <w:r>
              <w:rPr>
                <w:rFonts w:hint="eastAsia" w:cs="Times New Roman"/>
                <w:color w:val="auto"/>
                <w:sz w:val="24"/>
                <w:szCs w:val="24"/>
                <w:lang w:val="en-US" w:eastAsia="zh-CN"/>
              </w:rPr>
              <w:t>21762.2</w:t>
            </w:r>
            <w:r>
              <w:rPr>
                <w:rFonts w:hint="default" w:ascii="Times New Roman" w:hAnsi="Times New Roman" w:cs="Times New Roman"/>
                <w:color w:val="auto"/>
                <w:sz w:val="24"/>
                <w:szCs w:val="24"/>
                <w:lang w:eastAsia="zh-CN"/>
              </w:rPr>
              <w:t>平方米</w:t>
            </w:r>
            <w:r>
              <w:rPr>
                <w:rFonts w:hint="eastAsia" w:cs="Times New Roman"/>
                <w:color w:val="auto"/>
                <w:sz w:val="24"/>
                <w:szCs w:val="24"/>
                <w:lang w:eastAsia="zh-CN"/>
              </w:rPr>
              <w:t>，</w:t>
            </w:r>
            <w:r>
              <w:rPr>
                <w:rFonts w:hint="default" w:ascii="Times New Roman" w:hAnsi="Times New Roman" w:cs="Times New Roman"/>
                <w:color w:val="auto"/>
                <w:sz w:val="24"/>
              </w:rPr>
              <w:t>建筑</w:t>
            </w:r>
            <w:r>
              <w:rPr>
                <w:rFonts w:hint="default" w:ascii="Times New Roman" w:hAnsi="Times New Roman" w:cs="Times New Roman"/>
                <w:color w:val="auto"/>
                <w:sz w:val="24"/>
                <w:lang w:eastAsia="zh-CN"/>
              </w:rPr>
              <w:t>总</w:t>
            </w:r>
            <w:r>
              <w:rPr>
                <w:rFonts w:hint="default" w:ascii="Times New Roman" w:hAnsi="Times New Roman" w:cs="Times New Roman"/>
                <w:color w:val="auto"/>
                <w:sz w:val="24"/>
              </w:rPr>
              <w:t>面积</w:t>
            </w:r>
            <w:r>
              <w:rPr>
                <w:rFonts w:hint="eastAsia" w:cs="Times New Roman"/>
                <w:color w:val="auto"/>
                <w:sz w:val="24"/>
                <w:szCs w:val="24"/>
                <w:lang w:val="en-US" w:eastAsia="zh-CN"/>
              </w:rPr>
              <w:t>85522.37</w:t>
            </w:r>
            <w:r>
              <w:rPr>
                <w:rFonts w:hint="default" w:ascii="Times New Roman" w:hAnsi="Times New Roman" w:cs="Times New Roman"/>
                <w:color w:val="auto"/>
                <w:sz w:val="24"/>
              </w:rPr>
              <w:t>平方米，</w:t>
            </w:r>
            <w:r>
              <w:rPr>
                <w:rFonts w:hint="default" w:ascii="Times New Roman" w:hAnsi="Times New Roman" w:cs="Times New Roman"/>
                <w:color w:val="auto"/>
                <w:sz w:val="24"/>
                <w:lang w:eastAsia="zh-CN"/>
              </w:rPr>
              <w:t>其中商业建筑面积为</w:t>
            </w:r>
            <w:r>
              <w:rPr>
                <w:rFonts w:hint="eastAsia" w:cs="Times New Roman"/>
                <w:color w:val="auto"/>
                <w:sz w:val="24"/>
                <w:lang w:val="en-US" w:eastAsia="zh-CN"/>
              </w:rPr>
              <w:t>3214.12</w:t>
            </w:r>
            <w:r>
              <w:rPr>
                <w:rFonts w:hint="default" w:ascii="Times New Roman" w:hAnsi="Times New Roman" w:cs="Times New Roman"/>
                <w:color w:val="auto"/>
                <w:sz w:val="24"/>
                <w:lang w:val="en-US" w:eastAsia="zh-CN"/>
              </w:rPr>
              <w:t>平方米，居住建筑面积为</w:t>
            </w:r>
            <w:r>
              <w:rPr>
                <w:rFonts w:hint="eastAsia" w:cs="Times New Roman"/>
                <w:color w:val="auto"/>
                <w:sz w:val="24"/>
                <w:lang w:val="en-US" w:eastAsia="zh-CN"/>
              </w:rPr>
              <w:t>67445.76</w:t>
            </w:r>
            <w:r>
              <w:rPr>
                <w:rFonts w:hint="default" w:ascii="Times New Roman" w:hAnsi="Times New Roman" w:cs="Times New Roman"/>
                <w:color w:val="auto"/>
                <w:sz w:val="24"/>
                <w:lang w:val="en-US" w:eastAsia="zh-CN"/>
              </w:rPr>
              <w:t>平方米</w:t>
            </w:r>
            <w:r>
              <w:rPr>
                <w:rFonts w:hint="eastAsia" w:cs="Times New Roman"/>
                <w:color w:val="auto"/>
                <w:sz w:val="24"/>
                <w:lang w:val="en-US" w:eastAsia="zh-CN"/>
              </w:rPr>
              <w:t>，</w:t>
            </w:r>
            <w:r>
              <w:rPr>
                <w:rFonts w:hint="default" w:ascii="Times New Roman" w:hAnsi="Times New Roman" w:cs="Times New Roman"/>
                <w:color w:val="auto"/>
                <w:sz w:val="24"/>
                <w:szCs w:val="24"/>
              </w:rPr>
              <w:t>地下</w:t>
            </w:r>
            <w:r>
              <w:rPr>
                <w:rFonts w:hint="default" w:ascii="Times New Roman" w:hAnsi="Times New Roman" w:cs="Times New Roman"/>
                <w:color w:val="auto"/>
                <w:sz w:val="24"/>
                <w:szCs w:val="24"/>
                <w:lang w:eastAsia="zh-CN"/>
              </w:rPr>
              <w:t>车库</w:t>
            </w:r>
            <w:r>
              <w:rPr>
                <w:rFonts w:hint="default" w:ascii="Times New Roman" w:hAnsi="Times New Roman" w:cs="Times New Roman"/>
                <w:color w:val="auto"/>
                <w:sz w:val="24"/>
                <w:szCs w:val="24"/>
              </w:rPr>
              <w:t>面积</w:t>
            </w:r>
            <w:r>
              <w:rPr>
                <w:rFonts w:hint="eastAsia" w:cs="Times New Roman"/>
                <w:color w:val="auto"/>
                <w:sz w:val="24"/>
                <w:szCs w:val="24"/>
                <w:lang w:val="en-US" w:eastAsia="zh-CN"/>
              </w:rPr>
              <w:t>12872.67</w:t>
            </w:r>
            <w:r>
              <w:rPr>
                <w:rFonts w:hint="default" w:ascii="Times New Roman" w:hAnsi="Times New Roman" w:cs="Times New Roman"/>
                <w:color w:val="auto"/>
                <w:sz w:val="24"/>
                <w:szCs w:val="24"/>
                <w:lang w:eastAsia="zh-CN"/>
              </w:rPr>
              <w:t>平方米</w:t>
            </w:r>
            <w:r>
              <w:rPr>
                <w:rFonts w:hint="default" w:ascii="Times New Roman" w:hAnsi="Times New Roman" w:cs="Times New Roman"/>
                <w:color w:val="auto"/>
                <w:sz w:val="24"/>
              </w:rPr>
              <w:t>。总居住户数</w:t>
            </w:r>
            <w:r>
              <w:rPr>
                <w:rFonts w:hint="eastAsia" w:cs="Times New Roman"/>
                <w:color w:val="auto"/>
                <w:sz w:val="24"/>
                <w:lang w:val="en-US" w:eastAsia="zh-CN"/>
              </w:rPr>
              <w:t>660</w:t>
            </w:r>
            <w:r>
              <w:rPr>
                <w:rFonts w:hint="default" w:ascii="Times New Roman" w:hAnsi="Times New Roman" w:cs="Times New Roman"/>
                <w:color w:val="auto"/>
                <w:sz w:val="24"/>
              </w:rPr>
              <w:t>户，规划总居住人口</w:t>
            </w:r>
            <w:r>
              <w:rPr>
                <w:rFonts w:hint="eastAsia" w:cs="Times New Roman"/>
                <w:color w:val="auto"/>
                <w:sz w:val="24"/>
                <w:lang w:val="en-US" w:eastAsia="zh-CN"/>
              </w:rPr>
              <w:t>2112</w:t>
            </w:r>
            <w:r>
              <w:rPr>
                <w:rFonts w:hint="default" w:ascii="Times New Roman" w:hAnsi="Times New Roman" w:cs="Times New Roman"/>
                <w:color w:val="auto"/>
                <w:sz w:val="24"/>
              </w:rPr>
              <w:t>人</w:t>
            </w:r>
            <w:r>
              <w:rPr>
                <w:rFonts w:hint="default" w:ascii="Times New Roman" w:hAnsi="Times New Roman" w:cs="Times New Roman"/>
                <w:color w:val="auto"/>
                <w:sz w:val="24"/>
                <w:lang w:eastAsia="zh-CN"/>
              </w:rPr>
              <w:t>（每户按照</w:t>
            </w:r>
            <w:r>
              <w:rPr>
                <w:rFonts w:hint="default" w:ascii="Times New Roman" w:hAnsi="Times New Roman" w:cs="Times New Roman"/>
                <w:color w:val="auto"/>
                <w:sz w:val="24"/>
                <w:lang w:val="en-US" w:eastAsia="zh-CN"/>
              </w:rPr>
              <w:t>3.</w:t>
            </w:r>
            <w:r>
              <w:rPr>
                <w:rFonts w:hint="eastAsia" w:cs="Times New Roman"/>
                <w:color w:val="auto"/>
                <w:sz w:val="24"/>
                <w:lang w:val="en-US" w:eastAsia="zh-CN"/>
              </w:rPr>
              <w:t>2</w:t>
            </w:r>
            <w:r>
              <w:rPr>
                <w:rFonts w:hint="default" w:ascii="Times New Roman" w:hAnsi="Times New Roman" w:cs="Times New Roman"/>
                <w:color w:val="auto"/>
                <w:sz w:val="24"/>
                <w:lang w:val="en-US" w:eastAsia="zh-CN"/>
              </w:rPr>
              <w:t>人计</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，容积率</w:t>
            </w:r>
            <w:r>
              <w:rPr>
                <w:rFonts w:hint="eastAsia" w:cs="Times New Roman"/>
                <w:color w:val="auto"/>
                <w:sz w:val="24"/>
                <w:lang w:val="en-US" w:eastAsia="zh-CN"/>
              </w:rPr>
              <w:t>3.5</w:t>
            </w:r>
            <w:r>
              <w:rPr>
                <w:rFonts w:hint="default" w:ascii="Times New Roman" w:hAnsi="Times New Roman" w:cs="Times New Roman"/>
                <w:color w:val="auto"/>
                <w:sz w:val="24"/>
              </w:rPr>
              <w:t>，绿化覆盖率</w:t>
            </w:r>
            <w:r>
              <w:rPr>
                <w:rFonts w:hint="eastAsia" w:cs="Times New Roman"/>
                <w:color w:val="auto"/>
                <w:sz w:val="24"/>
                <w:lang w:val="en-US" w:eastAsia="zh-CN"/>
              </w:rPr>
              <w:t>35.88</w:t>
            </w:r>
            <w:r>
              <w:rPr>
                <w:rFonts w:hint="default" w:ascii="Times New Roman" w:hAnsi="Times New Roman" w:cs="Times New Roman"/>
                <w:color w:val="auto"/>
                <w:sz w:val="24"/>
              </w:rPr>
              <w:t>%。</w:t>
            </w:r>
            <w:r>
              <w:rPr>
                <w:rFonts w:hint="default" w:ascii="Times New Roman" w:hAnsi="Times New Roman" w:eastAsia="宋体" w:cs="Times New Roman"/>
                <w:color w:val="auto"/>
                <w:sz w:val="24"/>
                <w:szCs w:val="24"/>
                <w:lang w:eastAsia="zh-CN"/>
              </w:rPr>
              <w:t>项目主</w:t>
            </w:r>
            <w:r>
              <w:rPr>
                <w:rFonts w:hint="eastAsia" w:cs="Times New Roman"/>
                <w:color w:val="auto"/>
                <w:sz w:val="24"/>
                <w:szCs w:val="24"/>
                <w:lang w:eastAsia="zh-CN"/>
              </w:rPr>
              <w:t>体工程包括</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lang w:val="en-US" w:eastAsia="zh-CN"/>
              </w:rPr>
              <w:t>栋</w:t>
            </w:r>
            <w:r>
              <w:rPr>
                <w:rFonts w:hint="eastAsia" w:cs="Times New Roman"/>
                <w:color w:val="auto"/>
                <w:sz w:val="24"/>
                <w:szCs w:val="24"/>
                <w:lang w:val="en-US" w:eastAsia="zh-CN"/>
              </w:rPr>
              <w:t>28+1F</w:t>
            </w:r>
            <w:r>
              <w:rPr>
                <w:rFonts w:hint="default" w:ascii="Times New Roman" w:hAnsi="Times New Roman" w:eastAsia="宋体" w:cs="Times New Roman"/>
                <w:color w:val="auto"/>
                <w:sz w:val="24"/>
                <w:szCs w:val="24"/>
                <w:lang w:val="en-US" w:eastAsia="zh-CN"/>
              </w:rPr>
              <w:t>高层住宅楼</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lang w:val="en-US" w:eastAsia="zh-CN"/>
              </w:rPr>
              <w:t>栋</w:t>
            </w:r>
            <w:r>
              <w:rPr>
                <w:rFonts w:hint="eastAsia" w:cs="Times New Roman"/>
                <w:color w:val="auto"/>
                <w:sz w:val="24"/>
                <w:szCs w:val="24"/>
                <w:lang w:val="en-US" w:eastAsia="zh-CN"/>
              </w:rPr>
              <w:t>27+1F</w:t>
            </w:r>
            <w:r>
              <w:rPr>
                <w:rFonts w:hint="default" w:ascii="Times New Roman" w:hAnsi="Times New Roman" w:eastAsia="宋体" w:cs="Times New Roman"/>
                <w:color w:val="auto"/>
                <w:sz w:val="24"/>
                <w:szCs w:val="24"/>
                <w:lang w:val="en-US" w:eastAsia="zh-CN"/>
              </w:rPr>
              <w:t>高层住宅楼</w:t>
            </w:r>
            <w:r>
              <w:rPr>
                <w:rFonts w:hint="eastAsia" w:cs="Times New Roman"/>
                <w:color w:val="auto"/>
                <w:sz w:val="24"/>
                <w:szCs w:val="24"/>
                <w:lang w:eastAsia="zh-CN"/>
              </w:rPr>
              <w:t>以及商业区</w:t>
            </w:r>
            <w:r>
              <w:rPr>
                <w:rFonts w:hint="eastAsia" w:cs="Times New Roman"/>
                <w:color w:val="auto"/>
                <w:kern w:val="0"/>
                <w:sz w:val="24"/>
                <w:szCs w:val="24"/>
                <w:lang w:eastAsia="zh-CN"/>
              </w:rPr>
              <w:t>，</w:t>
            </w:r>
            <w:r>
              <w:rPr>
                <w:rFonts w:hint="eastAsia" w:cs="Times New Roman"/>
                <w:sz w:val="24"/>
                <w:lang w:eastAsia="zh-CN"/>
              </w:rPr>
              <w:t>同时建有门卫室、配建物管用房、公厕、</w:t>
            </w:r>
            <w:r>
              <w:rPr>
                <w:rFonts w:hint="default" w:ascii="Times New Roman" w:hAnsi="Times New Roman" w:eastAsia="宋体" w:cs="Times New Roman"/>
                <w:sz w:val="24"/>
              </w:rPr>
              <w:t>配电房、</w:t>
            </w:r>
            <w:r>
              <w:rPr>
                <w:rFonts w:hint="eastAsia" w:cs="Times New Roman"/>
                <w:sz w:val="24"/>
                <w:lang w:eastAsia="zh-CN"/>
              </w:rPr>
              <w:t>开闭所、水泵房、</w:t>
            </w:r>
            <w:r>
              <w:rPr>
                <w:rFonts w:hint="default" w:ascii="Times New Roman" w:hAnsi="Times New Roman" w:eastAsia="宋体" w:cs="Times New Roman"/>
                <w:sz w:val="24"/>
              </w:rPr>
              <w:t>垃圾收集点</w:t>
            </w:r>
            <w:r>
              <w:rPr>
                <w:rFonts w:hint="eastAsia" w:cs="Times New Roman"/>
                <w:sz w:val="24"/>
                <w:lang w:eastAsia="zh-CN"/>
              </w:rPr>
              <w:t>等</w:t>
            </w:r>
            <w:r>
              <w:rPr>
                <w:rFonts w:hint="eastAsia" w:cs="Times New Roman"/>
                <w:color w:val="auto"/>
                <w:sz w:val="24"/>
                <w:szCs w:val="24"/>
                <w:lang w:eastAsia="zh-CN"/>
              </w:rPr>
              <w:t>公共服务配套设施。</w:t>
            </w:r>
            <w:r>
              <w:rPr>
                <w:rFonts w:hint="default" w:ascii="Times New Roman" w:hAnsi="Times New Roman" w:eastAsia="宋体" w:cs="Times New Roman"/>
                <w:color w:val="auto"/>
                <w:sz w:val="24"/>
                <w:szCs w:val="24"/>
                <w:lang w:eastAsia="zh-CN"/>
              </w:rPr>
              <w:t>项目</w:t>
            </w:r>
            <w:r>
              <w:rPr>
                <w:rFonts w:hint="eastAsia" w:cs="Times New Roman"/>
                <w:color w:val="auto"/>
                <w:sz w:val="24"/>
                <w:szCs w:val="24"/>
                <w:lang w:eastAsia="zh-CN"/>
              </w:rPr>
              <w:t>有</w:t>
            </w:r>
            <w:r>
              <w:rPr>
                <w:rFonts w:hint="default" w:ascii="Times New Roman" w:hAnsi="Times New Roman" w:eastAsia="宋体" w:cs="Times New Roman"/>
                <w:color w:val="auto"/>
                <w:sz w:val="24"/>
                <w:szCs w:val="24"/>
                <w:lang w:eastAsia="zh-CN"/>
              </w:rPr>
              <w:t>地上停车位</w:t>
            </w:r>
            <w:r>
              <w:rPr>
                <w:rFonts w:hint="eastAsia" w:cs="Times New Roman"/>
                <w:color w:val="auto"/>
                <w:sz w:val="24"/>
                <w:szCs w:val="24"/>
                <w:lang w:val="en-US" w:eastAsia="zh-CN"/>
              </w:rPr>
              <w:t>66</w:t>
            </w:r>
            <w:r>
              <w:rPr>
                <w:rFonts w:hint="default" w:ascii="Times New Roman" w:hAnsi="Times New Roman" w:eastAsia="宋体" w:cs="Times New Roman"/>
                <w:color w:val="auto"/>
                <w:sz w:val="24"/>
                <w:szCs w:val="24"/>
                <w:lang w:val="en-US" w:eastAsia="zh-CN"/>
              </w:rPr>
              <w:t>个，地下停车位</w:t>
            </w:r>
            <w:r>
              <w:rPr>
                <w:rFonts w:hint="eastAsia" w:cs="Times New Roman"/>
                <w:color w:val="auto"/>
                <w:sz w:val="24"/>
                <w:szCs w:val="24"/>
                <w:lang w:val="en-US" w:eastAsia="zh-CN"/>
              </w:rPr>
              <w:t>273</w:t>
            </w:r>
            <w:r>
              <w:rPr>
                <w:rFonts w:hint="default" w:ascii="Times New Roman" w:hAnsi="Times New Roman" w:eastAsia="宋体" w:cs="Times New Roman"/>
                <w:color w:val="auto"/>
                <w:sz w:val="24"/>
                <w:szCs w:val="24"/>
                <w:lang w:val="en-US" w:eastAsia="zh-CN"/>
              </w:rPr>
              <w:t>个，总计停车位</w:t>
            </w:r>
            <w:r>
              <w:rPr>
                <w:rFonts w:hint="eastAsia" w:cs="Times New Roman"/>
                <w:color w:val="auto"/>
                <w:sz w:val="24"/>
                <w:szCs w:val="24"/>
                <w:lang w:val="en-US" w:eastAsia="zh-CN"/>
              </w:rPr>
              <w:t>339</w:t>
            </w:r>
            <w:r>
              <w:rPr>
                <w:rFonts w:hint="default" w:ascii="Times New Roman" w:hAnsi="Times New Roman" w:eastAsia="宋体" w:cs="Times New Roman"/>
                <w:color w:val="auto"/>
                <w:sz w:val="24"/>
                <w:szCs w:val="24"/>
                <w:lang w:val="en-US" w:eastAsia="zh-CN"/>
              </w:rPr>
              <w:t>个，基本可以满足小区居民需求</w:t>
            </w:r>
            <w:r>
              <w:rPr>
                <w:rFonts w:hint="eastAsia" w:cs="Times New Roman"/>
                <w:color w:val="auto"/>
                <w:sz w:val="24"/>
                <w:szCs w:val="24"/>
                <w:lang w:val="en-US" w:eastAsia="zh-CN"/>
              </w:rPr>
              <w:t>；</w:t>
            </w:r>
            <w:r>
              <w:rPr>
                <w:rFonts w:hint="default" w:ascii="Times New Roman" w:hAnsi="Times New Roman" w:cs="Times New Roman"/>
                <w:color w:val="auto"/>
                <w:kern w:val="0"/>
                <w:sz w:val="24"/>
                <w:szCs w:val="24"/>
              </w:rPr>
              <w:t>项目商铺位</w:t>
            </w:r>
            <w:r>
              <w:rPr>
                <w:rFonts w:hint="eastAsia" w:cs="Times New Roman"/>
                <w:color w:val="auto"/>
                <w:kern w:val="0"/>
                <w:sz w:val="24"/>
                <w:szCs w:val="24"/>
                <w:lang w:eastAsia="zh-CN"/>
              </w:rPr>
              <w:t>环项目地块北、西、南侧建设</w:t>
            </w:r>
            <w:r>
              <w:rPr>
                <w:rFonts w:hint="default" w:ascii="Times New Roman" w:hAnsi="Times New Roman" w:cs="Times New Roman"/>
                <w:color w:val="auto"/>
                <w:kern w:val="0"/>
                <w:sz w:val="24"/>
                <w:szCs w:val="24"/>
              </w:rPr>
              <w:t>，</w:t>
            </w:r>
            <w:r>
              <w:rPr>
                <w:rFonts w:hint="default" w:ascii="Times New Roman" w:hAnsi="Times New Roman" w:cs="Times New Roman"/>
                <w:color w:val="auto"/>
                <w:kern w:val="0"/>
                <w:sz w:val="24"/>
                <w:szCs w:val="24"/>
                <w:lang w:eastAsia="zh-CN"/>
              </w:rPr>
              <w:t>商铺</w:t>
            </w:r>
            <w:r>
              <w:rPr>
                <w:rFonts w:hint="default" w:ascii="Times New Roman" w:hAnsi="Times New Roman" w:cs="Times New Roman"/>
                <w:color w:val="auto"/>
                <w:kern w:val="0"/>
                <w:sz w:val="24"/>
                <w:szCs w:val="24"/>
              </w:rPr>
              <w:t>定位为满足区域居民日常生活、购物等消费需求，</w:t>
            </w:r>
            <w:r>
              <w:rPr>
                <w:rFonts w:hint="eastAsia"/>
                <w:color w:val="auto"/>
                <w:kern w:val="0"/>
                <w:sz w:val="24"/>
                <w:szCs w:val="24"/>
                <w:lang w:eastAsia="zh-CN"/>
              </w:rPr>
              <w:t>本项目只引</w:t>
            </w:r>
            <w:r>
              <w:rPr>
                <w:bCs/>
                <w:color w:val="auto"/>
                <w:sz w:val="24"/>
                <w:szCs w:val="24"/>
              </w:rPr>
              <w:t>零售业、书店、日用百货、小型餐饮等</w:t>
            </w:r>
            <w:r>
              <w:rPr>
                <w:rFonts w:hint="eastAsia"/>
                <w:bCs/>
                <w:color w:val="auto"/>
                <w:sz w:val="24"/>
                <w:szCs w:val="24"/>
                <w:lang w:eastAsia="zh-CN"/>
              </w:rPr>
              <w:t>，不引进</w:t>
            </w:r>
            <w:r>
              <w:rPr>
                <w:color w:val="auto"/>
                <w:kern w:val="0"/>
                <w:sz w:val="24"/>
                <w:szCs w:val="24"/>
              </w:rPr>
              <w:t>高噪声</w:t>
            </w:r>
            <w:r>
              <w:rPr>
                <w:rFonts w:hint="eastAsia"/>
                <w:bCs/>
                <w:color w:val="auto"/>
                <w:sz w:val="24"/>
                <w:szCs w:val="24"/>
              </w:rPr>
              <w:t>娱乐KTV</w:t>
            </w:r>
            <w:r>
              <w:rPr>
                <w:rFonts w:hint="eastAsia"/>
                <w:bCs/>
                <w:color w:val="auto"/>
                <w:sz w:val="24"/>
                <w:szCs w:val="24"/>
                <w:lang w:eastAsia="zh-CN"/>
              </w:rPr>
              <w:t>设施以及医疗设施。</w:t>
            </w:r>
            <w:r>
              <w:rPr>
                <w:rFonts w:hint="eastAsia"/>
                <w:color w:val="auto"/>
                <w:kern w:val="0"/>
                <w:sz w:val="24"/>
                <w:szCs w:val="24"/>
                <w:lang w:eastAsia="zh-CN"/>
              </w:rPr>
              <w:t>根据《中华人民共和国大气污染防治法》规定：</w:t>
            </w:r>
            <w:r>
              <w:rPr>
                <w:rFonts w:hint="eastAsia" w:ascii="宋体" w:hAnsi="宋体" w:cs="宋体"/>
                <w:color w:val="auto"/>
                <w:kern w:val="0"/>
                <w:sz w:val="24"/>
                <w:szCs w:val="24"/>
              </w:rPr>
              <w:t>禁止在居民住宅楼、未配套设立专用烟道的商住综合楼以及商住综合楼内与居住层相邻的商业楼层内新建、改建、扩建产生油烟、异味、废气的餐饮服务项目</w:t>
            </w:r>
            <w:r>
              <w:rPr>
                <w:rFonts w:hint="eastAsia" w:ascii="宋体" w:hAnsi="宋体" w:cs="宋体"/>
                <w:color w:val="auto"/>
                <w:kern w:val="0"/>
                <w:sz w:val="24"/>
                <w:szCs w:val="24"/>
                <w:lang w:eastAsia="zh-CN"/>
              </w:rPr>
              <w:t>，由于本项目要引进小型餐饮行业，因此</w:t>
            </w:r>
            <w:r>
              <w:rPr>
                <w:rFonts w:hint="eastAsia"/>
                <w:color w:val="auto"/>
                <w:kern w:val="0"/>
                <w:sz w:val="24"/>
                <w:szCs w:val="24"/>
              </w:rPr>
              <w:t>本环评要求项目商铺设置独立商用烟道。</w:t>
            </w:r>
          </w:p>
          <w:p w14:paraId="0F81C1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51" w:firstLineChars="196"/>
              <w:jc w:val="both"/>
              <w:textAlignment w:val="auto"/>
              <w:outlineLvl w:val="9"/>
              <w:rPr>
                <w:rFonts w:hint="eastAsia"/>
                <w:b/>
                <w:color w:val="auto"/>
                <w:sz w:val="28"/>
                <w:szCs w:val="28"/>
              </w:rPr>
            </w:pPr>
            <w:r>
              <w:rPr>
                <w:rFonts w:hint="eastAsia"/>
                <w:b/>
                <w:color w:val="auto"/>
                <w:sz w:val="28"/>
                <w:szCs w:val="28"/>
                <w:lang w:eastAsia="zh-CN"/>
              </w:rPr>
              <w:t>二、</w:t>
            </w:r>
            <w:r>
              <w:rPr>
                <w:rFonts w:hint="eastAsia"/>
                <w:b/>
                <w:color w:val="auto"/>
                <w:sz w:val="28"/>
                <w:szCs w:val="28"/>
              </w:rPr>
              <w:t>项目环境质量现状</w:t>
            </w:r>
          </w:p>
          <w:p w14:paraId="47C3262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hAnsi="宋体"/>
                <w:b/>
                <w:bCs/>
                <w:color w:val="auto"/>
                <w:sz w:val="24"/>
              </w:rPr>
            </w:pPr>
            <w:r>
              <w:rPr>
                <w:rFonts w:hint="eastAsia" w:hAnsi="宋体"/>
                <w:b/>
                <w:bCs/>
                <w:color w:val="auto"/>
                <w:sz w:val="24"/>
                <w:lang w:val="en-US" w:eastAsia="zh-CN"/>
              </w:rPr>
              <w:t>1、</w:t>
            </w:r>
            <w:r>
              <w:rPr>
                <w:rFonts w:hint="eastAsia" w:hAnsi="宋体"/>
                <w:b/>
                <w:bCs/>
                <w:color w:val="auto"/>
                <w:sz w:val="24"/>
              </w:rPr>
              <w:t>环境空气质量</w:t>
            </w:r>
          </w:p>
          <w:p w14:paraId="5535A08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color w:val="auto"/>
                <w:sz w:val="24"/>
              </w:rPr>
            </w:pPr>
            <w:r>
              <w:rPr>
                <w:bCs/>
                <w:color w:val="auto"/>
                <w:sz w:val="24"/>
              </w:rPr>
              <w:t>本项目位于</w:t>
            </w:r>
            <w:r>
              <w:rPr>
                <w:rFonts w:hint="eastAsia" w:cs="Times New Roman"/>
                <w:color w:val="auto"/>
                <w:sz w:val="24"/>
                <w:szCs w:val="24"/>
                <w:vertAlign w:val="baseline"/>
                <w:lang w:eastAsia="zh-CN"/>
              </w:rPr>
              <w:t>鄂州市葛店开发区三号工业区</w:t>
            </w:r>
            <w:r>
              <w:rPr>
                <w:bCs/>
                <w:color w:val="auto"/>
                <w:sz w:val="24"/>
              </w:rPr>
              <w:t>，</w:t>
            </w:r>
            <w:r>
              <w:rPr>
                <w:rFonts w:hint="eastAsia"/>
                <w:bCs/>
                <w:color w:val="auto"/>
                <w:sz w:val="24"/>
              </w:rPr>
              <w:t>由</w:t>
            </w:r>
            <w:r>
              <w:rPr>
                <w:rFonts w:hint="eastAsia" w:ascii="Times New Roman" w:hAnsi="Times New Roman" w:cs="Times New Roman"/>
                <w:color w:val="auto"/>
                <w:sz w:val="24"/>
              </w:rPr>
              <w:t>《武汉华甜生物科技有限公司1000吨食品添加剂扩建项目</w:t>
            </w:r>
            <w:r>
              <w:rPr>
                <w:rFonts w:ascii="Times New Roman" w:hAnsi="Times New Roman" w:cs="Times New Roman"/>
                <w:color w:val="auto"/>
                <w:sz w:val="24"/>
              </w:rPr>
              <w:t>环境影响评价</w:t>
            </w:r>
            <w:r>
              <w:rPr>
                <w:rFonts w:hint="eastAsia" w:cs="Times New Roman"/>
                <w:color w:val="auto"/>
                <w:sz w:val="24"/>
                <w:lang w:eastAsia="zh-CN"/>
              </w:rPr>
              <w:t>报告书</w:t>
            </w:r>
            <w:r>
              <w:rPr>
                <w:rFonts w:hint="eastAsia" w:ascii="Times New Roman" w:hAnsi="Times New Roman" w:cs="Times New Roman"/>
                <w:color w:val="auto"/>
                <w:sz w:val="24"/>
              </w:rPr>
              <w:t>》</w:t>
            </w:r>
            <w:r>
              <w:rPr>
                <w:rFonts w:hint="eastAsia" w:cs="Times New Roman"/>
                <w:color w:val="auto"/>
                <w:sz w:val="24"/>
                <w:lang w:eastAsia="zh-CN"/>
              </w:rPr>
              <w:t>的环境空气现状</w:t>
            </w:r>
            <w:r>
              <w:rPr>
                <w:color w:val="auto"/>
                <w:sz w:val="24"/>
              </w:rPr>
              <w:t>监测</w:t>
            </w:r>
            <w:r>
              <w:rPr>
                <w:rFonts w:hint="eastAsia"/>
                <w:color w:val="auto"/>
                <w:sz w:val="24"/>
                <w:lang w:eastAsia="zh-CN"/>
              </w:rPr>
              <w:t>数据</w:t>
            </w:r>
            <w:r>
              <w:rPr>
                <w:rFonts w:hint="eastAsia"/>
                <w:color w:val="auto"/>
                <w:kern w:val="0"/>
                <w:sz w:val="24"/>
              </w:rPr>
              <w:t>可知，</w:t>
            </w:r>
            <w:r>
              <w:rPr>
                <w:color w:val="auto"/>
                <w:sz w:val="24"/>
              </w:rPr>
              <w:t>SO</w:t>
            </w:r>
            <w:r>
              <w:rPr>
                <w:color w:val="auto"/>
                <w:sz w:val="24"/>
                <w:vertAlign w:val="subscript"/>
              </w:rPr>
              <w:t>2</w:t>
            </w:r>
            <w:r>
              <w:rPr>
                <w:rFonts w:hint="eastAsia"/>
                <w:color w:val="auto"/>
                <w:sz w:val="24"/>
              </w:rPr>
              <w:t>、</w:t>
            </w:r>
            <w:r>
              <w:rPr>
                <w:color w:val="auto"/>
                <w:sz w:val="24"/>
              </w:rPr>
              <w:t>NO</w:t>
            </w:r>
            <w:r>
              <w:rPr>
                <w:color w:val="auto"/>
                <w:sz w:val="24"/>
                <w:vertAlign w:val="subscript"/>
              </w:rPr>
              <w:t>2</w:t>
            </w:r>
            <w:r>
              <w:rPr>
                <w:rFonts w:hint="eastAsia"/>
                <w:color w:val="auto"/>
                <w:sz w:val="24"/>
              </w:rPr>
              <w:t>、</w:t>
            </w:r>
            <w:r>
              <w:rPr>
                <w:color w:val="auto"/>
                <w:sz w:val="24"/>
              </w:rPr>
              <w:t>PM</w:t>
            </w:r>
            <w:r>
              <w:rPr>
                <w:color w:val="auto"/>
                <w:sz w:val="24"/>
                <w:vertAlign w:val="subscript"/>
              </w:rPr>
              <w:t>10</w:t>
            </w:r>
            <w:r>
              <w:rPr>
                <w:color w:val="auto"/>
                <w:sz w:val="24"/>
              </w:rPr>
              <w:t>日平均浓度</w:t>
            </w:r>
            <w:r>
              <w:rPr>
                <w:rFonts w:hint="eastAsia"/>
                <w:color w:val="auto"/>
                <w:sz w:val="24"/>
              </w:rPr>
              <w:t>均满足</w:t>
            </w:r>
            <w:r>
              <w:rPr>
                <w:color w:val="auto"/>
                <w:sz w:val="24"/>
              </w:rPr>
              <w:t>《环境空气质量标准》（GB3095-</w:t>
            </w:r>
            <w:r>
              <w:rPr>
                <w:rFonts w:hint="eastAsia"/>
                <w:color w:val="auto"/>
                <w:sz w:val="24"/>
              </w:rPr>
              <w:t>2012</w:t>
            </w:r>
            <w:r>
              <w:rPr>
                <w:color w:val="auto"/>
                <w:sz w:val="24"/>
              </w:rPr>
              <w:t>）中的二级标准</w:t>
            </w:r>
            <w:r>
              <w:rPr>
                <w:rFonts w:hint="eastAsia"/>
                <w:color w:val="auto"/>
                <w:sz w:val="24"/>
              </w:rPr>
              <w:t>，环境空气质量现状较好</w:t>
            </w:r>
            <w:r>
              <w:rPr>
                <w:rFonts w:hint="eastAsia" w:hAnsi="宋体"/>
                <w:color w:val="auto"/>
                <w:sz w:val="24"/>
              </w:rPr>
              <w:t>。</w:t>
            </w:r>
          </w:p>
          <w:p w14:paraId="02234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hAnsi="宋体"/>
                <w:b/>
                <w:bCs/>
                <w:color w:val="auto"/>
                <w:sz w:val="24"/>
              </w:rPr>
            </w:pPr>
            <w:r>
              <w:rPr>
                <w:rFonts w:hint="eastAsia" w:hAnsi="宋体"/>
                <w:b/>
                <w:bCs/>
                <w:color w:val="auto"/>
                <w:sz w:val="24"/>
                <w:lang w:val="en-US" w:eastAsia="zh-CN"/>
              </w:rPr>
              <w:t>2、</w:t>
            </w:r>
            <w:r>
              <w:rPr>
                <w:rFonts w:hint="eastAsia" w:hAnsi="宋体"/>
                <w:b/>
                <w:bCs/>
                <w:color w:val="auto"/>
                <w:sz w:val="24"/>
              </w:rPr>
              <w:t>地表水环境质量</w:t>
            </w:r>
          </w:p>
          <w:p w14:paraId="40A5F01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r>
              <w:rPr>
                <w:rFonts w:hint="eastAsia" w:hAnsi="宋体"/>
                <w:color w:val="auto"/>
                <w:sz w:val="24"/>
              </w:rPr>
              <w:t>根据</w:t>
            </w:r>
            <w:r>
              <w:rPr>
                <w:rFonts w:hint="eastAsia" w:ascii="Times New Roman" w:hAnsi="Times New Roman" w:cs="Times New Roman"/>
                <w:color w:val="auto"/>
                <w:sz w:val="24"/>
              </w:rPr>
              <w:t>《</w:t>
            </w:r>
            <w:r>
              <w:rPr>
                <w:rFonts w:hint="eastAsia"/>
                <w:color w:val="auto"/>
                <w:sz w:val="24"/>
                <w:szCs w:val="24"/>
              </w:rPr>
              <w:t>鄂州市葛店三王污水处理厂BOT</w:t>
            </w:r>
            <w:r>
              <w:rPr>
                <w:rFonts w:hint="eastAsia" w:ascii="Times New Roman" w:hAnsi="Times New Roman" w:cs="Times New Roman"/>
                <w:color w:val="auto"/>
                <w:sz w:val="24"/>
              </w:rPr>
              <w:t>项目</w:t>
            </w:r>
            <w:r>
              <w:rPr>
                <w:rFonts w:ascii="Times New Roman" w:hAnsi="Times New Roman" w:cs="Times New Roman"/>
                <w:color w:val="auto"/>
                <w:sz w:val="24"/>
              </w:rPr>
              <w:t>环境影响评价</w:t>
            </w:r>
            <w:r>
              <w:rPr>
                <w:rFonts w:hint="eastAsia" w:cs="Times New Roman"/>
                <w:color w:val="auto"/>
                <w:sz w:val="24"/>
                <w:lang w:eastAsia="zh-CN"/>
              </w:rPr>
              <w:t>报告书</w:t>
            </w:r>
            <w:r>
              <w:rPr>
                <w:rFonts w:hint="eastAsia" w:ascii="Times New Roman" w:hAnsi="Times New Roman" w:cs="Times New Roman"/>
                <w:color w:val="auto"/>
                <w:sz w:val="24"/>
              </w:rPr>
              <w:t>》</w:t>
            </w:r>
            <w:r>
              <w:rPr>
                <w:rFonts w:hint="eastAsia" w:cs="Times New Roman"/>
                <w:color w:val="auto"/>
                <w:sz w:val="24"/>
                <w:lang w:eastAsia="zh-CN"/>
              </w:rPr>
              <w:t>中</w:t>
            </w:r>
            <w:r>
              <w:rPr>
                <w:color w:val="auto"/>
                <w:sz w:val="24"/>
              </w:rPr>
              <w:t>201</w:t>
            </w:r>
            <w:r>
              <w:rPr>
                <w:rFonts w:hint="eastAsia"/>
                <w:color w:val="auto"/>
                <w:sz w:val="24"/>
                <w:lang w:val="en-US" w:eastAsia="zh-CN"/>
              </w:rPr>
              <w:t>5</w:t>
            </w:r>
            <w:r>
              <w:rPr>
                <w:color w:val="auto"/>
                <w:sz w:val="24"/>
              </w:rPr>
              <w:t>年</w:t>
            </w:r>
            <w:r>
              <w:rPr>
                <w:rFonts w:hint="eastAsia"/>
                <w:color w:val="auto"/>
                <w:sz w:val="24"/>
                <w:lang w:val="en-US" w:eastAsia="zh-CN"/>
              </w:rPr>
              <w:t>7</w:t>
            </w:r>
            <w:r>
              <w:rPr>
                <w:color w:val="auto"/>
                <w:sz w:val="24"/>
              </w:rPr>
              <w:t>月</w:t>
            </w:r>
            <w:r>
              <w:rPr>
                <w:rFonts w:hint="eastAsia"/>
                <w:color w:val="auto"/>
                <w:sz w:val="24"/>
                <w:lang w:val="en-US" w:eastAsia="zh-CN"/>
              </w:rPr>
              <w:t>22日-7月24日的地表水监测报告中数据可知</w:t>
            </w:r>
            <w:r>
              <w:rPr>
                <w:rFonts w:hint="eastAsia" w:hAnsi="宋体"/>
                <w:color w:val="auto"/>
                <w:sz w:val="24"/>
              </w:rPr>
              <w:t>，</w:t>
            </w:r>
            <w:r>
              <w:rPr>
                <w:rFonts w:hint="eastAsia" w:hAnsi="宋体"/>
                <w:color w:val="auto"/>
                <w:sz w:val="24"/>
                <w:lang w:eastAsia="zh-CN"/>
              </w:rPr>
              <w:t>各</w:t>
            </w:r>
            <w:r>
              <w:rPr>
                <w:color w:val="auto"/>
                <w:sz w:val="24"/>
                <w:szCs w:val="24"/>
              </w:rPr>
              <w:t>断面中</w:t>
            </w:r>
            <w:r>
              <w:rPr>
                <w:color w:val="auto"/>
                <w:sz w:val="24"/>
              </w:rPr>
              <w:t>各项监测因子的单项因子指数均不超过1</w:t>
            </w:r>
            <w:r>
              <w:rPr>
                <w:rFonts w:hint="eastAsia"/>
                <w:color w:val="auto"/>
                <w:sz w:val="24"/>
              </w:rPr>
              <w:t>，满足</w:t>
            </w:r>
            <w:r>
              <w:rPr>
                <w:color w:val="auto"/>
                <w:sz w:val="24"/>
                <w:szCs w:val="24"/>
              </w:rPr>
              <w:t>《地表水环境质量标准》（GB3838-2002）中的</w:t>
            </w:r>
            <w:r>
              <w:rPr>
                <w:rFonts w:hint="eastAsia"/>
                <w:color w:val="auto"/>
                <w:sz w:val="24"/>
                <w:szCs w:val="24"/>
              </w:rPr>
              <w:t>Ⅲ</w:t>
            </w:r>
            <w:r>
              <w:rPr>
                <w:color w:val="auto"/>
                <w:sz w:val="24"/>
                <w:szCs w:val="24"/>
              </w:rPr>
              <w:t>类标准</w:t>
            </w:r>
            <w:r>
              <w:rPr>
                <w:color w:val="auto"/>
                <w:sz w:val="24"/>
              </w:rPr>
              <w:t>。</w:t>
            </w:r>
            <w:r>
              <w:rPr>
                <w:rFonts w:hint="eastAsia"/>
                <w:color w:val="auto"/>
                <w:sz w:val="24"/>
              </w:rPr>
              <w:t>长江现状水质较好。</w:t>
            </w:r>
          </w:p>
          <w:p w14:paraId="0779655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b/>
                <w:bCs/>
                <w:color w:val="auto"/>
                <w:sz w:val="24"/>
              </w:rPr>
            </w:pPr>
            <w:r>
              <w:rPr>
                <w:rFonts w:hint="eastAsia"/>
                <w:b/>
                <w:bCs/>
                <w:color w:val="auto"/>
                <w:sz w:val="24"/>
                <w:lang w:val="en-US" w:eastAsia="zh-CN"/>
              </w:rPr>
              <w:t>3、</w:t>
            </w:r>
            <w:r>
              <w:rPr>
                <w:rFonts w:hint="eastAsia"/>
                <w:b/>
                <w:bCs/>
                <w:color w:val="auto"/>
                <w:sz w:val="24"/>
              </w:rPr>
              <w:t>声环境质量</w:t>
            </w:r>
          </w:p>
          <w:p w14:paraId="03D3FD35">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r>
              <w:rPr>
                <w:rFonts w:hint="eastAsia" w:hAnsi="宋体"/>
                <w:color w:val="auto"/>
                <w:sz w:val="24"/>
                <w:lang w:eastAsia="zh-CN"/>
              </w:rPr>
              <w:t>根据声环境检测报告的</w:t>
            </w:r>
            <w:r>
              <w:rPr>
                <w:rFonts w:hint="default" w:ascii="Times New Roman" w:hAnsi="Times New Roman" w:eastAsia="宋体" w:cs="Times New Roman"/>
                <w:color w:val="auto"/>
                <w:sz w:val="24"/>
                <w:szCs w:val="24"/>
              </w:rPr>
              <w:t>监测结果可知，</w:t>
            </w:r>
            <w:r>
              <w:rPr>
                <w:rFonts w:hint="eastAsia" w:cs="Times New Roman"/>
                <w:color w:val="auto"/>
                <w:sz w:val="24"/>
                <w:szCs w:val="24"/>
                <w:lang w:eastAsia="zh-CN"/>
              </w:rPr>
              <w:t>东</w:t>
            </w:r>
            <w:r>
              <w:rPr>
                <w:rFonts w:hint="eastAsia"/>
                <w:color w:val="auto"/>
                <w:kern w:val="0"/>
                <w:sz w:val="24"/>
              </w:rPr>
              <w:t>场界</w:t>
            </w:r>
            <w:r>
              <w:rPr>
                <w:rFonts w:hint="eastAsia"/>
                <w:color w:val="auto"/>
                <w:kern w:val="0"/>
                <w:sz w:val="24"/>
                <w:lang w:eastAsia="zh-CN"/>
              </w:rPr>
              <w:t>、西场界、南场界、北场界</w:t>
            </w:r>
            <w:r>
              <w:rPr>
                <w:rFonts w:hint="default" w:ascii="Times New Roman" w:hAnsi="Times New Roman" w:eastAsia="宋体" w:cs="Times New Roman"/>
                <w:color w:val="auto"/>
                <w:sz w:val="24"/>
                <w:szCs w:val="24"/>
              </w:rPr>
              <w:t>监测点</w:t>
            </w:r>
            <w:r>
              <w:rPr>
                <w:rFonts w:hint="eastAsia" w:cs="Times New Roman"/>
                <w:color w:val="auto"/>
                <w:sz w:val="24"/>
                <w:szCs w:val="24"/>
                <w:lang w:eastAsia="zh-CN"/>
              </w:rPr>
              <w:t>的</w:t>
            </w:r>
            <w:r>
              <w:rPr>
                <w:rFonts w:hint="default" w:ascii="Times New Roman" w:hAnsi="Times New Roman" w:eastAsia="宋体" w:cs="Times New Roman"/>
                <w:color w:val="auto"/>
                <w:sz w:val="24"/>
                <w:szCs w:val="24"/>
              </w:rPr>
              <w:t>昼</w:t>
            </w:r>
            <w:r>
              <w:rPr>
                <w:rFonts w:hint="eastAsia" w:cs="Times New Roman"/>
                <w:color w:val="auto"/>
                <w:sz w:val="24"/>
                <w:szCs w:val="24"/>
                <w:lang w:eastAsia="zh-CN"/>
              </w:rPr>
              <w:t>、夜</w:t>
            </w:r>
            <w:r>
              <w:rPr>
                <w:rFonts w:hint="default" w:ascii="Times New Roman" w:hAnsi="Times New Roman" w:eastAsia="宋体" w:cs="Times New Roman"/>
                <w:color w:val="auto"/>
                <w:sz w:val="24"/>
                <w:szCs w:val="24"/>
              </w:rPr>
              <w:t>间环境噪声</w:t>
            </w:r>
            <w:r>
              <w:rPr>
                <w:rFonts w:hint="eastAsia" w:cs="Times New Roman"/>
                <w:color w:val="auto"/>
                <w:sz w:val="24"/>
                <w:szCs w:val="24"/>
                <w:lang w:eastAsia="zh-CN"/>
              </w:rPr>
              <w:t>监测结果</w:t>
            </w:r>
            <w:r>
              <w:rPr>
                <w:rFonts w:hint="default" w:ascii="Times New Roman" w:hAnsi="Times New Roman" w:eastAsia="宋体" w:cs="Times New Roman"/>
                <w:color w:val="auto"/>
                <w:sz w:val="24"/>
                <w:szCs w:val="24"/>
              </w:rPr>
              <w:t>均能够满足功能区划的《声环境质量标准》（GB3096-2008）</w:t>
            </w:r>
            <w:r>
              <w:rPr>
                <w:rFonts w:hint="eastAsia" w:cs="Times New Roman"/>
                <w:color w:val="auto"/>
                <w:sz w:val="24"/>
                <w:szCs w:val="24"/>
                <w:lang w:val="en-US" w:eastAsia="zh-CN"/>
              </w:rPr>
              <w:t>2类</w:t>
            </w:r>
            <w:r>
              <w:rPr>
                <w:rFonts w:hint="default" w:ascii="Times New Roman" w:hAnsi="Times New Roman" w:eastAsia="宋体" w:cs="Times New Roman"/>
                <w:color w:val="auto"/>
                <w:sz w:val="24"/>
                <w:szCs w:val="24"/>
              </w:rPr>
              <w:t>标准要求</w:t>
            </w:r>
            <w:r>
              <w:rPr>
                <w:rFonts w:hint="eastAsia" w:cs="Times New Roman"/>
                <w:color w:val="auto"/>
                <w:sz w:val="24"/>
                <w:szCs w:val="24"/>
                <w:lang w:eastAsia="zh-CN"/>
              </w:rPr>
              <w:t>，</w:t>
            </w:r>
            <w:r>
              <w:rPr>
                <w:rFonts w:hint="eastAsia"/>
                <w:color w:val="auto"/>
                <w:kern w:val="0"/>
                <w:sz w:val="24"/>
                <w:lang w:eastAsia="zh-CN"/>
              </w:rPr>
              <w:t>项目所在区域</w:t>
            </w:r>
            <w:r>
              <w:rPr>
                <w:rFonts w:hAnsi="宋体"/>
                <w:color w:val="auto"/>
                <w:sz w:val="24"/>
              </w:rPr>
              <w:t>声环境质量现状较好</w:t>
            </w:r>
            <w:r>
              <w:rPr>
                <w:rFonts w:hint="eastAsia" w:hAnsi="宋体"/>
                <w:color w:val="auto"/>
                <w:sz w:val="24"/>
              </w:rPr>
              <w:t>。</w:t>
            </w:r>
          </w:p>
          <w:p w14:paraId="60A6B5E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b/>
                <w:color w:val="auto"/>
                <w:sz w:val="28"/>
                <w:szCs w:val="28"/>
              </w:rPr>
            </w:pPr>
            <w:r>
              <w:rPr>
                <w:rFonts w:hint="eastAsia"/>
                <w:b/>
                <w:color w:val="auto"/>
                <w:sz w:val="28"/>
                <w:szCs w:val="28"/>
                <w:lang w:eastAsia="zh-CN"/>
              </w:rPr>
              <w:t>三、</w:t>
            </w:r>
            <w:r>
              <w:rPr>
                <w:rFonts w:hint="eastAsia"/>
                <w:b/>
                <w:color w:val="auto"/>
                <w:sz w:val="28"/>
                <w:szCs w:val="28"/>
              </w:rPr>
              <w:t>环境影响分析结论及措施</w:t>
            </w:r>
          </w:p>
          <w:p w14:paraId="2C1FBDC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Ansi="宋体"/>
                <w:b/>
                <w:bCs/>
                <w:color w:val="auto"/>
                <w:sz w:val="24"/>
              </w:rPr>
            </w:pPr>
            <w:r>
              <w:rPr>
                <w:rFonts w:hAnsi="宋体"/>
                <w:b/>
                <w:bCs/>
                <w:color w:val="auto"/>
                <w:sz w:val="24"/>
              </w:rPr>
              <w:t>1、大气污染物</w:t>
            </w:r>
          </w:p>
          <w:p w14:paraId="23CDAF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color w:val="auto"/>
                <w:sz w:val="24"/>
              </w:rPr>
            </w:pPr>
            <w:r>
              <w:rPr>
                <w:rFonts w:hint="eastAsia" w:hAnsi="宋体"/>
                <w:color w:val="auto"/>
                <w:sz w:val="24"/>
              </w:rPr>
              <w:t>本项目建成后的主要空气污染源为居民烹饪</w:t>
            </w:r>
            <w:r>
              <w:rPr>
                <w:rFonts w:hint="eastAsia" w:hAnsi="宋体"/>
                <w:color w:val="auto"/>
                <w:sz w:val="24"/>
                <w:lang w:eastAsia="zh-CN"/>
              </w:rPr>
              <w:t>油烟、</w:t>
            </w:r>
            <w:r>
              <w:rPr>
                <w:rFonts w:hint="eastAsia" w:hAnsi="宋体"/>
                <w:color w:val="auto"/>
                <w:sz w:val="24"/>
              </w:rPr>
              <w:t>机动车产生的汽车尾气</w:t>
            </w:r>
            <w:r>
              <w:rPr>
                <w:rFonts w:hint="eastAsia" w:hAnsi="宋体"/>
                <w:color w:val="auto"/>
                <w:sz w:val="24"/>
                <w:lang w:eastAsia="zh-CN"/>
              </w:rPr>
              <w:t>、垃圾收集点恶臭</w:t>
            </w:r>
            <w:r>
              <w:rPr>
                <w:rFonts w:hint="eastAsia" w:hAnsi="宋体"/>
                <w:color w:val="auto"/>
                <w:sz w:val="24"/>
              </w:rPr>
              <w:t>。</w:t>
            </w:r>
          </w:p>
          <w:p w14:paraId="30D5DFC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8" w:firstLineChars="200"/>
              <w:jc w:val="both"/>
              <w:textAlignment w:val="auto"/>
              <w:outlineLvl w:val="9"/>
              <w:rPr>
                <w:rFonts w:hint="eastAsia" w:hAnsi="宋体"/>
                <w:color w:val="auto"/>
                <w:spacing w:val="-3"/>
                <w:sz w:val="24"/>
              </w:rPr>
            </w:pPr>
            <w:r>
              <w:rPr>
                <w:rFonts w:hint="eastAsia" w:hAnsi="宋体"/>
                <w:color w:val="auto"/>
                <w:spacing w:val="-3"/>
                <w:sz w:val="24"/>
              </w:rPr>
              <w:t>拟建项目</w:t>
            </w:r>
            <w:r>
              <w:rPr>
                <w:rFonts w:hint="eastAsia" w:hAnsi="宋体"/>
                <w:color w:val="auto"/>
                <w:spacing w:val="-3"/>
                <w:sz w:val="24"/>
                <w:lang w:eastAsia="zh-CN"/>
              </w:rPr>
              <w:t>的</w:t>
            </w:r>
            <w:r>
              <w:rPr>
                <w:rFonts w:hint="eastAsia" w:hAnsi="宋体"/>
                <w:color w:val="auto"/>
                <w:spacing w:val="-3"/>
                <w:sz w:val="24"/>
              </w:rPr>
              <w:t>居民楼将设计内置式竖井式烟道，产生的油烟经用户抽油烟机抽排进入竖井式烟道引至居民楼屋顶高空排放。同时，建设单位应在居民住宅内厨房预留油烟净化装置的位置，并鼓励入住居民安装油烟净化装置。</w:t>
            </w:r>
          </w:p>
          <w:p w14:paraId="2C67197C">
            <w:pPr>
              <w:pStyle w:val="9"/>
              <w:spacing w:line="360" w:lineRule="auto"/>
              <w:ind w:firstLine="480"/>
              <w:rPr>
                <w:rFonts w:hint="eastAsia" w:hAnsi="宋体"/>
                <w:color w:val="auto"/>
                <w:spacing w:val="-3"/>
                <w:sz w:val="24"/>
              </w:rPr>
            </w:pPr>
            <w:r>
              <w:rPr>
                <w:rFonts w:ascii="Times New Roman" w:hAnsi="宋体"/>
                <w:color w:val="auto"/>
                <w:kern w:val="0"/>
                <w:sz w:val="24"/>
                <w:szCs w:val="24"/>
                <w:lang w:val="en-US" w:eastAsia="zh-CN"/>
              </w:rPr>
              <w:t>本项目建成后住宅居民采用天然气为燃料，居民人均用气量</w:t>
            </w:r>
            <w:r>
              <w:rPr>
                <w:rFonts w:ascii="Times New Roman" w:hAnsi="宋体"/>
                <w:color w:val="auto"/>
                <w:sz w:val="24"/>
                <w:lang w:val="en-US" w:eastAsia="zh-CN"/>
              </w:rPr>
              <w:t>按</w:t>
            </w:r>
            <w:r>
              <w:rPr>
                <w:rFonts w:ascii="Times New Roman" w:hAnsi="Times New Roman"/>
                <w:color w:val="auto"/>
                <w:sz w:val="24"/>
                <w:lang w:val="en-US" w:eastAsia="zh-CN"/>
              </w:rPr>
              <w:t>0.35m</w:t>
            </w:r>
            <w:r>
              <w:rPr>
                <w:rFonts w:ascii="Times New Roman" w:hAnsi="Times New Roman"/>
                <w:color w:val="auto"/>
                <w:sz w:val="24"/>
                <w:vertAlign w:val="superscript"/>
                <w:lang w:val="en-US" w:eastAsia="zh-CN"/>
              </w:rPr>
              <w:t>3</w:t>
            </w:r>
            <w:r>
              <w:rPr>
                <w:rFonts w:ascii="Times New Roman" w:hAnsi="Times New Roman"/>
                <w:color w:val="auto"/>
                <w:sz w:val="24"/>
                <w:lang w:val="en-US" w:eastAsia="zh-CN"/>
              </w:rPr>
              <w:t>/d</w:t>
            </w:r>
            <w:r>
              <w:rPr>
                <w:rFonts w:ascii="Times New Roman" w:hAnsi="宋体"/>
                <w:color w:val="auto"/>
                <w:sz w:val="24"/>
                <w:lang w:val="en-US" w:eastAsia="zh-CN"/>
              </w:rPr>
              <w:t>计，用气人口按</w:t>
            </w:r>
            <w:r>
              <w:rPr>
                <w:rFonts w:hint="eastAsia" w:ascii="Times New Roman" w:hAnsi="宋体"/>
                <w:color w:val="auto"/>
                <w:sz w:val="24"/>
                <w:lang w:val="en-US" w:eastAsia="zh-CN"/>
              </w:rPr>
              <w:t>2112</w:t>
            </w:r>
            <w:r>
              <w:rPr>
                <w:rFonts w:ascii="Times New Roman" w:hAnsi="宋体"/>
                <w:color w:val="auto"/>
                <w:sz w:val="24"/>
                <w:lang w:val="en-US" w:eastAsia="zh-CN"/>
              </w:rPr>
              <w:t>人计，日用气量为</w:t>
            </w:r>
            <w:r>
              <w:rPr>
                <w:rFonts w:hint="eastAsia" w:ascii="Times New Roman" w:hAnsi="宋体"/>
                <w:color w:val="auto"/>
                <w:sz w:val="24"/>
                <w:lang w:val="en-US" w:eastAsia="zh-CN"/>
              </w:rPr>
              <w:t>739.2</w:t>
            </w:r>
            <w:r>
              <w:rPr>
                <w:rFonts w:ascii="Times New Roman" w:hAnsi="Times New Roman"/>
                <w:color w:val="auto"/>
                <w:sz w:val="24"/>
                <w:lang w:val="en-US" w:eastAsia="zh-CN"/>
              </w:rPr>
              <w:t>m</w:t>
            </w:r>
            <w:r>
              <w:rPr>
                <w:rFonts w:ascii="Times New Roman" w:hAnsi="Times New Roman"/>
                <w:color w:val="auto"/>
                <w:sz w:val="24"/>
                <w:vertAlign w:val="superscript"/>
                <w:lang w:val="en-US" w:eastAsia="zh-CN"/>
              </w:rPr>
              <w:t>3</w:t>
            </w:r>
            <w:r>
              <w:rPr>
                <w:rFonts w:ascii="Times New Roman" w:hAnsi="Times New Roman"/>
                <w:color w:val="auto"/>
                <w:sz w:val="24"/>
                <w:lang w:val="en-US" w:eastAsia="zh-CN"/>
              </w:rPr>
              <w:t>/d</w:t>
            </w:r>
            <w:r>
              <w:rPr>
                <w:rFonts w:ascii="Times New Roman" w:hAnsi="宋体"/>
                <w:color w:val="auto"/>
                <w:sz w:val="24"/>
                <w:lang w:val="en-US" w:eastAsia="zh-CN"/>
              </w:rPr>
              <w:t>，并考虑</w:t>
            </w:r>
            <w:r>
              <w:rPr>
                <w:rFonts w:ascii="Times New Roman" w:hAnsi="Times New Roman"/>
                <w:color w:val="auto"/>
                <w:sz w:val="24"/>
                <w:lang w:val="en-US" w:eastAsia="zh-CN"/>
              </w:rPr>
              <w:t>10%</w:t>
            </w:r>
            <w:r>
              <w:rPr>
                <w:rFonts w:ascii="Times New Roman" w:hAnsi="宋体"/>
                <w:color w:val="auto"/>
                <w:sz w:val="24"/>
                <w:lang w:val="en-US" w:eastAsia="zh-CN"/>
              </w:rPr>
              <w:t>的不可预见用气量，则全年用气量约为</w:t>
            </w:r>
            <w:r>
              <w:rPr>
                <w:rFonts w:hint="eastAsia" w:ascii="Times New Roman" w:hAnsi="宋体"/>
                <w:color w:val="auto"/>
                <w:sz w:val="24"/>
                <w:lang w:val="en-US" w:eastAsia="zh-CN"/>
              </w:rPr>
              <w:t>296788.8</w:t>
            </w:r>
            <w:r>
              <w:rPr>
                <w:rFonts w:ascii="Times New Roman" w:hAnsi="Times New Roman"/>
                <w:color w:val="auto"/>
                <w:sz w:val="24"/>
                <w:lang w:val="en-US" w:eastAsia="zh-CN"/>
              </w:rPr>
              <w:t>m</w:t>
            </w:r>
            <w:r>
              <w:rPr>
                <w:rFonts w:ascii="Times New Roman" w:hAnsi="Times New Roman"/>
                <w:color w:val="auto"/>
                <w:sz w:val="24"/>
                <w:vertAlign w:val="superscript"/>
                <w:lang w:val="en-US" w:eastAsia="zh-CN"/>
              </w:rPr>
              <w:t>3</w:t>
            </w:r>
            <w:r>
              <w:rPr>
                <w:rFonts w:ascii="Times New Roman" w:hAnsi="Times New Roman"/>
                <w:color w:val="auto"/>
                <w:sz w:val="24"/>
                <w:lang w:val="en-US" w:eastAsia="zh-CN"/>
              </w:rPr>
              <w:t>/a</w:t>
            </w:r>
            <w:r>
              <w:rPr>
                <w:rFonts w:hint="eastAsia" w:ascii="Times New Roman" w:hAnsi="Times New Roman"/>
                <w:color w:val="auto"/>
                <w:sz w:val="24"/>
                <w:lang w:val="en-US" w:eastAsia="zh-CN"/>
              </w:rPr>
              <w:t>（一年按365天计）</w:t>
            </w:r>
            <w:r>
              <w:rPr>
                <w:rFonts w:ascii="Times New Roman" w:hAnsi="宋体"/>
                <w:color w:val="auto"/>
                <w:sz w:val="24"/>
                <w:lang w:val="en-US" w:eastAsia="zh-CN"/>
              </w:rPr>
              <w:t>。</w:t>
            </w:r>
            <w:r>
              <w:rPr>
                <w:rFonts w:hint="eastAsia" w:ascii="Times New Roman" w:hAnsi="宋体"/>
                <w:color w:val="auto"/>
                <w:sz w:val="24"/>
                <w:lang w:val="en-US" w:eastAsia="zh-CN"/>
              </w:rPr>
              <w:t>本项目在设计中考虑了住户的天然气燃烧废气通过预留烟气管道由楼顶排放，同时天然气属于清洁能源，产生的污染物浓度低，能够实现达标排放。</w:t>
            </w:r>
          </w:p>
          <w:p w14:paraId="461F30E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8" w:firstLineChars="200"/>
              <w:jc w:val="both"/>
              <w:textAlignment w:val="auto"/>
              <w:outlineLvl w:val="9"/>
              <w:rPr>
                <w:rFonts w:hAnsi="宋体"/>
                <w:color w:val="auto"/>
                <w:spacing w:val="-3"/>
                <w:sz w:val="24"/>
              </w:rPr>
            </w:pPr>
            <w:r>
              <w:rPr>
                <w:rFonts w:hint="eastAsia" w:hAnsi="宋体"/>
                <w:color w:val="auto"/>
                <w:spacing w:val="-3"/>
                <w:sz w:val="24"/>
              </w:rPr>
              <w:t>地下车库空气采用目前国内的通用的机械排烟风机抽排方式，进行强制性机械通风换气，地下停车场设置多个风机，保证地下车库的换气次数（6次/小时），尽可能减少地下车库内汽车尾气污染物浓度。地下车库排风口拟隐蔽设置在公共绿地中，预计项目地下车库汽车尾气污染物浓度</w:t>
            </w:r>
            <w:r>
              <w:rPr>
                <w:rFonts w:hint="eastAsia" w:ascii="Times New Roman" w:hAnsi="Times New Roman" w:eastAsia="宋体" w:cs="Times New Roman"/>
                <w:b w:val="0"/>
                <w:bCs w:val="0"/>
                <w:color w:val="auto"/>
                <w:spacing w:val="-3"/>
                <w:sz w:val="24"/>
                <w:szCs w:val="24"/>
                <w:lang w:eastAsia="zh-CN"/>
              </w:rPr>
              <w:t>满足</w:t>
            </w:r>
            <w:r>
              <w:rPr>
                <w:rFonts w:hint="default" w:ascii="Times New Roman" w:hAnsi="Times New Roman" w:eastAsia="宋体" w:cs="Times New Roman"/>
                <w:b w:val="0"/>
                <w:bCs w:val="0"/>
                <w:color w:val="auto"/>
                <w:spacing w:val="-3"/>
                <w:sz w:val="24"/>
                <w:szCs w:val="24"/>
              </w:rPr>
              <w:t>《大气污染物综合排放标准》</w:t>
            </w:r>
            <w:r>
              <w:rPr>
                <w:rFonts w:hint="eastAsia" w:ascii="Times New Roman" w:hAnsi="Times New Roman" w:eastAsia="宋体" w:cs="Times New Roman"/>
                <w:b w:val="0"/>
                <w:bCs w:val="0"/>
                <w:color w:val="auto"/>
                <w:spacing w:val="-3"/>
                <w:sz w:val="24"/>
                <w:szCs w:val="24"/>
                <w:lang w:eastAsia="zh-CN"/>
              </w:rPr>
              <w:t>（</w:t>
            </w:r>
            <w:r>
              <w:rPr>
                <w:rFonts w:hint="default" w:ascii="Times New Roman" w:hAnsi="Times New Roman" w:eastAsia="宋体" w:cs="Times New Roman"/>
                <w:b w:val="0"/>
                <w:bCs w:val="0"/>
                <w:color w:val="auto"/>
                <w:spacing w:val="-3"/>
                <w:sz w:val="24"/>
                <w:szCs w:val="24"/>
              </w:rPr>
              <w:t>GB16297-1996</w:t>
            </w:r>
            <w:r>
              <w:rPr>
                <w:rFonts w:hint="eastAsia" w:ascii="Times New Roman" w:hAnsi="Times New Roman" w:eastAsia="宋体" w:cs="Times New Roman"/>
                <w:b w:val="0"/>
                <w:bCs w:val="0"/>
                <w:color w:val="auto"/>
                <w:spacing w:val="-3"/>
                <w:sz w:val="24"/>
                <w:szCs w:val="24"/>
                <w:lang w:eastAsia="zh-CN"/>
              </w:rPr>
              <w:t>）</w:t>
            </w:r>
            <w:r>
              <w:rPr>
                <w:rFonts w:hint="default" w:ascii="Times New Roman" w:hAnsi="Times New Roman" w:eastAsia="宋体" w:cs="Times New Roman"/>
                <w:b w:val="0"/>
                <w:bCs w:val="0"/>
                <w:color w:val="auto"/>
                <w:spacing w:val="-3"/>
                <w:sz w:val="24"/>
                <w:szCs w:val="24"/>
              </w:rPr>
              <w:t>表2</w:t>
            </w:r>
            <w:r>
              <w:rPr>
                <w:rFonts w:hint="eastAsia" w:ascii="Times New Roman" w:hAnsi="Times New Roman" w:eastAsia="宋体" w:cs="Times New Roman"/>
                <w:b w:val="0"/>
                <w:bCs w:val="0"/>
                <w:color w:val="auto"/>
                <w:spacing w:val="-3"/>
                <w:sz w:val="24"/>
                <w:szCs w:val="24"/>
                <w:lang w:eastAsia="zh-CN"/>
              </w:rPr>
              <w:t>新污染源大气污染物无组织排放监控浓度限值</w:t>
            </w:r>
            <w:r>
              <w:rPr>
                <w:rFonts w:hint="eastAsia" w:cs="Times New Roman"/>
                <w:b w:val="0"/>
                <w:bCs w:val="0"/>
                <w:color w:val="auto"/>
                <w:spacing w:val="-3"/>
                <w:sz w:val="24"/>
                <w:szCs w:val="24"/>
                <w:lang w:eastAsia="zh-CN"/>
              </w:rPr>
              <w:t>的</w:t>
            </w:r>
            <w:r>
              <w:rPr>
                <w:rFonts w:hint="eastAsia" w:hAnsi="宋体"/>
                <w:color w:val="auto"/>
                <w:spacing w:val="-3"/>
                <w:sz w:val="24"/>
              </w:rPr>
              <w:t>要求，排风口</w:t>
            </w:r>
            <w:r>
              <w:rPr>
                <w:rFonts w:hint="eastAsia" w:hAnsi="宋体"/>
                <w:color w:val="auto"/>
                <w:spacing w:val="-3"/>
                <w:sz w:val="24"/>
                <w:lang w:eastAsia="zh-CN"/>
              </w:rPr>
              <w:t>安置在绿丛中</w:t>
            </w:r>
            <w:r>
              <w:rPr>
                <w:rFonts w:hint="eastAsia" w:hAnsi="宋体"/>
                <w:color w:val="auto"/>
                <w:spacing w:val="-3"/>
                <w:sz w:val="24"/>
              </w:rPr>
              <w:t>，可进一步降低影响，因此，地下车库汽车尾气不会对周围敏感点产生明显影响</w:t>
            </w:r>
            <w:r>
              <w:rPr>
                <w:rFonts w:hAnsi="宋体"/>
                <w:color w:val="auto"/>
                <w:spacing w:val="-3"/>
                <w:sz w:val="24"/>
              </w:rPr>
              <w:t>。</w:t>
            </w:r>
          </w:p>
          <w:p w14:paraId="3BDDA40F">
            <w:pPr>
              <w:spacing w:line="360" w:lineRule="auto"/>
              <w:ind w:firstLine="495" w:firstLineChars="221"/>
              <w:rPr>
                <w:rFonts w:hAnsi="宋体"/>
                <w:color w:val="auto"/>
                <w:spacing w:val="-8"/>
                <w:sz w:val="24"/>
              </w:rPr>
            </w:pPr>
            <w:r>
              <w:rPr>
                <w:rFonts w:hAnsi="宋体"/>
                <w:color w:val="auto"/>
                <w:spacing w:val="-8"/>
                <w:sz w:val="24"/>
              </w:rPr>
              <w:t>项目物业管理部门有专人每天将垃圾清运至小区内垃圾</w:t>
            </w:r>
            <w:r>
              <w:rPr>
                <w:rFonts w:hint="eastAsia" w:hAnsi="宋体"/>
                <w:color w:val="auto"/>
                <w:spacing w:val="-8"/>
                <w:sz w:val="24"/>
                <w:lang w:eastAsia="zh-CN"/>
              </w:rPr>
              <w:t>房</w:t>
            </w:r>
            <w:r>
              <w:rPr>
                <w:rFonts w:hAnsi="宋体"/>
                <w:color w:val="auto"/>
                <w:spacing w:val="-8"/>
                <w:sz w:val="24"/>
              </w:rPr>
              <w:t>，再统一运至市政垃圾站进行无害化处理。项目内垃圾</w:t>
            </w:r>
            <w:r>
              <w:rPr>
                <w:rFonts w:hint="eastAsia" w:hAnsi="宋体"/>
                <w:color w:val="auto"/>
                <w:spacing w:val="-8"/>
                <w:sz w:val="24"/>
                <w:lang w:eastAsia="zh-CN"/>
              </w:rPr>
              <w:t>房</w:t>
            </w:r>
            <w:r>
              <w:rPr>
                <w:rFonts w:hAnsi="宋体"/>
                <w:color w:val="auto"/>
                <w:spacing w:val="-8"/>
                <w:sz w:val="24"/>
              </w:rPr>
              <w:t>密闭设置，专人负责清理和喷洒消毒药水，及时运至市政垃圾站。另外由于垃圾站收集的是袋装垃圾，恶臭产生较少，</w:t>
            </w:r>
            <w:r>
              <w:rPr>
                <w:rFonts w:hint="eastAsia" w:hAnsi="宋体"/>
                <w:color w:val="auto"/>
                <w:spacing w:val="-8"/>
                <w:sz w:val="24"/>
                <w:lang w:eastAsia="zh-CN"/>
              </w:rPr>
              <w:t>大气污染物</w:t>
            </w:r>
            <w:r>
              <w:rPr>
                <w:rFonts w:hAnsi="宋体"/>
                <w:color w:val="auto"/>
                <w:spacing w:val="-8"/>
                <w:sz w:val="24"/>
              </w:rPr>
              <w:t>能够达</w:t>
            </w:r>
            <w:r>
              <w:rPr>
                <w:rFonts w:hint="default" w:ascii="Times New Roman" w:hAnsi="Times New Roman" w:eastAsia="宋体" w:cs="Times New Roman"/>
                <w:color w:val="auto"/>
                <w:spacing w:val="-8"/>
                <w:sz w:val="24"/>
              </w:rPr>
              <w:t>《恶臭污染物排放标准》(GB14554-93)</w:t>
            </w:r>
            <w:r>
              <w:rPr>
                <w:rFonts w:hint="eastAsia" w:cs="Times New Roman"/>
                <w:color w:val="auto"/>
                <w:spacing w:val="-8"/>
                <w:sz w:val="24"/>
                <w:lang w:eastAsia="zh-CN"/>
              </w:rPr>
              <w:t>中</w:t>
            </w:r>
            <w:r>
              <w:rPr>
                <w:rFonts w:hint="default" w:ascii="Times New Roman" w:hAnsi="Times New Roman" w:eastAsia="宋体" w:cs="Times New Roman"/>
                <w:color w:val="auto"/>
                <w:spacing w:val="-8"/>
                <w:sz w:val="24"/>
              </w:rPr>
              <w:t>二级标准</w:t>
            </w:r>
            <w:r>
              <w:rPr>
                <w:rFonts w:hint="eastAsia" w:ascii="Times New Roman" w:hAnsi="Times New Roman" w:cs="Times New Roman"/>
                <w:color w:val="auto"/>
                <w:spacing w:val="-8"/>
                <w:sz w:val="24"/>
                <w:lang w:eastAsia="zh-CN"/>
              </w:rPr>
              <w:t>排</w:t>
            </w:r>
            <w:r>
              <w:rPr>
                <w:rFonts w:hAnsi="宋体"/>
                <w:color w:val="auto"/>
                <w:spacing w:val="-8"/>
                <w:sz w:val="24"/>
              </w:rPr>
              <w:t>放，不会对项目所在地大气环境质量造成明显影响</w:t>
            </w:r>
            <w:r>
              <w:rPr>
                <w:rFonts w:eastAsia="仿宋_GB2312"/>
                <w:color w:val="auto"/>
                <w:spacing w:val="-8"/>
                <w:sz w:val="24"/>
              </w:rPr>
              <w:t>。</w:t>
            </w:r>
          </w:p>
          <w:p w14:paraId="11CED50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Ansi="宋体"/>
                <w:b/>
                <w:bCs/>
                <w:color w:val="auto"/>
                <w:sz w:val="24"/>
              </w:rPr>
            </w:pPr>
            <w:r>
              <w:rPr>
                <w:rFonts w:hAnsi="宋体"/>
                <w:b/>
                <w:bCs/>
                <w:color w:val="auto"/>
                <w:sz w:val="24"/>
              </w:rPr>
              <w:t>2、水污染物</w:t>
            </w:r>
          </w:p>
          <w:p w14:paraId="236832D1">
            <w:pPr>
              <w:spacing w:line="360" w:lineRule="auto"/>
              <w:ind w:firstLine="480"/>
              <w:rPr>
                <w:rFonts w:hint="eastAsia" w:ascii="Times New Roman" w:hAnsi="Times New Roman" w:cs="Times New Roman" w:eastAsiaTheme="minorEastAsia"/>
                <w:color w:val="auto"/>
                <w:sz w:val="24"/>
                <w:lang w:eastAsia="zh-CN"/>
              </w:rPr>
            </w:pPr>
            <w:r>
              <w:rPr>
                <w:rFonts w:ascii="Times New Roman" w:hAnsi="Times New Roman" w:cs="Times New Roman"/>
                <w:color w:val="auto"/>
                <w:sz w:val="24"/>
                <w:szCs w:val="24"/>
              </w:rPr>
              <w:t>商业区</w:t>
            </w:r>
            <w:r>
              <w:rPr>
                <w:rFonts w:hint="eastAsia" w:cs="Times New Roman"/>
                <w:color w:val="auto"/>
                <w:sz w:val="24"/>
                <w:szCs w:val="24"/>
                <w:lang w:eastAsia="zh-CN"/>
              </w:rPr>
              <w:t>、</w:t>
            </w:r>
            <w:r>
              <w:rPr>
                <w:rFonts w:ascii="Times New Roman" w:hAnsi="Times New Roman" w:cs="Times New Roman"/>
                <w:color w:val="auto"/>
                <w:sz w:val="24"/>
                <w:szCs w:val="24"/>
              </w:rPr>
              <w:t>住宅区、</w:t>
            </w:r>
            <w:r>
              <w:rPr>
                <w:rFonts w:hint="eastAsia" w:cs="Times New Roman"/>
                <w:color w:val="auto"/>
                <w:sz w:val="24"/>
                <w:szCs w:val="24"/>
                <w:lang w:eastAsia="zh-CN"/>
              </w:rPr>
              <w:t>配套公建设施用房</w:t>
            </w:r>
            <w:r>
              <w:rPr>
                <w:rFonts w:hint="eastAsia" w:ascii="Times New Roman" w:hAnsi="Times New Roman" w:cs="Times New Roman"/>
                <w:color w:val="auto"/>
                <w:sz w:val="24"/>
                <w:szCs w:val="24"/>
                <w:lang w:eastAsia="zh-CN"/>
              </w:rPr>
              <w:t>生活污水的总产生量为</w:t>
            </w:r>
            <w:r>
              <w:rPr>
                <w:rFonts w:hint="eastAsia" w:cs="Times New Roman"/>
                <w:color w:val="auto"/>
                <w:sz w:val="24"/>
                <w:szCs w:val="24"/>
                <w:lang w:val="en-US" w:eastAsia="zh-CN"/>
              </w:rPr>
              <w:t>98359.616</w:t>
            </w:r>
            <w:r>
              <w:rPr>
                <w:color w:val="auto"/>
                <w:sz w:val="24"/>
              </w:rPr>
              <w:t>m</w:t>
            </w:r>
            <w:r>
              <w:rPr>
                <w:color w:val="auto"/>
                <w:sz w:val="24"/>
                <w:vertAlign w:val="superscript"/>
              </w:rPr>
              <w:t>3</w:t>
            </w:r>
            <w:r>
              <w:rPr>
                <w:color w:val="auto"/>
                <w:sz w:val="24"/>
              </w:rPr>
              <w:t>/a</w:t>
            </w:r>
            <w:r>
              <w:rPr>
                <w:rFonts w:hint="eastAsia"/>
                <w:color w:val="auto"/>
                <w:sz w:val="24"/>
                <w:lang w:eastAsia="zh-CN"/>
              </w:rPr>
              <w:t>。</w:t>
            </w:r>
            <w:r>
              <w:rPr>
                <w:rFonts w:hint="eastAsia" w:ascii="Times New Roman" w:hAnsi="Times New Roman" w:eastAsia="宋体" w:cs="Times New Roman"/>
                <w:color w:val="auto"/>
                <w:sz w:val="24"/>
                <w:lang w:val="en-US" w:eastAsia="zh-CN"/>
              </w:rPr>
              <w:t>具体情况可</w:t>
            </w:r>
            <w:r>
              <w:rPr>
                <w:rFonts w:hint="eastAsia" w:ascii="Times New Roman" w:hAnsi="Times New Roman" w:eastAsia="宋体" w:cs="Times New Roman"/>
                <w:color w:val="auto"/>
                <w:sz w:val="24"/>
                <w:lang w:eastAsia="zh-CN"/>
              </w:rPr>
              <w:t>见表</w:t>
            </w:r>
            <w:r>
              <w:rPr>
                <w:rFonts w:hint="eastAsia" w:ascii="Times New Roman" w:hAnsi="Times New Roman" w:eastAsia="宋体" w:cs="Times New Roman"/>
                <w:color w:val="auto"/>
                <w:sz w:val="24"/>
                <w:lang w:val="en-US" w:eastAsia="zh-CN"/>
              </w:rPr>
              <w:t>1-3</w:t>
            </w:r>
            <w:r>
              <w:rPr>
                <w:rFonts w:hint="default" w:ascii="Times New Roman" w:hAnsi="Times New Roman" w:eastAsia="宋体" w:cs="Times New Roman"/>
                <w:color w:val="auto"/>
                <w:sz w:val="24"/>
              </w:rPr>
              <w:t>项目</w:t>
            </w:r>
            <w:r>
              <w:rPr>
                <w:rFonts w:hint="eastAsia" w:ascii="Times New Roman" w:hAnsi="Times New Roman" w:eastAsia="宋体" w:cs="Times New Roman"/>
                <w:color w:val="auto"/>
                <w:sz w:val="24"/>
                <w:lang w:eastAsia="zh-CN"/>
              </w:rPr>
              <w:t>水平衡表和</w:t>
            </w:r>
            <w:r>
              <w:rPr>
                <w:rFonts w:hint="default" w:ascii="Times New Roman" w:hAnsi="Times New Roman" w:eastAsia="宋体" w:cs="Times New Roman"/>
                <w:color w:val="auto"/>
                <w:sz w:val="24"/>
              </w:rPr>
              <w:t>图1-1</w:t>
            </w:r>
            <w:r>
              <w:rPr>
                <w:rFonts w:hint="eastAsia" w:ascii="Times New Roman" w:hAnsi="Times New Roman" w:eastAsia="宋体" w:cs="Times New Roman"/>
                <w:color w:val="auto"/>
                <w:sz w:val="24"/>
                <w:lang w:eastAsia="zh-CN"/>
              </w:rPr>
              <w:t>项目</w:t>
            </w:r>
            <w:r>
              <w:rPr>
                <w:rFonts w:hint="default" w:ascii="Times New Roman" w:hAnsi="Times New Roman" w:eastAsia="宋体" w:cs="Times New Roman"/>
                <w:color w:val="auto"/>
                <w:sz w:val="24"/>
              </w:rPr>
              <w:t>水平衡图。</w:t>
            </w:r>
            <w:r>
              <w:rPr>
                <w:rFonts w:hint="default" w:ascii="Times New Roman" w:hAnsi="Times New Roman" w:eastAsia="宋体" w:cs="Times New Roman"/>
                <w:color w:val="auto"/>
                <w:sz w:val="24"/>
                <w:szCs w:val="24"/>
              </w:rPr>
              <w:t>根据《城市污水处理厂处理设施设计计算》（化学工业出版社2004年第一版）中典型生活污水水质指标计算，</w:t>
            </w:r>
            <w:r>
              <w:rPr>
                <w:rFonts w:hint="default" w:ascii="Times New Roman" w:hAnsi="Times New Roman" w:eastAsia="宋体" w:cs="Times New Roman"/>
                <w:color w:val="auto"/>
                <w:sz w:val="24"/>
              </w:rPr>
              <w:t>生活污水的污染物的浓度和产生量分别为：</w:t>
            </w:r>
            <w:r>
              <w:rPr>
                <w:rFonts w:hint="default" w:ascii="Times New Roman" w:hAnsi="Times New Roman" w:eastAsia="宋体" w:cs="Times New Roman"/>
                <w:color w:val="auto"/>
                <w:sz w:val="24"/>
                <w:szCs w:val="24"/>
              </w:rPr>
              <w:t>COD</w:t>
            </w:r>
            <w:r>
              <w:rPr>
                <w:rFonts w:hint="default" w:ascii="Times New Roman" w:hAnsi="Times New Roman" w:eastAsia="宋体" w:cs="Times New Roman"/>
                <w:color w:val="auto"/>
                <w:sz w:val="24"/>
                <w:szCs w:val="24"/>
                <w:vertAlign w:val="subscript"/>
              </w:rPr>
              <w:t>Cr</w:t>
            </w:r>
            <w:r>
              <w:rPr>
                <w:rFonts w:hint="default" w:ascii="Times New Roman" w:hAnsi="Times New Roman" w:eastAsia="宋体" w:cs="Times New Roman"/>
                <w:color w:val="auto"/>
                <w:sz w:val="24"/>
                <w:szCs w:val="24"/>
              </w:rPr>
              <w:t>约400mg/L</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BOD</w:t>
            </w:r>
            <w:r>
              <w:rPr>
                <w:rFonts w:hint="default" w:ascii="Times New Roman" w:hAnsi="Times New Roman" w:eastAsia="宋体" w:cs="Times New Roman"/>
                <w:color w:val="auto"/>
                <w:sz w:val="24"/>
                <w:szCs w:val="24"/>
                <w:vertAlign w:val="subscript"/>
              </w:rPr>
              <w:t>5</w:t>
            </w:r>
            <w:r>
              <w:rPr>
                <w:rFonts w:hint="default" w:ascii="Times New Roman" w:hAnsi="Times New Roman" w:eastAsia="宋体" w:cs="Times New Roman"/>
                <w:color w:val="auto"/>
                <w:sz w:val="24"/>
                <w:szCs w:val="24"/>
              </w:rPr>
              <w:t>约200mg/L</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SS约220mg/L，氨氮约40mg/L</w:t>
            </w:r>
            <w:r>
              <w:rPr>
                <w:rFonts w:hint="eastAsia" w:cs="Times New Roman"/>
                <w:color w:val="auto"/>
                <w:sz w:val="24"/>
                <w:szCs w:val="24"/>
                <w:lang w:eastAsia="zh-CN"/>
              </w:rPr>
              <w:t>、动植物油</w:t>
            </w:r>
            <w:r>
              <w:rPr>
                <w:rFonts w:hint="eastAsia" w:cs="Times New Roman"/>
                <w:color w:val="auto"/>
                <w:sz w:val="24"/>
                <w:szCs w:val="24"/>
                <w:lang w:val="en-US" w:eastAsia="zh-CN"/>
              </w:rPr>
              <w:t>30</w:t>
            </w:r>
            <w:r>
              <w:rPr>
                <w:rFonts w:hint="default" w:ascii="Times New Roman" w:hAnsi="Times New Roman" w:eastAsia="宋体" w:cs="Times New Roman"/>
                <w:color w:val="auto"/>
                <w:sz w:val="24"/>
                <w:szCs w:val="24"/>
              </w:rPr>
              <w:t>mg/L。</w:t>
            </w:r>
            <w:r>
              <w:rPr>
                <w:rFonts w:hint="eastAsia" w:cs="Times New Roman"/>
                <w:color w:val="auto"/>
                <w:sz w:val="24"/>
                <w:szCs w:val="24"/>
                <w:lang w:eastAsia="zh-CN"/>
              </w:rPr>
              <w:t>生活污水经过三级化粪池处理后排入市政污水管网，</w:t>
            </w:r>
            <w:r>
              <w:rPr>
                <w:rFonts w:hint="default" w:ascii="Times New Roman" w:hAnsi="Times New Roman" w:cs="Times New Roman" w:eastAsiaTheme="minorEastAsia"/>
                <w:color w:val="auto"/>
                <w:sz w:val="24"/>
                <w:szCs w:val="24"/>
              </w:rPr>
              <w:t>三级化粪池处理</w:t>
            </w:r>
            <w:r>
              <w:rPr>
                <w:rFonts w:hint="default" w:ascii="Times New Roman" w:hAnsi="Times New Roman" w:cs="Times New Roman" w:eastAsiaTheme="minorEastAsia"/>
                <w:color w:val="auto"/>
                <w:sz w:val="24"/>
              </w:rPr>
              <w:t>效率按COD：40%、BOD</w:t>
            </w:r>
            <w:r>
              <w:rPr>
                <w:rFonts w:hint="default" w:ascii="Times New Roman" w:hAnsi="Times New Roman" w:cs="Times New Roman" w:eastAsiaTheme="minorEastAsia"/>
                <w:color w:val="auto"/>
                <w:sz w:val="24"/>
                <w:vertAlign w:val="subscript"/>
              </w:rPr>
              <w:t>5</w:t>
            </w:r>
            <w:r>
              <w:rPr>
                <w:rFonts w:hint="default" w:ascii="Times New Roman" w:hAnsi="Times New Roman" w:cs="Times New Roman" w:eastAsiaTheme="minorEastAsia"/>
                <w:color w:val="auto"/>
                <w:sz w:val="24"/>
              </w:rPr>
              <w:t>：50%、SS：60%计，经处理后</w:t>
            </w:r>
            <w:r>
              <w:rPr>
                <w:rFonts w:hint="eastAsia" w:cs="Times New Roman" w:eastAsiaTheme="minorEastAsia"/>
                <w:color w:val="auto"/>
                <w:sz w:val="24"/>
                <w:lang w:eastAsia="zh-CN"/>
              </w:rPr>
              <w:t>生活污水中污染物</w:t>
            </w:r>
            <w:r>
              <w:rPr>
                <w:rFonts w:hint="default" w:ascii="Times New Roman" w:hAnsi="Times New Roman" w:cs="Times New Roman" w:eastAsiaTheme="minorEastAsia"/>
                <w:color w:val="auto"/>
                <w:sz w:val="24"/>
              </w:rPr>
              <w:t>浓度COD：</w:t>
            </w:r>
            <w:r>
              <w:rPr>
                <w:rFonts w:hint="eastAsia" w:ascii="Times New Roman" w:hAnsi="Times New Roman" w:cs="Times New Roman" w:eastAsiaTheme="minorEastAsia"/>
                <w:color w:val="auto"/>
                <w:sz w:val="24"/>
                <w:lang w:val="en-US" w:eastAsia="zh-CN"/>
              </w:rPr>
              <w:t>240</w:t>
            </w:r>
            <w:r>
              <w:rPr>
                <w:rFonts w:hint="default" w:ascii="Times New Roman" w:hAnsi="Times New Roman" w:cs="Times New Roman" w:eastAsiaTheme="minorEastAsia"/>
                <w:color w:val="auto"/>
                <w:sz w:val="24"/>
              </w:rPr>
              <w:t>mg/L、BOD</w:t>
            </w:r>
            <w:r>
              <w:rPr>
                <w:rFonts w:hint="default" w:ascii="Times New Roman" w:hAnsi="Times New Roman" w:cs="Times New Roman" w:eastAsiaTheme="minorEastAsia"/>
                <w:color w:val="auto"/>
                <w:sz w:val="24"/>
                <w:vertAlign w:val="subscript"/>
              </w:rPr>
              <w:t>5</w:t>
            </w:r>
            <w:r>
              <w:rPr>
                <w:rFonts w:hint="default" w:ascii="Times New Roman" w:hAnsi="Times New Roman" w:cs="Times New Roman" w:eastAsiaTheme="minorEastAsia"/>
                <w:color w:val="auto"/>
                <w:sz w:val="24"/>
              </w:rPr>
              <w:t>：</w:t>
            </w:r>
            <w:r>
              <w:rPr>
                <w:rFonts w:hint="eastAsia" w:ascii="Times New Roman" w:hAnsi="Times New Roman" w:cs="Times New Roman" w:eastAsiaTheme="minorEastAsia"/>
                <w:color w:val="auto"/>
                <w:sz w:val="24"/>
                <w:lang w:val="en-US" w:eastAsia="zh-CN"/>
              </w:rPr>
              <w:t>100</w:t>
            </w:r>
            <w:r>
              <w:rPr>
                <w:rFonts w:hint="default" w:ascii="Times New Roman" w:hAnsi="Times New Roman" w:cs="Times New Roman" w:eastAsiaTheme="minorEastAsia"/>
                <w:color w:val="auto"/>
                <w:sz w:val="24"/>
              </w:rPr>
              <w:t>mg/L、SS：</w:t>
            </w:r>
            <w:r>
              <w:rPr>
                <w:rFonts w:hint="eastAsia" w:ascii="Times New Roman" w:hAnsi="Times New Roman" w:cs="Times New Roman" w:eastAsiaTheme="minorEastAsia"/>
                <w:color w:val="auto"/>
                <w:sz w:val="24"/>
                <w:lang w:val="en-US" w:eastAsia="zh-CN"/>
              </w:rPr>
              <w:t>88</w:t>
            </w:r>
            <w:r>
              <w:rPr>
                <w:rFonts w:hint="default" w:ascii="Times New Roman" w:hAnsi="Times New Roman" w:cs="Times New Roman" w:eastAsiaTheme="minorEastAsia"/>
                <w:color w:val="auto"/>
                <w:sz w:val="24"/>
              </w:rPr>
              <w:t>mg/L、氨氮：</w:t>
            </w:r>
            <w:r>
              <w:rPr>
                <w:rFonts w:hint="eastAsia" w:ascii="Times New Roman" w:hAnsi="Times New Roman" w:cs="Times New Roman" w:eastAsiaTheme="minorEastAsia"/>
                <w:color w:val="auto"/>
                <w:sz w:val="24"/>
                <w:lang w:val="en-US" w:eastAsia="zh-CN"/>
              </w:rPr>
              <w:t>40</w:t>
            </w:r>
            <w:r>
              <w:rPr>
                <w:rFonts w:hint="default" w:ascii="Times New Roman" w:hAnsi="Times New Roman" w:cs="Times New Roman" w:eastAsiaTheme="minorEastAsia"/>
                <w:color w:val="auto"/>
                <w:sz w:val="24"/>
              </w:rPr>
              <w:t>mg/L</w:t>
            </w:r>
            <w:r>
              <w:rPr>
                <w:rFonts w:hint="eastAsia" w:cs="Times New Roman" w:eastAsiaTheme="minorEastAsia"/>
                <w:color w:val="auto"/>
                <w:sz w:val="24"/>
                <w:lang w:eastAsia="zh-CN"/>
              </w:rPr>
              <w:t>、动植物油</w:t>
            </w:r>
            <w:r>
              <w:rPr>
                <w:rFonts w:hint="eastAsia" w:cs="Times New Roman"/>
                <w:color w:val="auto"/>
                <w:sz w:val="24"/>
                <w:szCs w:val="24"/>
                <w:lang w:val="en-US" w:eastAsia="zh-CN"/>
              </w:rPr>
              <w:t>30</w:t>
            </w:r>
            <w:r>
              <w:rPr>
                <w:rFonts w:hint="default" w:ascii="Times New Roman" w:hAnsi="Times New Roman" w:eastAsia="宋体" w:cs="Times New Roman"/>
                <w:color w:val="auto"/>
                <w:sz w:val="24"/>
                <w:szCs w:val="24"/>
              </w:rPr>
              <w:t>mg/L</w:t>
            </w:r>
            <w:r>
              <w:rPr>
                <w:rFonts w:hint="eastAsia" w:ascii="Times New Roman" w:hAnsi="Times New Roman" w:cs="Times New Roman" w:eastAsiaTheme="minorEastAsia"/>
                <w:color w:val="auto"/>
                <w:sz w:val="24"/>
                <w:lang w:eastAsia="zh-CN"/>
              </w:rPr>
              <w:t>。</w:t>
            </w:r>
          </w:p>
          <w:p w14:paraId="7D3F0BA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0" w:firstLineChars="200"/>
              <w:jc w:val="both"/>
              <w:textAlignment w:val="auto"/>
              <w:outlineLvl w:val="9"/>
              <w:rPr>
                <w:rFonts w:hint="eastAsia" w:ascii="Times New Roman" w:hAnsi="Times New Roman" w:cs="Times New Roman" w:eastAsiaTheme="minorEastAsia"/>
                <w:color w:val="auto"/>
                <w:spacing w:val="-5"/>
                <w:sz w:val="24"/>
                <w:lang w:eastAsia="zh-CN"/>
              </w:rPr>
            </w:pPr>
            <w:r>
              <w:rPr>
                <w:color w:val="auto"/>
                <w:spacing w:val="-5"/>
                <w:sz w:val="24"/>
              </w:rPr>
              <w:t>项目</w:t>
            </w:r>
            <w:r>
              <w:rPr>
                <w:rFonts w:hint="eastAsia"/>
                <w:color w:val="auto"/>
                <w:spacing w:val="-5"/>
                <w:sz w:val="24"/>
              </w:rPr>
              <w:t>地下室</w:t>
            </w:r>
            <w:r>
              <w:rPr>
                <w:color w:val="auto"/>
                <w:spacing w:val="-5"/>
                <w:sz w:val="24"/>
              </w:rPr>
              <w:t>地面冲洗废水的产生量</w:t>
            </w:r>
            <w:r>
              <w:rPr>
                <w:rFonts w:hint="eastAsia"/>
                <w:color w:val="auto"/>
                <w:spacing w:val="-5"/>
                <w:sz w:val="24"/>
                <w:lang w:eastAsia="zh-CN"/>
              </w:rPr>
              <w:t>为</w:t>
            </w:r>
            <w:r>
              <w:rPr>
                <w:rFonts w:hint="eastAsia"/>
                <w:color w:val="auto"/>
                <w:spacing w:val="-5"/>
                <w:sz w:val="24"/>
                <w:lang w:val="en-US" w:eastAsia="zh-CN"/>
              </w:rPr>
              <w:t>109.2</w:t>
            </w:r>
            <w:r>
              <w:rPr>
                <w:color w:val="auto"/>
                <w:spacing w:val="-5"/>
                <w:sz w:val="24"/>
              </w:rPr>
              <w:t>m</w:t>
            </w:r>
            <w:r>
              <w:rPr>
                <w:color w:val="auto"/>
                <w:spacing w:val="-5"/>
                <w:sz w:val="24"/>
                <w:vertAlign w:val="superscript"/>
              </w:rPr>
              <w:t>3</w:t>
            </w:r>
            <w:r>
              <w:rPr>
                <w:color w:val="auto"/>
                <w:spacing w:val="-5"/>
                <w:sz w:val="24"/>
              </w:rPr>
              <w:t>/a</w:t>
            </w:r>
            <w:r>
              <w:rPr>
                <w:rFonts w:hint="eastAsia"/>
                <w:color w:val="auto"/>
                <w:spacing w:val="-5"/>
                <w:sz w:val="24"/>
              </w:rPr>
              <w:t>。</w:t>
            </w:r>
            <w:r>
              <w:rPr>
                <w:rFonts w:hint="eastAsia"/>
                <w:color w:val="auto"/>
                <w:spacing w:val="-5"/>
                <w:sz w:val="24"/>
                <w:szCs w:val="24"/>
                <w:lang w:eastAsia="zh-CN"/>
              </w:rPr>
              <w:t>冲洗废水在经过隔油沉沙池后与其他废水一起</w:t>
            </w:r>
            <w:r>
              <w:rPr>
                <w:rFonts w:hint="eastAsia" w:cs="Times New Roman"/>
                <w:color w:val="auto"/>
                <w:spacing w:val="-5"/>
                <w:sz w:val="24"/>
                <w:szCs w:val="24"/>
                <w:lang w:eastAsia="zh-CN"/>
              </w:rPr>
              <w:t>经过三级化粪池处理后排入市政污水管网。</w:t>
            </w:r>
            <w:r>
              <w:rPr>
                <w:color w:val="auto"/>
                <w:spacing w:val="-5"/>
                <w:sz w:val="24"/>
              </w:rPr>
              <w:t>类比同类型项目，</w:t>
            </w:r>
            <w:r>
              <w:rPr>
                <w:rFonts w:hint="eastAsia"/>
                <w:color w:val="auto"/>
                <w:spacing w:val="-5"/>
                <w:sz w:val="24"/>
                <w:lang w:eastAsia="zh-CN"/>
              </w:rPr>
              <w:t>冲洗</w:t>
            </w:r>
            <w:r>
              <w:rPr>
                <w:color w:val="auto"/>
                <w:spacing w:val="-5"/>
                <w:sz w:val="24"/>
              </w:rPr>
              <w:t>废水</w:t>
            </w:r>
            <w:r>
              <w:rPr>
                <w:rFonts w:hint="eastAsia"/>
                <w:color w:val="auto"/>
                <w:spacing w:val="-5"/>
                <w:sz w:val="24"/>
                <w:lang w:eastAsia="zh-CN"/>
              </w:rPr>
              <w:t>经过隔油沉砂池后</w:t>
            </w:r>
            <w:r>
              <w:rPr>
                <w:color w:val="auto"/>
                <w:spacing w:val="-5"/>
                <w:sz w:val="24"/>
              </w:rPr>
              <w:t>污染物的浓度分别为：</w:t>
            </w:r>
            <w:r>
              <w:rPr>
                <w:color w:val="auto"/>
                <w:spacing w:val="-5"/>
                <w:sz w:val="24"/>
                <w:szCs w:val="24"/>
              </w:rPr>
              <w:t>COD</w:t>
            </w:r>
            <w:r>
              <w:rPr>
                <w:color w:val="auto"/>
                <w:spacing w:val="-5"/>
                <w:sz w:val="24"/>
                <w:szCs w:val="24"/>
                <w:vertAlign w:val="subscript"/>
              </w:rPr>
              <w:t>Cr</w:t>
            </w:r>
            <w:r>
              <w:rPr>
                <w:color w:val="auto"/>
                <w:spacing w:val="-5"/>
                <w:sz w:val="24"/>
                <w:szCs w:val="24"/>
              </w:rPr>
              <w:t>约</w:t>
            </w:r>
            <w:r>
              <w:rPr>
                <w:rFonts w:hint="eastAsia"/>
                <w:color w:val="auto"/>
                <w:spacing w:val="-5"/>
                <w:sz w:val="24"/>
                <w:szCs w:val="24"/>
              </w:rPr>
              <w:t>35</w:t>
            </w:r>
            <w:r>
              <w:rPr>
                <w:color w:val="auto"/>
                <w:spacing w:val="-5"/>
                <w:sz w:val="24"/>
                <w:szCs w:val="24"/>
              </w:rPr>
              <w:t>0mg/L、</w:t>
            </w:r>
            <w:r>
              <w:rPr>
                <w:rFonts w:hint="eastAsia"/>
                <w:color w:val="auto"/>
                <w:spacing w:val="-5"/>
                <w:sz w:val="24"/>
                <w:szCs w:val="24"/>
              </w:rPr>
              <w:t>石油类</w:t>
            </w:r>
            <w:r>
              <w:rPr>
                <w:color w:val="auto"/>
                <w:spacing w:val="-5"/>
                <w:sz w:val="24"/>
                <w:szCs w:val="24"/>
              </w:rPr>
              <w:t>约50mg/L、SS约</w:t>
            </w:r>
            <w:r>
              <w:rPr>
                <w:rFonts w:hint="eastAsia"/>
                <w:color w:val="auto"/>
                <w:spacing w:val="-5"/>
                <w:sz w:val="24"/>
                <w:szCs w:val="24"/>
              </w:rPr>
              <w:t>35</w:t>
            </w:r>
            <w:r>
              <w:rPr>
                <w:color w:val="auto"/>
                <w:spacing w:val="-5"/>
                <w:sz w:val="24"/>
                <w:szCs w:val="24"/>
              </w:rPr>
              <w:t>0mg/L</w:t>
            </w:r>
            <w:r>
              <w:rPr>
                <w:rFonts w:hint="eastAsia"/>
                <w:color w:val="auto"/>
                <w:spacing w:val="-5"/>
                <w:sz w:val="24"/>
                <w:szCs w:val="24"/>
                <w:lang w:eastAsia="zh-CN"/>
              </w:rPr>
              <w:t>。</w:t>
            </w:r>
            <w:r>
              <w:rPr>
                <w:rFonts w:hint="default" w:ascii="Times New Roman" w:hAnsi="Times New Roman" w:cs="Times New Roman" w:eastAsiaTheme="minorEastAsia"/>
                <w:color w:val="auto"/>
                <w:spacing w:val="-5"/>
                <w:sz w:val="24"/>
                <w:szCs w:val="24"/>
              </w:rPr>
              <w:t>三级化粪池处理</w:t>
            </w:r>
            <w:r>
              <w:rPr>
                <w:rFonts w:hint="default" w:ascii="Times New Roman" w:hAnsi="Times New Roman" w:cs="Times New Roman" w:eastAsiaTheme="minorEastAsia"/>
                <w:color w:val="auto"/>
                <w:spacing w:val="-5"/>
                <w:sz w:val="24"/>
              </w:rPr>
              <w:t>效率按COD：40%、SS：60%计，经处理后出水浓度COD：</w:t>
            </w:r>
            <w:r>
              <w:rPr>
                <w:rFonts w:hint="eastAsia" w:ascii="Times New Roman" w:hAnsi="Times New Roman" w:cs="Times New Roman" w:eastAsiaTheme="minorEastAsia"/>
                <w:color w:val="auto"/>
                <w:spacing w:val="-5"/>
                <w:sz w:val="24"/>
                <w:lang w:val="en-US" w:eastAsia="zh-CN"/>
              </w:rPr>
              <w:t>210</w:t>
            </w:r>
            <w:r>
              <w:rPr>
                <w:rFonts w:hint="default" w:ascii="Times New Roman" w:hAnsi="Times New Roman" w:cs="Times New Roman" w:eastAsiaTheme="minorEastAsia"/>
                <w:color w:val="auto"/>
                <w:spacing w:val="-5"/>
                <w:sz w:val="24"/>
              </w:rPr>
              <w:t>mg/L、</w:t>
            </w:r>
            <w:r>
              <w:rPr>
                <w:rFonts w:hint="eastAsia" w:ascii="Times New Roman" w:hAnsi="Times New Roman" w:cs="Times New Roman" w:eastAsiaTheme="minorEastAsia"/>
                <w:color w:val="auto"/>
                <w:spacing w:val="-5"/>
                <w:sz w:val="24"/>
                <w:lang w:eastAsia="zh-CN"/>
              </w:rPr>
              <w:t>石油类</w:t>
            </w:r>
            <w:r>
              <w:rPr>
                <w:color w:val="auto"/>
                <w:spacing w:val="-5"/>
                <w:sz w:val="24"/>
                <w:szCs w:val="24"/>
              </w:rPr>
              <w:t>约50mg/L</w:t>
            </w:r>
            <w:r>
              <w:rPr>
                <w:rFonts w:hint="eastAsia" w:ascii="Times New Roman" w:hAnsi="Times New Roman" w:cs="Times New Roman" w:eastAsiaTheme="minorEastAsia"/>
                <w:color w:val="auto"/>
                <w:spacing w:val="-5"/>
                <w:sz w:val="24"/>
                <w:lang w:eastAsia="zh-CN"/>
              </w:rPr>
              <w:t>、</w:t>
            </w:r>
            <w:r>
              <w:rPr>
                <w:rFonts w:hint="default" w:ascii="Times New Roman" w:hAnsi="Times New Roman" w:cs="Times New Roman" w:eastAsiaTheme="minorEastAsia"/>
                <w:color w:val="auto"/>
                <w:spacing w:val="-5"/>
                <w:sz w:val="24"/>
              </w:rPr>
              <w:t>SS：</w:t>
            </w:r>
            <w:r>
              <w:rPr>
                <w:rFonts w:hint="eastAsia" w:ascii="Times New Roman" w:hAnsi="Times New Roman" w:cs="Times New Roman" w:eastAsiaTheme="minorEastAsia"/>
                <w:color w:val="auto"/>
                <w:spacing w:val="-5"/>
                <w:sz w:val="24"/>
                <w:lang w:val="en-US" w:eastAsia="zh-CN"/>
              </w:rPr>
              <w:t>140</w:t>
            </w:r>
            <w:r>
              <w:rPr>
                <w:rFonts w:hint="default" w:ascii="Times New Roman" w:hAnsi="Times New Roman" w:cs="Times New Roman" w:eastAsiaTheme="minorEastAsia"/>
                <w:color w:val="auto"/>
                <w:spacing w:val="-5"/>
                <w:sz w:val="24"/>
              </w:rPr>
              <w:t>mg/L</w:t>
            </w:r>
            <w:r>
              <w:rPr>
                <w:rFonts w:hint="eastAsia" w:ascii="Times New Roman" w:hAnsi="Times New Roman" w:cs="Times New Roman" w:eastAsiaTheme="minorEastAsia"/>
                <w:color w:val="auto"/>
                <w:spacing w:val="-5"/>
                <w:sz w:val="24"/>
                <w:lang w:eastAsia="zh-CN"/>
              </w:rPr>
              <w:t>。</w:t>
            </w:r>
          </w:p>
          <w:p w14:paraId="0D93303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color w:val="auto"/>
                <w:sz w:val="24"/>
              </w:rPr>
            </w:pPr>
            <w:r>
              <w:rPr>
                <w:rFonts w:hint="eastAsia" w:hAnsi="宋体"/>
                <w:color w:val="auto"/>
                <w:sz w:val="24"/>
                <w:lang w:eastAsia="zh-CN"/>
              </w:rPr>
              <w:t>项目</w:t>
            </w:r>
            <w:r>
              <w:rPr>
                <w:rFonts w:ascii="Times New Roman" w:hAnsi="Times New Roman" w:cs="Times New Roman"/>
                <w:color w:val="auto"/>
                <w:sz w:val="24"/>
                <w:szCs w:val="24"/>
              </w:rPr>
              <w:t>商业区</w:t>
            </w:r>
            <w:r>
              <w:rPr>
                <w:rFonts w:hint="eastAsia" w:cs="Times New Roman"/>
                <w:color w:val="auto"/>
                <w:sz w:val="24"/>
                <w:szCs w:val="24"/>
                <w:lang w:eastAsia="zh-CN"/>
              </w:rPr>
              <w:t>、</w:t>
            </w:r>
            <w:r>
              <w:rPr>
                <w:rFonts w:ascii="Times New Roman" w:hAnsi="Times New Roman" w:cs="Times New Roman"/>
                <w:color w:val="auto"/>
                <w:sz w:val="24"/>
                <w:szCs w:val="24"/>
              </w:rPr>
              <w:t>住宅区、</w:t>
            </w:r>
            <w:r>
              <w:rPr>
                <w:rFonts w:hint="eastAsia" w:cs="Times New Roman"/>
                <w:color w:val="auto"/>
                <w:spacing w:val="-3"/>
                <w:sz w:val="24"/>
                <w:szCs w:val="24"/>
                <w:lang w:eastAsia="zh-CN"/>
              </w:rPr>
              <w:t>配套公建设施用房</w:t>
            </w:r>
            <w:r>
              <w:rPr>
                <w:rFonts w:hint="eastAsia" w:ascii="Times New Roman" w:hAnsi="Times New Roman" w:cs="Times New Roman"/>
                <w:color w:val="auto"/>
                <w:sz w:val="24"/>
                <w:szCs w:val="24"/>
                <w:lang w:eastAsia="zh-CN"/>
              </w:rPr>
              <w:t>生活污水</w:t>
            </w:r>
            <w:r>
              <w:rPr>
                <w:rFonts w:hint="eastAsia" w:cs="Times New Roman"/>
                <w:color w:val="auto"/>
                <w:sz w:val="24"/>
                <w:szCs w:val="24"/>
                <w:lang w:eastAsia="zh-CN"/>
              </w:rPr>
              <w:t>和冲洗车库废水（经隔油沉砂池处理后）一起</w:t>
            </w:r>
            <w:r>
              <w:rPr>
                <w:rFonts w:hint="eastAsia" w:hAnsi="宋体"/>
                <w:color w:val="auto"/>
                <w:sz w:val="24"/>
              </w:rPr>
              <w:t>经化粪池处理后</w:t>
            </w:r>
            <w:r>
              <w:rPr>
                <w:rFonts w:hint="eastAsia" w:hAnsi="宋体"/>
                <w:color w:val="auto"/>
                <w:sz w:val="24"/>
                <w:lang w:eastAsia="zh-CN"/>
              </w:rPr>
              <w:t>达到</w:t>
            </w:r>
            <w:r>
              <w:rPr>
                <w:rFonts w:hint="default" w:ascii="Times New Roman" w:hAnsi="Times New Roman" w:eastAsia="宋体" w:cs="Times New Roman"/>
                <w:b w:val="0"/>
                <w:bCs w:val="0"/>
                <w:color w:val="auto"/>
                <w:sz w:val="24"/>
                <w:szCs w:val="24"/>
              </w:rPr>
              <w:t>《污水综合排放标准》（GB8978-1996）三级标准，氨氮</w:t>
            </w:r>
            <w:r>
              <w:rPr>
                <w:rFonts w:hint="eastAsia" w:ascii="Times New Roman" w:hAnsi="Times New Roman" w:eastAsia="宋体" w:cs="Times New Roman"/>
                <w:b w:val="0"/>
                <w:bCs w:val="0"/>
                <w:color w:val="auto"/>
                <w:sz w:val="24"/>
                <w:szCs w:val="24"/>
                <w:lang w:eastAsia="zh-CN"/>
              </w:rPr>
              <w:t>满足</w:t>
            </w:r>
            <w:r>
              <w:rPr>
                <w:rFonts w:hint="default" w:ascii="Times New Roman" w:hAnsi="Times New Roman" w:eastAsia="宋体" w:cs="Times New Roman"/>
                <w:b w:val="0"/>
                <w:bCs w:val="0"/>
                <w:color w:val="auto"/>
                <w:sz w:val="24"/>
                <w:szCs w:val="24"/>
              </w:rPr>
              <w:t>《污水排入城镇下水道水质标准》（GB/T31962-2015）</w:t>
            </w:r>
            <w:r>
              <w:rPr>
                <w:rFonts w:hint="eastAsia" w:cs="Times New Roman"/>
                <w:b w:val="0"/>
                <w:bCs w:val="0"/>
                <w:color w:val="auto"/>
                <w:sz w:val="24"/>
                <w:szCs w:val="24"/>
                <w:lang w:eastAsia="zh-CN"/>
              </w:rPr>
              <w:t>后通过项目总排口</w:t>
            </w:r>
            <w:r>
              <w:rPr>
                <w:rFonts w:hint="eastAsia" w:hAnsi="宋体"/>
                <w:color w:val="auto"/>
                <w:sz w:val="24"/>
              </w:rPr>
              <w:t>排入污水市政管网，最后进入</w:t>
            </w:r>
            <w:r>
              <w:rPr>
                <w:rFonts w:hint="eastAsia" w:hAnsi="宋体"/>
                <w:color w:val="auto"/>
                <w:sz w:val="24"/>
                <w:lang w:eastAsia="zh-CN"/>
              </w:rPr>
              <w:t>葛店开发区</w:t>
            </w:r>
            <w:r>
              <w:rPr>
                <w:rFonts w:hint="eastAsia" w:hAnsi="宋体"/>
                <w:color w:val="auto"/>
                <w:sz w:val="24"/>
              </w:rPr>
              <w:t>污水处理厂处理</w:t>
            </w:r>
            <w:r>
              <w:rPr>
                <w:rFonts w:hint="default" w:ascii="Times New Roman" w:hAnsi="Times New Roman" w:cs="Times New Roman" w:eastAsiaTheme="minorEastAsia"/>
                <w:color w:val="auto"/>
                <w:spacing w:val="0"/>
                <w:sz w:val="24"/>
              </w:rPr>
              <w:t>达到《城镇污水处理厂污染物排放标准》GB18918-2002 的一级</w:t>
            </w:r>
            <w:r>
              <w:rPr>
                <w:rFonts w:hint="eastAsia" w:cs="Times New Roman" w:eastAsiaTheme="minorEastAsia"/>
                <w:color w:val="auto"/>
                <w:spacing w:val="0"/>
                <w:sz w:val="24"/>
                <w:lang w:val="en-US" w:eastAsia="zh-CN"/>
              </w:rPr>
              <w:t>A</w:t>
            </w:r>
            <w:r>
              <w:rPr>
                <w:rFonts w:hint="default" w:ascii="Times New Roman" w:hAnsi="Times New Roman" w:cs="Times New Roman" w:eastAsiaTheme="minorEastAsia"/>
                <w:color w:val="auto"/>
                <w:spacing w:val="0"/>
                <w:sz w:val="24"/>
              </w:rPr>
              <w:t>标准，</w:t>
            </w:r>
            <w:r>
              <w:rPr>
                <w:rFonts w:hint="eastAsia" w:ascii="Times New Roman" w:hAnsi="Times New Roman" w:cs="Times New Roman" w:eastAsiaTheme="minorEastAsia"/>
                <w:color w:val="auto"/>
                <w:spacing w:val="0"/>
                <w:sz w:val="24"/>
                <w:lang w:eastAsia="zh-CN"/>
              </w:rPr>
              <w:t>后</w:t>
            </w:r>
            <w:r>
              <w:rPr>
                <w:rFonts w:hint="eastAsia" w:hAnsi="宋体"/>
                <w:color w:val="auto"/>
                <w:sz w:val="24"/>
              </w:rPr>
              <w:t>排入</w:t>
            </w:r>
            <w:r>
              <w:rPr>
                <w:rFonts w:hint="eastAsia" w:hAnsi="宋体"/>
                <w:color w:val="auto"/>
                <w:sz w:val="24"/>
                <w:lang w:eastAsia="zh-CN"/>
              </w:rPr>
              <w:t>长江</w:t>
            </w:r>
            <w:r>
              <w:rPr>
                <w:rFonts w:hint="eastAsia" w:hAnsi="宋体"/>
                <w:color w:val="auto"/>
                <w:sz w:val="24"/>
              </w:rPr>
              <w:t>。</w:t>
            </w:r>
          </w:p>
          <w:p w14:paraId="0A049C0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Ansi="宋体"/>
                <w:b/>
                <w:bCs/>
                <w:color w:val="auto"/>
                <w:sz w:val="24"/>
              </w:rPr>
            </w:pPr>
            <w:r>
              <w:rPr>
                <w:rFonts w:hAnsi="宋体"/>
                <w:b/>
                <w:bCs/>
                <w:color w:val="auto"/>
                <w:sz w:val="24"/>
              </w:rPr>
              <w:t>3、噪声</w:t>
            </w:r>
          </w:p>
          <w:p w14:paraId="4A581F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为减小低频噪声的影响，项目地下车库风机、水泵房等配套设施单独设置于地下层，且设计远离建筑的承重梁，配电房设置于地面绿化带独立用房内。对水泵房、配电房以及车库风机噪声控制主要采用消声器和隔声及隔振技术，泵类噪声则通过采取弹性支撑，即在管道穿过墙壁处用弹性垫或橡胶套管隔离等措施进行控制。采取上述措施后</w:t>
            </w:r>
            <w:r>
              <w:rPr>
                <w:rFonts w:hint="default" w:ascii="Times New Roman" w:hAnsi="Times New Roman" w:eastAsia="宋体" w:cs="Times New Roman"/>
                <w:color w:val="auto"/>
                <w:sz w:val="24"/>
                <w:lang w:eastAsia="zh-CN"/>
              </w:rPr>
              <w:t>可达到</w:t>
            </w:r>
            <w:r>
              <w:rPr>
                <w:rFonts w:hint="default" w:ascii="Times New Roman" w:hAnsi="Times New Roman" w:eastAsia="宋体" w:cs="Times New Roman"/>
                <w:b w:val="0"/>
                <w:bCs w:val="0"/>
                <w:color w:val="auto"/>
                <w:sz w:val="24"/>
                <w:szCs w:val="24"/>
              </w:rPr>
              <w:t>《社会生活环境噪声排放标准》（GB22337-2008）中2标准</w:t>
            </w:r>
            <w:r>
              <w:rPr>
                <w:rFonts w:hint="default" w:ascii="Times New Roman" w:hAnsi="Times New Roman" w:eastAsia="宋体" w:cs="Times New Roman"/>
                <w:color w:val="auto"/>
                <w:sz w:val="24"/>
              </w:rPr>
              <w:t>。</w:t>
            </w:r>
          </w:p>
          <w:p w14:paraId="0EF9587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Ansi="宋体"/>
                <w:b/>
                <w:bCs/>
                <w:color w:val="auto"/>
                <w:sz w:val="24"/>
              </w:rPr>
            </w:pPr>
            <w:r>
              <w:rPr>
                <w:rFonts w:hAnsi="宋体"/>
                <w:b/>
                <w:bCs/>
                <w:color w:val="auto"/>
                <w:sz w:val="24"/>
              </w:rPr>
              <w:t>4、固废</w:t>
            </w:r>
          </w:p>
          <w:p w14:paraId="37D4441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color w:val="auto"/>
                <w:sz w:val="24"/>
              </w:rPr>
            </w:pPr>
            <w:r>
              <w:rPr>
                <w:rFonts w:hint="eastAsia" w:hAnsi="宋体"/>
                <w:color w:val="auto"/>
                <w:sz w:val="24"/>
              </w:rPr>
              <w:t>处理固体废物的基本原则是“无害化、减量化和资源化”。居民住宅小区和商铺将在每栋楼出入口及小区商业出入口处布置有垃圾桶，另外在小区内分散布置垃圾桶。项目产生的居民生活垃圾、商铺垃圾采用垃圾桶集中收集，然后由环卫部门每日清运。生活垃圾应尽可能实行分类收集和存放。对生活垃圾中可回收的部分，如包装材料（包装箱、泡沫包装材料）、废塑料、橡胶、废金属、玻璃等，收集后集中交废品回收部门处理，使资源得到再利用；对生活垃圾中不可回收的固体废物，由当地环卫部门日清日运，统一处理。</w:t>
            </w:r>
          </w:p>
          <w:p w14:paraId="2F562D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hAnsi="宋体"/>
                <w:b/>
                <w:color w:val="auto"/>
                <w:sz w:val="28"/>
                <w:szCs w:val="28"/>
              </w:rPr>
            </w:pPr>
            <w:r>
              <w:rPr>
                <w:rFonts w:hint="eastAsia" w:hAnsi="宋体"/>
                <w:b/>
                <w:color w:val="auto"/>
                <w:sz w:val="28"/>
                <w:szCs w:val="28"/>
                <w:lang w:eastAsia="zh-CN"/>
              </w:rPr>
              <w:t>四、</w:t>
            </w:r>
            <w:r>
              <w:rPr>
                <w:rFonts w:hint="eastAsia" w:hAnsi="宋体"/>
                <w:b/>
                <w:color w:val="auto"/>
                <w:sz w:val="28"/>
                <w:szCs w:val="28"/>
              </w:rPr>
              <w:t>产业政策符合性</w:t>
            </w:r>
          </w:p>
          <w:p w14:paraId="37F121B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1、产业政策符合性分析</w:t>
            </w:r>
          </w:p>
          <w:p w14:paraId="48F4EFF4">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cs="Times New Roman"/>
                <w:color w:val="auto"/>
                <w:sz w:val="24"/>
                <w:szCs w:val="24"/>
                <w:lang w:eastAsia="zh-CN"/>
              </w:rPr>
              <w:t>本项目为房地产开发项目</w:t>
            </w:r>
            <w:r>
              <w:rPr>
                <w:rFonts w:hint="default" w:ascii="Times New Roman" w:hAnsi="Times New Roman" w:cs="Times New Roman"/>
                <w:color w:val="auto"/>
                <w:sz w:val="24"/>
                <w:szCs w:val="24"/>
              </w:rPr>
              <w:t>不属于国家发改委《产业结构调整指导目录（2011年本）（2013年修正）》中限制类和淘汰类，属允许类。</w:t>
            </w:r>
            <w:r>
              <w:rPr>
                <w:rFonts w:hint="default" w:ascii="Times New Roman" w:hAnsi="Times New Roman" w:eastAsia="宋体" w:cs="Times New Roman"/>
                <w:b w:val="0"/>
                <w:color w:val="auto"/>
                <w:kern w:val="2"/>
                <w:sz w:val="24"/>
                <w:szCs w:val="24"/>
                <w:lang w:val="en-US" w:eastAsia="zh-CN" w:bidi="ar-SA"/>
              </w:rPr>
              <w:t>同时根据《鄂州市葛店科技新城总体规划（2006</w:t>
            </w:r>
            <w:r>
              <w:rPr>
                <w:rFonts w:hint="eastAsia" w:ascii="Times New Roman" w:hAnsi="Times New Roman" w:eastAsia="宋体" w:cs="Times New Roman"/>
                <w:b w:val="0"/>
                <w:color w:val="auto"/>
                <w:kern w:val="2"/>
                <w:sz w:val="24"/>
                <w:szCs w:val="24"/>
                <w:lang w:val="en-US" w:eastAsia="zh-CN" w:bidi="ar-SA"/>
              </w:rPr>
              <w:t>~</w:t>
            </w:r>
            <w:r>
              <w:rPr>
                <w:rFonts w:hint="default" w:ascii="Times New Roman" w:hAnsi="Times New Roman" w:eastAsia="宋体" w:cs="Times New Roman"/>
                <w:b w:val="0"/>
                <w:color w:val="auto"/>
                <w:kern w:val="2"/>
                <w:sz w:val="24"/>
                <w:szCs w:val="24"/>
                <w:lang w:val="en-US" w:eastAsia="zh-CN" w:bidi="ar-SA"/>
              </w:rPr>
              <w:t>2020年）</w:t>
            </w:r>
            <w:r>
              <w:rPr>
                <w:rFonts w:hint="default" w:ascii="Times New Roman" w:hAnsi="Times New Roman" w:eastAsia="宋体" w:cs="Times New Roman"/>
                <w:b w:val="0"/>
                <w:color w:val="auto"/>
                <w:kern w:val="2"/>
                <w:sz w:val="24"/>
                <w:szCs w:val="24"/>
                <w:vertAlign w:val="baseline"/>
                <w:lang w:val="en-US" w:eastAsia="zh-CN" w:bidi="ar-SA"/>
              </w:rPr>
              <w:t>》文件中葛店科技新城主导产业定位中现代商住要求：</w:t>
            </w:r>
            <w:r>
              <w:rPr>
                <w:rFonts w:hint="default" w:ascii="Times New Roman" w:hAnsi="Times New Roman" w:eastAsia="宋体" w:cs="Times New Roman"/>
                <w:b w:val="0"/>
                <w:i w:val="0"/>
                <w:caps w:val="0"/>
                <w:color w:val="auto"/>
                <w:spacing w:val="0"/>
                <w:sz w:val="24"/>
                <w:szCs w:val="24"/>
                <w:shd w:val="clear" w:fill="FFFFFF"/>
              </w:rPr>
              <w:t>一方面对接配套化工新城的居住服务功能，另一方面发挥自然条件优势,在南部的湖系周边地区，大力发展房地产业,吸引武汉居民购房居住,实现</w:t>
            </w:r>
            <w:r>
              <w:rPr>
                <w:rFonts w:hint="eastAsia" w:ascii="Times New Roman" w:hAnsi="Times New Roman" w:eastAsia="宋体" w:cs="Times New Roman"/>
                <w:b w:val="0"/>
                <w:i w:val="0"/>
                <w:caps w:val="0"/>
                <w:color w:val="auto"/>
                <w:spacing w:val="0"/>
                <w:sz w:val="24"/>
                <w:szCs w:val="24"/>
                <w:shd w:val="clear" w:fill="FFFFFF"/>
                <w:lang w:eastAsia="zh-CN"/>
              </w:rPr>
              <w:t>“</w:t>
            </w:r>
            <w:r>
              <w:rPr>
                <w:rFonts w:hint="default" w:ascii="Times New Roman" w:hAnsi="Times New Roman" w:eastAsia="宋体" w:cs="Times New Roman"/>
                <w:b w:val="0"/>
                <w:i w:val="0"/>
                <w:caps w:val="0"/>
                <w:color w:val="auto"/>
                <w:spacing w:val="0"/>
                <w:sz w:val="24"/>
                <w:szCs w:val="24"/>
                <w:shd w:val="clear" w:fill="FFFFFF"/>
              </w:rPr>
              <w:t>居住在葛店，工作在武汉</w:t>
            </w:r>
            <w:r>
              <w:rPr>
                <w:rFonts w:hint="eastAsia" w:ascii="Times New Roman" w:hAnsi="Times New Roman" w:eastAsia="宋体" w:cs="Times New Roman"/>
                <w:b w:val="0"/>
                <w:i w:val="0"/>
                <w:caps w:val="0"/>
                <w:color w:val="auto"/>
                <w:spacing w:val="0"/>
                <w:sz w:val="24"/>
                <w:szCs w:val="24"/>
                <w:shd w:val="clear" w:fill="FFFFFF"/>
                <w:lang w:eastAsia="zh-CN"/>
              </w:rPr>
              <w:t>”</w:t>
            </w:r>
            <w:r>
              <w:rPr>
                <w:rFonts w:hint="default" w:ascii="Times New Roman" w:hAnsi="Times New Roman" w:eastAsia="宋体" w:cs="Times New Roman"/>
                <w:b w:val="0"/>
                <w:i w:val="0"/>
                <w:caps w:val="0"/>
                <w:color w:val="auto"/>
                <w:spacing w:val="0"/>
                <w:sz w:val="24"/>
                <w:szCs w:val="24"/>
                <w:shd w:val="clear" w:fill="FFFFFF"/>
              </w:rPr>
              <w:t>的目标，同时成为葛店科技新城工作人员的生活区</w:t>
            </w:r>
            <w:r>
              <w:rPr>
                <w:rFonts w:hint="eastAsia" w:ascii="Times New Roman" w:hAnsi="Times New Roman" w:eastAsia="宋体" w:cs="Times New Roman"/>
                <w:b w:val="0"/>
                <w:i w:val="0"/>
                <w:caps w:val="0"/>
                <w:color w:val="auto"/>
                <w:spacing w:val="0"/>
                <w:sz w:val="24"/>
                <w:szCs w:val="24"/>
                <w:shd w:val="clear" w:fill="FFFFFF"/>
                <w:lang w:eastAsia="zh-CN"/>
              </w:rPr>
              <w:t>。</w:t>
            </w:r>
            <w:r>
              <w:rPr>
                <w:rFonts w:hint="default" w:ascii="Times New Roman" w:hAnsi="Times New Roman" w:eastAsia="宋体" w:cs="Times New Roman"/>
                <w:b w:val="0"/>
                <w:color w:val="auto"/>
                <w:kern w:val="2"/>
                <w:sz w:val="24"/>
                <w:szCs w:val="24"/>
                <w:vertAlign w:val="baseline"/>
                <w:lang w:val="en-US" w:eastAsia="zh-CN" w:bidi="ar-SA"/>
              </w:rPr>
              <w:t>本项目</w:t>
            </w:r>
            <w:r>
              <w:rPr>
                <w:rFonts w:hint="eastAsia"/>
                <w:b w:val="0"/>
                <w:bCs/>
                <w:color w:val="auto"/>
                <w:sz w:val="24"/>
                <w:szCs w:val="24"/>
                <w:lang w:eastAsia="zh-CN"/>
              </w:rPr>
              <w:t>位于</w:t>
            </w:r>
            <w:r>
              <w:rPr>
                <w:rFonts w:hint="default" w:ascii="Times New Roman" w:hAnsi="Times New Roman" w:cs="Times New Roman"/>
                <w:color w:val="auto"/>
                <w:sz w:val="24"/>
                <w:szCs w:val="24"/>
                <w:vertAlign w:val="baseline"/>
                <w:lang w:eastAsia="zh-CN"/>
              </w:rPr>
              <w:t>鄂州市葛店</w:t>
            </w:r>
            <w:r>
              <w:rPr>
                <w:rFonts w:hint="eastAsia" w:cs="Times New Roman"/>
                <w:color w:val="auto"/>
                <w:sz w:val="24"/>
                <w:szCs w:val="24"/>
                <w:vertAlign w:val="baseline"/>
                <w:lang w:eastAsia="zh-CN"/>
              </w:rPr>
              <w:t>开发区三号工业区</w:t>
            </w:r>
            <w:r>
              <w:rPr>
                <w:rFonts w:hint="eastAsia" w:ascii="Times New Roman" w:hAnsi="Times New Roman" w:cs="Times New Roman"/>
                <w:b w:val="0"/>
                <w:bCs/>
                <w:color w:val="auto"/>
                <w:sz w:val="24"/>
                <w:szCs w:val="24"/>
                <w:vertAlign w:val="baseline"/>
                <w:lang w:val="en-US" w:eastAsia="zh-CN"/>
              </w:rPr>
              <w:t>处于</w:t>
            </w:r>
            <w:r>
              <w:rPr>
                <w:rFonts w:hint="default" w:ascii="Times New Roman" w:hAnsi="Times New Roman" w:eastAsia="宋体" w:cs="Times New Roman"/>
                <w:b w:val="0"/>
                <w:i w:val="0"/>
                <w:caps w:val="0"/>
                <w:color w:val="auto"/>
                <w:spacing w:val="0"/>
                <w:sz w:val="24"/>
                <w:szCs w:val="24"/>
                <w:shd w:val="clear" w:fill="FFFFFF"/>
              </w:rPr>
              <w:t>在配套化工新城</w:t>
            </w:r>
            <w:r>
              <w:rPr>
                <w:rFonts w:hint="eastAsia" w:ascii="Times New Roman" w:hAnsi="Times New Roman" w:cs="Times New Roman"/>
                <w:b w:val="0"/>
                <w:bCs/>
                <w:color w:val="auto"/>
                <w:sz w:val="24"/>
                <w:szCs w:val="24"/>
                <w:vertAlign w:val="baseline"/>
                <w:lang w:val="en-US" w:eastAsia="zh-CN"/>
              </w:rPr>
              <w:t>，</w:t>
            </w:r>
            <w:r>
              <w:rPr>
                <w:rFonts w:hint="eastAsia" w:cs="Times New Roman"/>
                <w:b w:val="0"/>
                <w:bCs/>
                <w:color w:val="auto"/>
                <w:sz w:val="24"/>
                <w:szCs w:val="24"/>
                <w:vertAlign w:val="baseline"/>
                <w:lang w:val="en-US" w:eastAsia="zh-CN"/>
              </w:rPr>
              <w:t>因此</w:t>
            </w:r>
            <w:r>
              <w:rPr>
                <w:rFonts w:hint="eastAsia" w:ascii="Times New Roman" w:hAnsi="Times New Roman" w:cs="Times New Roman"/>
                <w:b w:val="0"/>
                <w:bCs/>
                <w:color w:val="auto"/>
                <w:sz w:val="24"/>
                <w:szCs w:val="24"/>
                <w:vertAlign w:val="baseline"/>
                <w:lang w:val="en-US" w:eastAsia="zh-CN"/>
              </w:rPr>
              <w:t>在此开发房地产项目符合</w:t>
            </w:r>
            <w:r>
              <w:rPr>
                <w:rFonts w:hint="eastAsia"/>
                <w:color w:val="auto"/>
                <w:sz w:val="24"/>
                <w:szCs w:val="24"/>
              </w:rPr>
              <w:t>葛店科技新城总体规划</w:t>
            </w:r>
            <w:r>
              <w:rPr>
                <w:rFonts w:hint="eastAsia"/>
                <w:color w:val="auto"/>
                <w:sz w:val="24"/>
                <w:szCs w:val="24"/>
                <w:lang w:eastAsia="zh-CN"/>
              </w:rPr>
              <w:t>，</w:t>
            </w:r>
            <w:r>
              <w:rPr>
                <w:rFonts w:hint="default" w:ascii="Times New Roman" w:hAnsi="Times New Roman" w:eastAsia="宋体" w:cs="Times New Roman"/>
                <w:color w:val="auto"/>
                <w:sz w:val="24"/>
                <w:szCs w:val="24"/>
              </w:rPr>
              <w:t>故本项目的建设符合产业政策。</w:t>
            </w:r>
          </w:p>
          <w:p w14:paraId="197C02DE">
            <w:pPr>
              <w:spacing w:line="360" w:lineRule="auto"/>
              <w:ind w:firstLine="482" w:firstLineChars="200"/>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2、土地规划符合性分析</w:t>
            </w:r>
          </w:p>
          <w:p w14:paraId="77EFBBA5">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本项目选址位于</w:t>
            </w:r>
            <w:r>
              <w:rPr>
                <w:rFonts w:hint="eastAsia" w:cs="Times New Roman"/>
                <w:color w:val="auto"/>
                <w:sz w:val="24"/>
                <w:szCs w:val="24"/>
                <w:vertAlign w:val="baseline"/>
                <w:lang w:eastAsia="zh-CN"/>
              </w:rPr>
              <w:t>鄂州市葛店开发区三号工业区</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eastAsia="zh-CN"/>
              </w:rPr>
              <w:t>由</w:t>
            </w:r>
            <w:r>
              <w:rPr>
                <w:rFonts w:hint="eastAsia" w:cs="Times New Roman"/>
                <w:color w:val="auto"/>
                <w:sz w:val="24"/>
                <w:szCs w:val="24"/>
                <w:lang w:eastAsia="zh-CN"/>
              </w:rPr>
              <w:t>该项目土地证</w:t>
            </w:r>
            <w:r>
              <w:rPr>
                <w:rFonts w:hint="default" w:ascii="Times New Roman" w:hAnsi="Times New Roman" w:cs="Times New Roman"/>
                <w:color w:val="auto"/>
                <w:sz w:val="24"/>
                <w:szCs w:val="24"/>
                <w:lang w:eastAsia="zh-CN"/>
              </w:rPr>
              <w:t>可知</w:t>
            </w:r>
            <w:r>
              <w:rPr>
                <w:rFonts w:hint="default" w:ascii="Times New Roman" w:hAnsi="Times New Roman" w:cs="Times New Roman"/>
                <w:color w:val="auto"/>
                <w:sz w:val="24"/>
                <w:szCs w:val="24"/>
              </w:rPr>
              <w:t>该</w:t>
            </w:r>
            <w:r>
              <w:rPr>
                <w:rFonts w:hint="default" w:ascii="Times New Roman" w:hAnsi="Times New Roman" w:cs="Times New Roman"/>
                <w:color w:val="auto"/>
                <w:sz w:val="24"/>
                <w:szCs w:val="24"/>
                <w:lang w:eastAsia="zh-CN"/>
              </w:rPr>
              <w:t>项目</w:t>
            </w:r>
            <w:r>
              <w:rPr>
                <w:rFonts w:hint="default" w:ascii="Times New Roman" w:hAnsi="Times New Roman" w:cs="Times New Roman"/>
                <w:color w:val="auto"/>
                <w:sz w:val="24"/>
                <w:szCs w:val="24"/>
              </w:rPr>
              <w:t>地块属城市建设用地中商住用地</w:t>
            </w:r>
            <w:r>
              <w:rPr>
                <w:rFonts w:hint="eastAsia" w:cs="Times New Roman"/>
                <w:color w:val="auto"/>
                <w:sz w:val="24"/>
                <w:szCs w:val="24"/>
                <w:lang w:eastAsia="zh-CN"/>
              </w:rPr>
              <w:t>（</w:t>
            </w:r>
            <w:r>
              <w:rPr>
                <w:rFonts w:hint="default" w:ascii="Times New Roman" w:hAnsi="Times New Roman" w:cs="Times New Roman"/>
                <w:color w:val="auto"/>
                <w:sz w:val="24"/>
                <w:szCs w:val="24"/>
              </w:rPr>
              <w:t>见附件</w:t>
            </w:r>
            <w:r>
              <w:rPr>
                <w:rFonts w:hint="eastAsia" w:cs="Times New Roman"/>
                <w:color w:val="auto"/>
                <w:sz w:val="24"/>
                <w:szCs w:val="24"/>
                <w:lang w:val="en-US" w:eastAsia="zh-CN"/>
              </w:rPr>
              <w:t>3），</w:t>
            </w:r>
            <w:r>
              <w:rPr>
                <w:rFonts w:hint="default" w:ascii="Times New Roman" w:hAnsi="Times New Roman" w:cs="Times New Roman"/>
                <w:color w:val="auto"/>
                <w:sz w:val="24"/>
                <w:szCs w:val="24"/>
              </w:rPr>
              <w:t>不属于《限制用地项目目录（2012年本）》和《禁止用地项目目录（2012年本）》中的项目。</w:t>
            </w:r>
            <w:r>
              <w:rPr>
                <w:rFonts w:hint="eastAsia" w:cs="Times New Roman"/>
                <w:color w:val="auto"/>
                <w:sz w:val="24"/>
                <w:szCs w:val="24"/>
                <w:lang w:eastAsia="zh-CN"/>
              </w:rPr>
              <w:t>因此，本项目建设符合土地规划。</w:t>
            </w:r>
          </w:p>
          <w:p w14:paraId="0DC2E4B4">
            <w:pPr>
              <w:spacing w:line="360" w:lineRule="auto"/>
              <w:ind w:firstLine="482" w:firstLineChars="200"/>
              <w:rPr>
                <w:rFonts w:hint="eastAsia"/>
                <w:b/>
                <w:bCs/>
                <w:color w:val="auto"/>
                <w:sz w:val="24"/>
                <w:szCs w:val="24"/>
                <w:lang w:val="en-US" w:eastAsia="zh-CN"/>
              </w:rPr>
            </w:pPr>
            <w:r>
              <w:rPr>
                <w:rFonts w:hint="eastAsia"/>
                <w:b/>
                <w:bCs/>
                <w:color w:val="auto"/>
                <w:sz w:val="24"/>
                <w:szCs w:val="24"/>
                <w:lang w:val="en-US" w:eastAsia="zh-CN"/>
              </w:rPr>
              <w:t>3、选址合理性分析</w:t>
            </w:r>
          </w:p>
          <w:p w14:paraId="47EA7C4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cs="Times New Roman"/>
                <w:color w:val="auto"/>
              </w:rPr>
            </w:pPr>
            <w:r>
              <w:rPr>
                <w:rFonts w:hint="eastAsia" w:eastAsia="宋体" w:cs="Times New Roman"/>
                <w:color w:val="auto"/>
                <w:sz w:val="24"/>
                <w:szCs w:val="24"/>
                <w:highlight w:val="none"/>
                <w:lang w:eastAsia="zh-CN"/>
              </w:rPr>
              <w:t>维纳春天项目</w:t>
            </w:r>
            <w:r>
              <w:rPr>
                <w:rFonts w:hint="default" w:ascii="Times New Roman" w:hAnsi="Times New Roman" w:eastAsia="宋体" w:cs="Times New Roman"/>
                <w:color w:val="auto"/>
                <w:sz w:val="24"/>
                <w:szCs w:val="24"/>
                <w:highlight w:val="none"/>
                <w:lang w:eastAsia="zh-CN"/>
              </w:rPr>
              <w:t>地块位于</w:t>
            </w:r>
            <w:r>
              <w:rPr>
                <w:rFonts w:hint="eastAsia" w:eastAsia="宋体" w:cs="Times New Roman"/>
                <w:color w:val="auto"/>
                <w:sz w:val="24"/>
                <w:szCs w:val="24"/>
                <w:highlight w:val="none"/>
                <w:lang w:eastAsia="zh-CN"/>
              </w:rPr>
              <w:t>鄂州市葛店开发区三号工业区</w:t>
            </w:r>
            <w:r>
              <w:rPr>
                <w:rFonts w:hint="default" w:ascii="Times New Roman" w:hAnsi="Times New Roman" w:eastAsia="宋体" w:cs="Times New Roman"/>
                <w:color w:val="auto"/>
                <w:sz w:val="24"/>
                <w:szCs w:val="24"/>
                <w:highlight w:val="none"/>
                <w:lang w:val="en-US" w:eastAsia="zh-CN"/>
              </w:rPr>
              <w:t>。项目</w:t>
            </w:r>
            <w:r>
              <w:rPr>
                <w:rFonts w:hint="eastAsia" w:eastAsia="宋体" w:cs="Times New Roman"/>
                <w:color w:val="auto"/>
                <w:sz w:val="24"/>
                <w:szCs w:val="24"/>
                <w:highlight w:val="none"/>
                <w:lang w:val="en-US" w:eastAsia="zh-CN"/>
              </w:rPr>
              <w:t>北侧隔着聚贤路为光谷鑫城小区，项目东侧隔着马路为维纳阳光小区，项目南侧隔着马路为武汉精锐狮机械设备有限公司的储存车间，项目西侧隔着仁慧路为空地。</w:t>
            </w:r>
            <w:r>
              <w:rPr>
                <w:rFonts w:eastAsia="宋体" w:cs="Times New Roman"/>
                <w:color w:val="auto"/>
                <w:sz w:val="24"/>
                <w:szCs w:val="24"/>
              </w:rPr>
              <w:t>项目周围无饮用水源保护区、自然保护区、风景名胜区、生态环境敏感区。项目运营期经采取提出的污染防治措施后对周边环境空气、地面水环境、声环境的污染影响较小，不会对周围环境造成显著不利影响。经从项目周边环境状况、场地条件、环境可行性等方面综合分析后评价认为，项目选址是可行的。</w:t>
            </w:r>
          </w:p>
          <w:p w14:paraId="351AA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b/>
                <w:color w:val="auto"/>
                <w:sz w:val="28"/>
                <w:szCs w:val="28"/>
              </w:rPr>
            </w:pPr>
            <w:r>
              <w:rPr>
                <w:rFonts w:hint="eastAsia"/>
                <w:b/>
                <w:color w:val="auto"/>
                <w:sz w:val="28"/>
                <w:szCs w:val="28"/>
                <w:lang w:eastAsia="zh-CN"/>
              </w:rPr>
              <w:t>五、</w:t>
            </w:r>
            <w:r>
              <w:rPr>
                <w:rFonts w:hint="eastAsia"/>
                <w:b/>
                <w:color w:val="auto"/>
                <w:sz w:val="28"/>
                <w:szCs w:val="28"/>
              </w:rPr>
              <w:t>环评总结论</w:t>
            </w:r>
          </w:p>
          <w:p w14:paraId="7FF6E2B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Ansi="宋体"/>
                <w:bCs/>
                <w:color w:val="auto"/>
                <w:sz w:val="24"/>
              </w:rPr>
            </w:pPr>
            <w:r>
              <w:rPr>
                <w:rFonts w:hAnsi="宋体"/>
                <w:color w:val="auto"/>
                <w:sz w:val="24"/>
              </w:rPr>
              <w:t>综上所述，项目建设符合</w:t>
            </w:r>
            <w:r>
              <w:rPr>
                <w:rFonts w:hint="eastAsia" w:hAnsi="宋体"/>
                <w:color w:val="auto"/>
                <w:sz w:val="24"/>
              </w:rPr>
              <w:t>葛店科技新城</w:t>
            </w:r>
            <w:r>
              <w:rPr>
                <w:rFonts w:hAnsi="宋体"/>
                <w:color w:val="auto"/>
                <w:sz w:val="24"/>
              </w:rPr>
              <w:t>的总体规划，具有较明显的社会、经济、环境综合效益；项目所在地环境质量总体较好，项目建成投入使用后，对周围环境的污染程度较轻，在采取相应的治理措施后，可满足相应的国家排放标准；项目实施后能满足区域环境质量与环境功能的要求。项目建成后，将带动所在区域的经济增长，提升区域形象</w:t>
            </w:r>
            <w:r>
              <w:rPr>
                <w:rFonts w:hAnsi="宋体"/>
                <w:bCs/>
                <w:color w:val="auto"/>
                <w:sz w:val="24"/>
              </w:rPr>
              <w:t>。</w:t>
            </w:r>
          </w:p>
          <w:p w14:paraId="6AB6DDF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bCs/>
                <w:color w:val="auto"/>
                <w:sz w:val="24"/>
              </w:rPr>
            </w:pPr>
            <w:r>
              <w:rPr>
                <w:rFonts w:hAnsi="宋体"/>
                <w:bCs/>
                <w:color w:val="auto"/>
                <w:sz w:val="24"/>
              </w:rPr>
              <w:t>在做到本环评提出的各种污染防治措施后，废水、废气、噪声和固废污染物均可达标排放，并且保持相应功能区要求。要求应当在执行“三同时”原则的基础上，严格执行国家的环保法律法规，切实落实本环评中提出的各项污染防治和生态保护措施，将对周围生态环境的影响降低到可接受的程度。因此，本项目的实施具有可行性。</w:t>
            </w:r>
          </w:p>
          <w:p w14:paraId="3CFA880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51" w:firstLineChars="196"/>
              <w:jc w:val="both"/>
              <w:textAlignment w:val="auto"/>
              <w:outlineLvl w:val="9"/>
              <w:rPr>
                <w:rFonts w:hint="eastAsia"/>
                <w:b/>
                <w:color w:val="auto"/>
                <w:sz w:val="28"/>
                <w:szCs w:val="28"/>
              </w:rPr>
            </w:pPr>
            <w:r>
              <w:rPr>
                <w:rFonts w:hint="eastAsia"/>
                <w:b/>
                <w:color w:val="auto"/>
                <w:sz w:val="28"/>
                <w:szCs w:val="28"/>
              </w:rPr>
              <w:t>建议与要求</w:t>
            </w:r>
          </w:p>
          <w:p w14:paraId="4EE72C0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color w:val="auto"/>
                <w:sz w:val="24"/>
              </w:rPr>
              <w:t>1、该项目在建设过程中，必须严格按照国家有关建设项目环保管理规定，执行建设项目须配套建设的环境保护设施与主体工程同时设计、同时施工、同时投产使用的“三同时”制度。各类污染物的排放应执行本次环评规定的标准。</w:t>
            </w:r>
          </w:p>
          <w:p w14:paraId="76DA975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8" w:firstLineChars="200"/>
              <w:jc w:val="both"/>
              <w:textAlignment w:val="auto"/>
              <w:outlineLvl w:val="9"/>
              <w:rPr>
                <w:color w:val="auto"/>
                <w:spacing w:val="-3"/>
                <w:sz w:val="24"/>
              </w:rPr>
            </w:pPr>
            <w:r>
              <w:rPr>
                <w:color w:val="auto"/>
                <w:spacing w:val="-3"/>
                <w:sz w:val="24"/>
              </w:rPr>
              <w:t>2、在绿化过程中，最好不要将原有的植被彻底清除，而让其有自然适应和演替的机会。加强生态环境意识宣传，自觉维护生态环境。在植被的管理中，尽量采用生态综合控制的方法防治病虫害，避免化学合成农药、除草剂及化肥的大量使用，减少污染。</w:t>
            </w:r>
          </w:p>
          <w:p w14:paraId="7D0246E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color w:val="auto"/>
                <w:sz w:val="24"/>
              </w:rPr>
              <w:t>3、加强对施工现场的噪声管理，建筑施工噪声必须严格执行《建筑施工场界环境噪声排放标准》（GB12523-2011）标准，对高噪声设备加置隔声屏障，同时为了降低施工噪声的影响，可调整或缩短噪声施工的时间，噪声大的作业应安排在白天。对离居民点50～100米以内范围的施工现场，22：00～6：00禁止施工。以减轻施工所带来的噪声对周围居民生活工作的影响。</w:t>
            </w:r>
          </w:p>
          <w:p w14:paraId="021409F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color w:val="auto"/>
                <w:sz w:val="24"/>
              </w:rPr>
              <w:t>4、加强建设期内的环境影响管理，对运输车辆鸣笛，路面扬尘应采取积极可行措施加以控制，落实废土安置地点，并考虑对周围环境的影响。</w:t>
            </w:r>
          </w:p>
          <w:p w14:paraId="523D697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color w:val="auto"/>
                <w:sz w:val="24"/>
              </w:rPr>
              <w:t>5、加强对营运期噪声设备的管理，尽量选取低噪声设备，</w:t>
            </w:r>
            <w:r>
              <w:rPr>
                <w:rFonts w:hint="eastAsia"/>
                <w:color w:val="auto"/>
                <w:sz w:val="24"/>
              </w:rPr>
              <w:t>加强</w:t>
            </w:r>
            <w:r>
              <w:rPr>
                <w:color w:val="auto"/>
                <w:sz w:val="24"/>
              </w:rPr>
              <w:t>绿化，以其屏蔽作用时噪声受到不同程度的隔绝。另外，禁止车辆鸣笛，同时在地面停车场附近设绿化隔离带，尽量缩短汽车出入口停留时间以减少汽车噪声和汽车废气对周围环境和自身的影响。</w:t>
            </w:r>
          </w:p>
          <w:p w14:paraId="0B39770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color w:val="auto"/>
                <w:sz w:val="24"/>
              </w:rPr>
              <w:t>6、建设单位应合理布设垃圾收集点，保持区域的整洁，并对固体废弃物实行分类管理，对包装废弃物、办公废纸等应进行回收利用；对那些无回收利用价值的生活垃圾（餐饮垃圾）集中堆放在设置的固定堆放处，定期由环卫清运处理。</w:t>
            </w:r>
          </w:p>
          <w:p w14:paraId="769F9B3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color w:val="auto"/>
                <w:sz w:val="24"/>
              </w:rPr>
              <w:t>7、环境管理：</w:t>
            </w:r>
          </w:p>
          <w:p w14:paraId="6B02613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rFonts w:hint="eastAsia"/>
                <w:color w:val="auto"/>
                <w:sz w:val="24"/>
                <w:lang w:val="en-US" w:eastAsia="zh-CN"/>
              </w:rPr>
              <w:t>7.1、</w:t>
            </w:r>
            <w:r>
              <w:rPr>
                <w:color w:val="auto"/>
                <w:sz w:val="24"/>
              </w:rPr>
              <w:t>加强管理，使污染物尽量消除在源头，如停车场。一发现有泄漏的油污，应及时消除擦干。</w:t>
            </w:r>
          </w:p>
          <w:p w14:paraId="3488376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rFonts w:hint="eastAsia"/>
                <w:color w:val="auto"/>
                <w:sz w:val="24"/>
                <w:lang w:val="en-US" w:eastAsia="zh-CN"/>
              </w:rPr>
              <w:t>7.2、</w:t>
            </w:r>
            <w:r>
              <w:rPr>
                <w:color w:val="auto"/>
                <w:sz w:val="24"/>
              </w:rPr>
              <w:t>环保设施的保养、维修应制度化，保证设备的正常运转。</w:t>
            </w:r>
          </w:p>
          <w:p w14:paraId="36C8E60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r>
              <w:rPr>
                <w:rFonts w:hint="eastAsia"/>
                <w:color w:val="auto"/>
                <w:sz w:val="24"/>
                <w:lang w:val="en-US" w:eastAsia="zh-CN"/>
              </w:rPr>
              <w:t>7.3、</w:t>
            </w:r>
            <w:r>
              <w:rPr>
                <w:color w:val="auto"/>
                <w:sz w:val="24"/>
              </w:rPr>
              <w:t>加强宣传教育，增强居民的环保意识。</w:t>
            </w:r>
          </w:p>
          <w:p w14:paraId="60DDF9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604BFED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12DC074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4D25EEE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33B0845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1C85487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11DD476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4C7A68E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23BB867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199B4CB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172B82A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30B8689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317249F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67DEB3F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auto"/>
                <w:sz w:val="24"/>
              </w:rPr>
            </w:pPr>
          </w:p>
          <w:p w14:paraId="7D7571C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49B8C67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262C6F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708A5A8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25888D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02AF87E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0D65898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1D17D93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4E9F9AB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068536B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p w14:paraId="19739B0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auto"/>
                <w:sz w:val="24"/>
              </w:rPr>
            </w:pPr>
          </w:p>
        </w:tc>
      </w:tr>
      <w:tr w14:paraId="46D74F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4" w:hRule="atLeast"/>
          <w:jc w:val="center"/>
        </w:trPr>
        <w:tc>
          <w:tcPr>
            <w:tcW w:w="9071" w:type="dxa"/>
            <w:tcBorders>
              <w:top w:val="single" w:color="auto" w:sz="12" w:space="0"/>
              <w:left w:val="single" w:color="auto" w:sz="12" w:space="0"/>
              <w:bottom w:val="single" w:color="auto" w:sz="12" w:space="0"/>
              <w:right w:val="single" w:color="auto" w:sz="12" w:space="0"/>
            </w:tcBorders>
            <w:vAlign w:val="top"/>
          </w:tcPr>
          <w:p w14:paraId="04F0C232">
            <w:pPr>
              <w:rPr>
                <w:color w:val="auto"/>
                <w:sz w:val="24"/>
                <w:szCs w:val="24"/>
              </w:rPr>
            </w:pPr>
            <w:r>
              <w:rPr>
                <w:rFonts w:hAnsi="宋体"/>
                <w:color w:val="auto"/>
                <w:sz w:val="24"/>
                <w:szCs w:val="24"/>
              </w:rPr>
              <w:t>预审意见</w:t>
            </w:r>
          </w:p>
          <w:p w14:paraId="68638313">
            <w:pPr>
              <w:rPr>
                <w:color w:val="auto"/>
                <w:sz w:val="24"/>
                <w:szCs w:val="24"/>
              </w:rPr>
            </w:pPr>
          </w:p>
          <w:p w14:paraId="40709803">
            <w:pPr>
              <w:rPr>
                <w:color w:val="auto"/>
                <w:sz w:val="24"/>
                <w:szCs w:val="24"/>
              </w:rPr>
            </w:pPr>
          </w:p>
          <w:p w14:paraId="72EF3389">
            <w:pPr>
              <w:rPr>
                <w:color w:val="auto"/>
                <w:sz w:val="24"/>
                <w:szCs w:val="24"/>
              </w:rPr>
            </w:pPr>
          </w:p>
          <w:p w14:paraId="3C841787">
            <w:pPr>
              <w:rPr>
                <w:color w:val="auto"/>
                <w:sz w:val="24"/>
                <w:szCs w:val="24"/>
              </w:rPr>
            </w:pPr>
          </w:p>
          <w:p w14:paraId="15B7AF74">
            <w:pPr>
              <w:rPr>
                <w:color w:val="auto"/>
                <w:sz w:val="24"/>
                <w:szCs w:val="24"/>
              </w:rPr>
            </w:pPr>
          </w:p>
          <w:p w14:paraId="5F32898B">
            <w:pPr>
              <w:rPr>
                <w:color w:val="auto"/>
                <w:sz w:val="24"/>
                <w:szCs w:val="24"/>
              </w:rPr>
            </w:pPr>
          </w:p>
          <w:p w14:paraId="11D389DA">
            <w:pPr>
              <w:rPr>
                <w:color w:val="auto"/>
                <w:sz w:val="24"/>
                <w:szCs w:val="24"/>
              </w:rPr>
            </w:pPr>
            <w:r>
              <w:rPr>
                <w:color w:val="auto"/>
                <w:sz w:val="24"/>
                <w:szCs w:val="24"/>
              </w:rPr>
              <w:t xml:space="preserve">    </w:t>
            </w:r>
            <w:r>
              <w:rPr>
                <w:rFonts w:hAnsi="宋体"/>
                <w:color w:val="auto"/>
                <w:sz w:val="24"/>
                <w:szCs w:val="24"/>
              </w:rPr>
              <w:t>公</w:t>
            </w:r>
            <w:r>
              <w:rPr>
                <w:color w:val="auto"/>
                <w:sz w:val="24"/>
                <w:szCs w:val="24"/>
              </w:rPr>
              <w:t xml:space="preserve">   </w:t>
            </w:r>
            <w:r>
              <w:rPr>
                <w:rFonts w:hAnsi="宋体"/>
                <w:color w:val="auto"/>
                <w:sz w:val="24"/>
                <w:szCs w:val="24"/>
              </w:rPr>
              <w:t>章</w:t>
            </w:r>
          </w:p>
          <w:p w14:paraId="7227B00D">
            <w:pPr>
              <w:rPr>
                <w:color w:val="auto"/>
                <w:sz w:val="24"/>
                <w:szCs w:val="24"/>
              </w:rPr>
            </w:pPr>
          </w:p>
          <w:p w14:paraId="19309B04">
            <w:pPr>
              <w:rPr>
                <w:color w:val="auto"/>
                <w:sz w:val="24"/>
                <w:szCs w:val="24"/>
              </w:rPr>
            </w:pPr>
            <w:r>
              <w:rPr>
                <w:color w:val="auto"/>
                <w:sz w:val="24"/>
                <w:szCs w:val="24"/>
              </w:rPr>
              <w:t xml:space="preserve">     </w:t>
            </w:r>
            <w:r>
              <w:rPr>
                <w:rFonts w:hAnsi="宋体"/>
                <w:color w:val="auto"/>
                <w:sz w:val="24"/>
                <w:szCs w:val="24"/>
              </w:rPr>
              <w:t>经办人：</w:t>
            </w:r>
            <w:r>
              <w:rPr>
                <w:color w:val="auto"/>
                <w:sz w:val="24"/>
                <w:szCs w:val="24"/>
              </w:rPr>
              <w:t xml:space="preserve">                     </w:t>
            </w:r>
            <w:r>
              <w:rPr>
                <w:rFonts w:hAnsi="宋体"/>
                <w:color w:val="auto"/>
                <w:sz w:val="24"/>
                <w:szCs w:val="24"/>
              </w:rPr>
              <w:t>年</w:t>
            </w:r>
            <w:r>
              <w:rPr>
                <w:color w:val="auto"/>
                <w:sz w:val="24"/>
                <w:szCs w:val="24"/>
              </w:rPr>
              <w:t xml:space="preserve">      </w:t>
            </w:r>
            <w:r>
              <w:rPr>
                <w:rFonts w:hAnsi="宋体"/>
                <w:color w:val="auto"/>
                <w:sz w:val="24"/>
                <w:szCs w:val="24"/>
              </w:rPr>
              <w:t>月</w:t>
            </w:r>
            <w:r>
              <w:rPr>
                <w:color w:val="auto"/>
                <w:sz w:val="24"/>
                <w:szCs w:val="24"/>
              </w:rPr>
              <w:t xml:space="preserve">    </w:t>
            </w:r>
            <w:r>
              <w:rPr>
                <w:rFonts w:hAnsi="宋体"/>
                <w:color w:val="auto"/>
                <w:sz w:val="24"/>
                <w:szCs w:val="24"/>
              </w:rPr>
              <w:t>日</w:t>
            </w:r>
            <w:r>
              <w:rPr>
                <w:color w:val="auto"/>
                <w:sz w:val="24"/>
                <w:szCs w:val="24"/>
              </w:rPr>
              <w:t xml:space="preserve">  </w:t>
            </w:r>
          </w:p>
          <w:p w14:paraId="725EDADB">
            <w:pPr>
              <w:rPr>
                <w:color w:val="auto"/>
                <w:sz w:val="24"/>
                <w:szCs w:val="24"/>
              </w:rPr>
            </w:pPr>
          </w:p>
        </w:tc>
      </w:tr>
      <w:tr w14:paraId="0199E2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4" w:hRule="atLeast"/>
          <w:jc w:val="center"/>
        </w:trPr>
        <w:tc>
          <w:tcPr>
            <w:tcW w:w="9071" w:type="dxa"/>
            <w:tcBorders>
              <w:top w:val="single" w:color="auto" w:sz="12" w:space="0"/>
              <w:left w:val="single" w:color="auto" w:sz="12" w:space="0"/>
              <w:bottom w:val="single" w:color="auto" w:sz="12" w:space="0"/>
              <w:right w:val="single" w:color="auto" w:sz="12" w:space="0"/>
            </w:tcBorders>
            <w:vAlign w:val="top"/>
          </w:tcPr>
          <w:p w14:paraId="7987D151">
            <w:pPr>
              <w:rPr>
                <w:color w:val="auto"/>
                <w:sz w:val="24"/>
                <w:szCs w:val="24"/>
              </w:rPr>
            </w:pPr>
            <w:r>
              <w:rPr>
                <w:rFonts w:hAnsi="宋体"/>
                <w:color w:val="auto"/>
                <w:sz w:val="24"/>
                <w:szCs w:val="24"/>
              </w:rPr>
              <w:t>下一级环境保护行政主管部门审查意见：</w:t>
            </w:r>
          </w:p>
          <w:p w14:paraId="22CDD2A4">
            <w:pPr>
              <w:spacing w:line="360" w:lineRule="auto"/>
              <w:rPr>
                <w:color w:val="auto"/>
                <w:sz w:val="24"/>
                <w:szCs w:val="24"/>
              </w:rPr>
            </w:pPr>
          </w:p>
          <w:p w14:paraId="065083C7">
            <w:pPr>
              <w:spacing w:line="360" w:lineRule="auto"/>
              <w:rPr>
                <w:color w:val="auto"/>
                <w:sz w:val="24"/>
                <w:szCs w:val="24"/>
              </w:rPr>
            </w:pPr>
          </w:p>
          <w:p w14:paraId="2B839CAF">
            <w:pPr>
              <w:spacing w:line="360" w:lineRule="auto"/>
              <w:rPr>
                <w:color w:val="auto"/>
                <w:sz w:val="24"/>
                <w:szCs w:val="24"/>
              </w:rPr>
            </w:pPr>
          </w:p>
          <w:p w14:paraId="7F3848CE">
            <w:pPr>
              <w:spacing w:line="360" w:lineRule="auto"/>
              <w:rPr>
                <w:color w:val="auto"/>
                <w:sz w:val="24"/>
                <w:szCs w:val="24"/>
              </w:rPr>
            </w:pPr>
          </w:p>
          <w:p w14:paraId="20B5406E">
            <w:pPr>
              <w:spacing w:line="360" w:lineRule="auto"/>
              <w:rPr>
                <w:color w:val="auto"/>
                <w:sz w:val="24"/>
                <w:szCs w:val="24"/>
              </w:rPr>
            </w:pPr>
          </w:p>
          <w:p w14:paraId="7AC94DE0">
            <w:pPr>
              <w:spacing w:line="360" w:lineRule="auto"/>
              <w:rPr>
                <w:color w:val="auto"/>
                <w:sz w:val="24"/>
                <w:szCs w:val="24"/>
              </w:rPr>
            </w:pPr>
          </w:p>
          <w:p w14:paraId="5D51E259">
            <w:pPr>
              <w:spacing w:line="360" w:lineRule="auto"/>
              <w:rPr>
                <w:color w:val="auto"/>
                <w:sz w:val="24"/>
                <w:szCs w:val="24"/>
              </w:rPr>
            </w:pPr>
          </w:p>
          <w:p w14:paraId="1517DC0D">
            <w:pPr>
              <w:spacing w:line="360" w:lineRule="auto"/>
              <w:rPr>
                <w:color w:val="auto"/>
                <w:sz w:val="24"/>
                <w:szCs w:val="24"/>
              </w:rPr>
            </w:pPr>
          </w:p>
          <w:p w14:paraId="7B47F0A9">
            <w:pPr>
              <w:spacing w:line="360" w:lineRule="auto"/>
              <w:rPr>
                <w:color w:val="auto"/>
                <w:sz w:val="24"/>
                <w:szCs w:val="24"/>
              </w:rPr>
            </w:pPr>
          </w:p>
          <w:p w14:paraId="1E6A691C">
            <w:pPr>
              <w:spacing w:line="360" w:lineRule="auto"/>
              <w:rPr>
                <w:color w:val="auto"/>
                <w:sz w:val="24"/>
                <w:szCs w:val="24"/>
              </w:rPr>
            </w:pPr>
          </w:p>
          <w:p w14:paraId="6F4B6A0B">
            <w:pPr>
              <w:spacing w:line="360" w:lineRule="auto"/>
              <w:rPr>
                <w:color w:val="auto"/>
                <w:sz w:val="24"/>
                <w:szCs w:val="24"/>
              </w:rPr>
            </w:pPr>
          </w:p>
          <w:p w14:paraId="376FD16E">
            <w:pPr>
              <w:spacing w:line="360" w:lineRule="auto"/>
              <w:rPr>
                <w:color w:val="auto"/>
                <w:sz w:val="24"/>
                <w:szCs w:val="24"/>
              </w:rPr>
            </w:pPr>
          </w:p>
          <w:p w14:paraId="59DF549B">
            <w:pPr>
              <w:spacing w:line="360" w:lineRule="auto"/>
              <w:rPr>
                <w:color w:val="auto"/>
                <w:sz w:val="24"/>
                <w:szCs w:val="24"/>
              </w:rPr>
            </w:pPr>
          </w:p>
          <w:p w14:paraId="0FBFB4A9">
            <w:pPr>
              <w:spacing w:line="360" w:lineRule="auto"/>
              <w:rPr>
                <w:color w:val="auto"/>
                <w:sz w:val="24"/>
                <w:szCs w:val="24"/>
              </w:rPr>
            </w:pPr>
          </w:p>
          <w:p w14:paraId="2444E215">
            <w:pPr>
              <w:spacing w:line="360" w:lineRule="auto"/>
              <w:rPr>
                <w:color w:val="auto"/>
                <w:sz w:val="24"/>
                <w:szCs w:val="24"/>
              </w:rPr>
            </w:pPr>
          </w:p>
          <w:p w14:paraId="07344F58">
            <w:pPr>
              <w:spacing w:line="360" w:lineRule="auto"/>
              <w:rPr>
                <w:color w:val="auto"/>
                <w:sz w:val="24"/>
                <w:szCs w:val="24"/>
              </w:rPr>
            </w:pPr>
          </w:p>
          <w:p w14:paraId="7DCD27B0">
            <w:pPr>
              <w:spacing w:line="360" w:lineRule="auto"/>
              <w:rPr>
                <w:color w:val="auto"/>
                <w:sz w:val="24"/>
                <w:szCs w:val="24"/>
              </w:rPr>
            </w:pPr>
          </w:p>
          <w:p w14:paraId="3CF1111C">
            <w:pPr>
              <w:rPr>
                <w:color w:val="auto"/>
                <w:sz w:val="24"/>
                <w:szCs w:val="24"/>
              </w:rPr>
            </w:pPr>
          </w:p>
          <w:p w14:paraId="360D420D">
            <w:pPr>
              <w:rPr>
                <w:color w:val="auto"/>
                <w:sz w:val="24"/>
                <w:szCs w:val="24"/>
              </w:rPr>
            </w:pPr>
            <w:r>
              <w:rPr>
                <w:color w:val="auto"/>
                <w:sz w:val="24"/>
                <w:szCs w:val="24"/>
              </w:rPr>
              <w:t xml:space="preserve">                                        </w:t>
            </w:r>
            <w:r>
              <w:rPr>
                <w:rFonts w:hAnsi="宋体"/>
                <w:color w:val="auto"/>
                <w:sz w:val="24"/>
                <w:szCs w:val="24"/>
              </w:rPr>
              <w:t>公</w:t>
            </w:r>
            <w:r>
              <w:rPr>
                <w:color w:val="auto"/>
                <w:sz w:val="24"/>
                <w:szCs w:val="24"/>
              </w:rPr>
              <w:t xml:space="preserve">  </w:t>
            </w:r>
            <w:r>
              <w:rPr>
                <w:rFonts w:hAnsi="宋体"/>
                <w:color w:val="auto"/>
                <w:sz w:val="24"/>
                <w:szCs w:val="24"/>
              </w:rPr>
              <w:t>章</w:t>
            </w:r>
          </w:p>
          <w:p w14:paraId="46487EC7">
            <w:pPr>
              <w:rPr>
                <w:color w:val="auto"/>
                <w:sz w:val="24"/>
                <w:szCs w:val="24"/>
              </w:rPr>
            </w:pPr>
          </w:p>
          <w:p w14:paraId="275539B8">
            <w:pPr>
              <w:rPr>
                <w:color w:val="auto"/>
                <w:sz w:val="24"/>
                <w:szCs w:val="24"/>
              </w:rPr>
            </w:pPr>
          </w:p>
          <w:p w14:paraId="7D7CC9E3">
            <w:pPr>
              <w:rPr>
                <w:color w:val="auto"/>
                <w:sz w:val="24"/>
                <w:szCs w:val="24"/>
              </w:rPr>
            </w:pPr>
            <w:r>
              <w:rPr>
                <w:color w:val="auto"/>
                <w:sz w:val="24"/>
                <w:szCs w:val="24"/>
              </w:rPr>
              <w:t xml:space="preserve">      </w:t>
            </w:r>
            <w:r>
              <w:rPr>
                <w:rFonts w:hAnsi="宋体"/>
                <w:color w:val="auto"/>
                <w:sz w:val="24"/>
                <w:szCs w:val="24"/>
              </w:rPr>
              <w:t>经办人：</w:t>
            </w:r>
            <w:r>
              <w:rPr>
                <w:color w:val="auto"/>
                <w:sz w:val="24"/>
                <w:szCs w:val="24"/>
              </w:rPr>
              <w:t xml:space="preserve">                       </w:t>
            </w:r>
            <w:r>
              <w:rPr>
                <w:rFonts w:hAnsi="宋体"/>
                <w:color w:val="auto"/>
                <w:sz w:val="24"/>
                <w:szCs w:val="24"/>
              </w:rPr>
              <w:t>年</w:t>
            </w:r>
            <w:r>
              <w:rPr>
                <w:color w:val="auto"/>
                <w:sz w:val="24"/>
                <w:szCs w:val="24"/>
              </w:rPr>
              <w:t xml:space="preserve">      </w:t>
            </w:r>
            <w:r>
              <w:rPr>
                <w:rFonts w:hAnsi="宋体"/>
                <w:color w:val="auto"/>
                <w:sz w:val="24"/>
                <w:szCs w:val="24"/>
              </w:rPr>
              <w:t>月</w:t>
            </w:r>
            <w:r>
              <w:rPr>
                <w:color w:val="auto"/>
                <w:sz w:val="24"/>
                <w:szCs w:val="24"/>
              </w:rPr>
              <w:t xml:space="preserve">    </w:t>
            </w:r>
            <w:r>
              <w:rPr>
                <w:rFonts w:hAnsi="宋体"/>
                <w:color w:val="auto"/>
                <w:sz w:val="24"/>
                <w:szCs w:val="24"/>
              </w:rPr>
              <w:t>日</w:t>
            </w:r>
          </w:p>
          <w:p w14:paraId="00589E89">
            <w:pPr>
              <w:rPr>
                <w:color w:val="auto"/>
                <w:sz w:val="24"/>
                <w:szCs w:val="24"/>
              </w:rPr>
            </w:pPr>
          </w:p>
        </w:tc>
      </w:tr>
      <w:tr w14:paraId="484D01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3545" w:hRule="atLeast"/>
          <w:jc w:val="center"/>
        </w:trPr>
        <w:tc>
          <w:tcPr>
            <w:tcW w:w="9071" w:type="dxa"/>
            <w:tcBorders>
              <w:top w:val="single" w:color="auto" w:sz="12" w:space="0"/>
              <w:left w:val="single" w:color="auto" w:sz="12" w:space="0"/>
              <w:bottom w:val="single" w:color="auto" w:sz="12" w:space="0"/>
              <w:right w:val="single" w:color="auto" w:sz="12" w:space="0"/>
            </w:tcBorders>
            <w:vAlign w:val="top"/>
          </w:tcPr>
          <w:p w14:paraId="62F99595">
            <w:pPr>
              <w:rPr>
                <w:color w:val="auto"/>
                <w:sz w:val="24"/>
                <w:szCs w:val="24"/>
              </w:rPr>
            </w:pPr>
            <w:r>
              <w:rPr>
                <w:rFonts w:hAnsi="宋体"/>
                <w:color w:val="auto"/>
                <w:sz w:val="24"/>
                <w:szCs w:val="24"/>
              </w:rPr>
              <w:t>审批意见：</w:t>
            </w:r>
          </w:p>
          <w:p w14:paraId="66705A13">
            <w:pPr>
              <w:rPr>
                <w:color w:val="auto"/>
                <w:sz w:val="24"/>
                <w:szCs w:val="24"/>
              </w:rPr>
            </w:pPr>
          </w:p>
          <w:p w14:paraId="0FBEBB29">
            <w:pPr>
              <w:spacing w:line="360" w:lineRule="auto"/>
              <w:rPr>
                <w:color w:val="auto"/>
                <w:sz w:val="24"/>
                <w:szCs w:val="24"/>
              </w:rPr>
            </w:pPr>
          </w:p>
          <w:p w14:paraId="43378FE0">
            <w:pPr>
              <w:spacing w:line="360" w:lineRule="auto"/>
              <w:rPr>
                <w:color w:val="auto"/>
                <w:sz w:val="24"/>
                <w:szCs w:val="24"/>
              </w:rPr>
            </w:pPr>
          </w:p>
          <w:p w14:paraId="059AA8E1">
            <w:pPr>
              <w:spacing w:line="360" w:lineRule="auto"/>
              <w:rPr>
                <w:color w:val="auto"/>
                <w:sz w:val="24"/>
                <w:szCs w:val="24"/>
              </w:rPr>
            </w:pPr>
          </w:p>
          <w:p w14:paraId="34A61A89">
            <w:pPr>
              <w:spacing w:line="360" w:lineRule="auto"/>
              <w:rPr>
                <w:color w:val="auto"/>
                <w:sz w:val="24"/>
                <w:szCs w:val="24"/>
              </w:rPr>
            </w:pPr>
          </w:p>
          <w:p w14:paraId="659B1F40">
            <w:pPr>
              <w:spacing w:line="360" w:lineRule="auto"/>
              <w:rPr>
                <w:color w:val="auto"/>
                <w:sz w:val="24"/>
                <w:szCs w:val="24"/>
              </w:rPr>
            </w:pPr>
          </w:p>
          <w:p w14:paraId="7CBC651F">
            <w:pPr>
              <w:spacing w:line="360" w:lineRule="auto"/>
              <w:rPr>
                <w:color w:val="auto"/>
                <w:sz w:val="24"/>
                <w:szCs w:val="24"/>
              </w:rPr>
            </w:pPr>
          </w:p>
          <w:p w14:paraId="54A79C09">
            <w:pPr>
              <w:spacing w:line="360" w:lineRule="auto"/>
              <w:rPr>
                <w:color w:val="auto"/>
                <w:sz w:val="24"/>
                <w:szCs w:val="24"/>
              </w:rPr>
            </w:pPr>
          </w:p>
          <w:p w14:paraId="5FDD83D3">
            <w:pPr>
              <w:spacing w:line="360" w:lineRule="auto"/>
              <w:rPr>
                <w:color w:val="auto"/>
                <w:sz w:val="24"/>
                <w:szCs w:val="24"/>
              </w:rPr>
            </w:pPr>
          </w:p>
          <w:p w14:paraId="393B7E85">
            <w:pPr>
              <w:spacing w:line="360" w:lineRule="auto"/>
              <w:rPr>
                <w:color w:val="auto"/>
                <w:sz w:val="24"/>
                <w:szCs w:val="24"/>
              </w:rPr>
            </w:pPr>
          </w:p>
          <w:p w14:paraId="509BFA71">
            <w:pPr>
              <w:spacing w:line="360" w:lineRule="auto"/>
              <w:rPr>
                <w:color w:val="auto"/>
                <w:sz w:val="24"/>
                <w:szCs w:val="24"/>
              </w:rPr>
            </w:pPr>
          </w:p>
          <w:p w14:paraId="1F9CF666">
            <w:pPr>
              <w:spacing w:line="360" w:lineRule="auto"/>
              <w:rPr>
                <w:color w:val="auto"/>
                <w:sz w:val="24"/>
                <w:szCs w:val="24"/>
              </w:rPr>
            </w:pPr>
          </w:p>
          <w:p w14:paraId="55F073BF">
            <w:pPr>
              <w:spacing w:line="360" w:lineRule="auto"/>
              <w:rPr>
                <w:color w:val="auto"/>
                <w:sz w:val="24"/>
                <w:szCs w:val="24"/>
              </w:rPr>
            </w:pPr>
          </w:p>
          <w:p w14:paraId="7B0D66E0">
            <w:pPr>
              <w:spacing w:line="360" w:lineRule="auto"/>
              <w:rPr>
                <w:color w:val="auto"/>
                <w:sz w:val="24"/>
                <w:szCs w:val="24"/>
              </w:rPr>
            </w:pPr>
          </w:p>
          <w:p w14:paraId="713AAB42">
            <w:pPr>
              <w:spacing w:line="360" w:lineRule="auto"/>
              <w:rPr>
                <w:color w:val="auto"/>
                <w:sz w:val="24"/>
                <w:szCs w:val="24"/>
              </w:rPr>
            </w:pPr>
          </w:p>
          <w:p w14:paraId="1FD9DE45">
            <w:pPr>
              <w:spacing w:line="360" w:lineRule="auto"/>
              <w:rPr>
                <w:color w:val="auto"/>
                <w:sz w:val="24"/>
                <w:szCs w:val="24"/>
              </w:rPr>
            </w:pPr>
          </w:p>
          <w:p w14:paraId="3E891D04">
            <w:pPr>
              <w:spacing w:line="360" w:lineRule="auto"/>
              <w:rPr>
                <w:color w:val="auto"/>
                <w:sz w:val="24"/>
                <w:szCs w:val="24"/>
              </w:rPr>
            </w:pPr>
          </w:p>
          <w:p w14:paraId="125364B1">
            <w:pPr>
              <w:spacing w:line="360" w:lineRule="auto"/>
              <w:rPr>
                <w:color w:val="auto"/>
                <w:sz w:val="24"/>
                <w:szCs w:val="24"/>
              </w:rPr>
            </w:pPr>
          </w:p>
          <w:p w14:paraId="07B6977F">
            <w:pPr>
              <w:spacing w:line="360" w:lineRule="auto"/>
              <w:rPr>
                <w:color w:val="auto"/>
                <w:sz w:val="24"/>
                <w:szCs w:val="24"/>
              </w:rPr>
            </w:pPr>
          </w:p>
          <w:p w14:paraId="63DD04B0">
            <w:pPr>
              <w:spacing w:line="360" w:lineRule="auto"/>
              <w:rPr>
                <w:color w:val="auto"/>
                <w:sz w:val="24"/>
                <w:szCs w:val="24"/>
              </w:rPr>
            </w:pPr>
          </w:p>
          <w:p w14:paraId="1DF6B7D4">
            <w:pPr>
              <w:spacing w:line="360" w:lineRule="auto"/>
              <w:rPr>
                <w:color w:val="auto"/>
                <w:sz w:val="24"/>
                <w:szCs w:val="24"/>
              </w:rPr>
            </w:pPr>
          </w:p>
          <w:p w14:paraId="399DAB4D">
            <w:pPr>
              <w:spacing w:line="360" w:lineRule="auto"/>
              <w:rPr>
                <w:color w:val="auto"/>
                <w:sz w:val="24"/>
                <w:szCs w:val="24"/>
              </w:rPr>
            </w:pPr>
          </w:p>
          <w:p w14:paraId="74C4224D">
            <w:pPr>
              <w:spacing w:line="360" w:lineRule="auto"/>
              <w:rPr>
                <w:color w:val="auto"/>
                <w:sz w:val="24"/>
                <w:szCs w:val="24"/>
              </w:rPr>
            </w:pPr>
          </w:p>
          <w:p w14:paraId="154B1DC7">
            <w:pPr>
              <w:spacing w:line="360" w:lineRule="auto"/>
              <w:rPr>
                <w:color w:val="auto"/>
                <w:sz w:val="24"/>
                <w:szCs w:val="24"/>
              </w:rPr>
            </w:pPr>
          </w:p>
          <w:p w14:paraId="694947D0">
            <w:pPr>
              <w:rPr>
                <w:color w:val="auto"/>
                <w:sz w:val="24"/>
                <w:szCs w:val="24"/>
              </w:rPr>
            </w:pPr>
            <w:r>
              <w:rPr>
                <w:color w:val="auto"/>
                <w:sz w:val="24"/>
                <w:szCs w:val="24"/>
              </w:rPr>
              <w:t xml:space="preserve">                                         </w:t>
            </w:r>
            <w:r>
              <w:rPr>
                <w:rFonts w:hAnsi="宋体"/>
                <w:color w:val="auto"/>
                <w:sz w:val="24"/>
                <w:szCs w:val="24"/>
              </w:rPr>
              <w:t>公</w:t>
            </w:r>
            <w:r>
              <w:rPr>
                <w:color w:val="auto"/>
                <w:sz w:val="24"/>
                <w:szCs w:val="24"/>
              </w:rPr>
              <w:t xml:space="preserve">    </w:t>
            </w:r>
            <w:r>
              <w:rPr>
                <w:rFonts w:hAnsi="宋体"/>
                <w:color w:val="auto"/>
                <w:sz w:val="24"/>
                <w:szCs w:val="24"/>
              </w:rPr>
              <w:t>章</w:t>
            </w:r>
          </w:p>
          <w:p w14:paraId="7E65C2B5">
            <w:pPr>
              <w:rPr>
                <w:color w:val="auto"/>
                <w:sz w:val="24"/>
                <w:szCs w:val="24"/>
              </w:rPr>
            </w:pPr>
          </w:p>
          <w:p w14:paraId="31BA88E8">
            <w:pPr>
              <w:rPr>
                <w:rFonts w:hAnsi="宋体"/>
                <w:color w:val="auto"/>
                <w:sz w:val="24"/>
                <w:szCs w:val="24"/>
              </w:rPr>
            </w:pPr>
            <w:r>
              <w:rPr>
                <w:color w:val="auto"/>
                <w:sz w:val="24"/>
                <w:szCs w:val="24"/>
              </w:rPr>
              <w:t xml:space="preserve">      </w:t>
            </w:r>
            <w:r>
              <w:rPr>
                <w:rFonts w:hAnsi="宋体"/>
                <w:color w:val="auto"/>
                <w:sz w:val="24"/>
                <w:szCs w:val="24"/>
              </w:rPr>
              <w:t>经办人：</w:t>
            </w:r>
            <w:r>
              <w:rPr>
                <w:color w:val="auto"/>
                <w:sz w:val="24"/>
                <w:szCs w:val="24"/>
              </w:rPr>
              <w:t xml:space="preserve">                    </w:t>
            </w:r>
            <w:r>
              <w:rPr>
                <w:rFonts w:hAnsi="宋体"/>
                <w:color w:val="auto"/>
                <w:sz w:val="24"/>
                <w:szCs w:val="24"/>
              </w:rPr>
              <w:t>年</w:t>
            </w:r>
            <w:r>
              <w:rPr>
                <w:color w:val="auto"/>
                <w:sz w:val="24"/>
                <w:szCs w:val="24"/>
              </w:rPr>
              <w:t xml:space="preserve">      </w:t>
            </w:r>
            <w:r>
              <w:rPr>
                <w:rFonts w:hAnsi="宋体"/>
                <w:color w:val="auto"/>
                <w:sz w:val="24"/>
                <w:szCs w:val="24"/>
              </w:rPr>
              <w:t>月</w:t>
            </w:r>
            <w:r>
              <w:rPr>
                <w:color w:val="auto"/>
                <w:sz w:val="24"/>
                <w:szCs w:val="24"/>
              </w:rPr>
              <w:t xml:space="preserve">     </w:t>
            </w:r>
            <w:r>
              <w:rPr>
                <w:rFonts w:hAnsi="宋体"/>
                <w:color w:val="auto"/>
                <w:sz w:val="24"/>
                <w:szCs w:val="24"/>
              </w:rPr>
              <w:t>日</w:t>
            </w:r>
          </w:p>
          <w:p w14:paraId="68AB785C">
            <w:pPr>
              <w:rPr>
                <w:rFonts w:hint="eastAsia" w:hAnsi="宋体"/>
                <w:color w:val="auto"/>
                <w:sz w:val="24"/>
                <w:szCs w:val="24"/>
              </w:rPr>
            </w:pPr>
          </w:p>
        </w:tc>
      </w:tr>
    </w:tbl>
    <w:p w14:paraId="02DF9B24">
      <w:pPr>
        <w:numPr>
          <w:ilvl w:val="0"/>
          <w:numId w:val="0"/>
        </w:numPr>
        <w:rPr>
          <w:rFonts w:hint="eastAsia"/>
          <w:color w:val="auto"/>
          <w:lang w:eastAsia="zh-CN"/>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8CD36">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68F6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45862C">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445862C">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6267E6"/>
    <w:multiLevelType w:val="singleLevel"/>
    <w:tmpl w:val="916267E6"/>
    <w:lvl w:ilvl="0" w:tentative="0">
      <w:start w:val="1"/>
      <w:numFmt w:val="decimal"/>
      <w:suff w:val="nothing"/>
      <w:lvlText w:val="（%1）"/>
      <w:lvlJc w:val="left"/>
    </w:lvl>
  </w:abstractNum>
  <w:abstractNum w:abstractNumId="1">
    <w:nsid w:val="59125230"/>
    <w:multiLevelType w:val="multilevel"/>
    <w:tmpl w:val="59125230"/>
    <w:lvl w:ilvl="0" w:tentative="0">
      <w:start w:val="1"/>
      <w:numFmt w:val="bullet"/>
      <w:pStyle w:val="4"/>
      <w:lvlText w:val=""/>
      <w:lvlJc w:val="left"/>
      <w:pPr>
        <w:tabs>
          <w:tab w:val="left" w:pos="0"/>
        </w:tabs>
        <w:ind w:left="0" w:firstLine="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2">
    <w:nsid w:val="596C32C2"/>
    <w:multiLevelType w:val="singleLevel"/>
    <w:tmpl w:val="596C32C2"/>
    <w:lvl w:ilvl="0" w:tentative="0">
      <w:start w:val="1"/>
      <w:numFmt w:val="decimal"/>
      <w:suff w:val="nothing"/>
      <w:lvlText w:val="（%1）"/>
      <w:lvlJc w:val="left"/>
    </w:lvl>
  </w:abstractNum>
  <w:abstractNum w:abstractNumId="3">
    <w:nsid w:val="596C32D4"/>
    <w:multiLevelType w:val="singleLevel"/>
    <w:tmpl w:val="596C32D4"/>
    <w:lvl w:ilvl="0" w:tentative="0">
      <w:start w:val="3"/>
      <w:numFmt w:val="decimal"/>
      <w:suff w:val="nothing"/>
      <w:lvlText w:val="（%1）"/>
      <w:lvlJc w:val="left"/>
    </w:lvl>
  </w:abstractNum>
  <w:abstractNum w:abstractNumId="4">
    <w:nsid w:val="596C69BD"/>
    <w:multiLevelType w:val="singleLevel"/>
    <w:tmpl w:val="596C69BD"/>
    <w:lvl w:ilvl="0" w:tentative="0">
      <w:start w:val="1"/>
      <w:numFmt w:val="chineseCounting"/>
      <w:suff w:val="nothing"/>
      <w:lvlText w:val="%1、"/>
      <w:lvlJc w:val="left"/>
    </w:lvl>
  </w:abstractNum>
  <w:abstractNum w:abstractNumId="5">
    <w:nsid w:val="596C8510"/>
    <w:multiLevelType w:val="singleLevel"/>
    <w:tmpl w:val="596C8510"/>
    <w:lvl w:ilvl="0" w:tentative="0">
      <w:start w:val="1"/>
      <w:numFmt w:val="decimal"/>
      <w:suff w:val="nothing"/>
      <w:lvlText w:val="%1、"/>
      <w:lvlJc w:val="left"/>
    </w:lvl>
  </w:abstractNum>
  <w:abstractNum w:abstractNumId="6">
    <w:nsid w:val="596D56FE"/>
    <w:multiLevelType w:val="singleLevel"/>
    <w:tmpl w:val="596D56FE"/>
    <w:lvl w:ilvl="0" w:tentative="0">
      <w:start w:val="1"/>
      <w:numFmt w:val="decimal"/>
      <w:suff w:val="nothing"/>
      <w:lvlText w:val="（%1）"/>
      <w:lvlJc w:val="left"/>
    </w:lvl>
  </w:abstractNum>
  <w:abstractNum w:abstractNumId="7">
    <w:nsid w:val="596D8A66"/>
    <w:multiLevelType w:val="singleLevel"/>
    <w:tmpl w:val="596D8A66"/>
    <w:lvl w:ilvl="0" w:tentative="0">
      <w:start w:val="1"/>
      <w:numFmt w:val="decimal"/>
      <w:suff w:val="nothing"/>
      <w:lvlText w:val="（%1）"/>
      <w:lvlJc w:val="left"/>
    </w:lvl>
  </w:abstractNum>
  <w:abstractNum w:abstractNumId="8">
    <w:nsid w:val="59770E95"/>
    <w:multiLevelType w:val="singleLevel"/>
    <w:tmpl w:val="59770E95"/>
    <w:lvl w:ilvl="0" w:tentative="0">
      <w:start w:val="1"/>
      <w:numFmt w:val="chineseCounting"/>
      <w:suff w:val="nothing"/>
      <w:lvlText w:val="%1、"/>
      <w:lvlJc w:val="left"/>
    </w:lvl>
  </w:abstractNum>
  <w:abstractNum w:abstractNumId="9">
    <w:nsid w:val="598085CA"/>
    <w:multiLevelType w:val="singleLevel"/>
    <w:tmpl w:val="598085CA"/>
    <w:lvl w:ilvl="0" w:tentative="0">
      <w:start w:val="8"/>
      <w:numFmt w:val="decimal"/>
      <w:suff w:val="nothing"/>
      <w:lvlText w:val="%1、"/>
      <w:lvlJc w:val="left"/>
    </w:lvl>
  </w:abstractNum>
  <w:abstractNum w:abstractNumId="10">
    <w:nsid w:val="59C308CD"/>
    <w:multiLevelType w:val="singleLevel"/>
    <w:tmpl w:val="59C308CD"/>
    <w:lvl w:ilvl="0" w:tentative="0">
      <w:start w:val="2"/>
      <w:numFmt w:val="decimal"/>
      <w:suff w:val="nothing"/>
      <w:lvlText w:val="（%1）"/>
      <w:lvlJc w:val="left"/>
    </w:lvl>
  </w:abstractNum>
  <w:num w:numId="1">
    <w:abstractNumId w:val="1"/>
  </w:num>
  <w:num w:numId="2">
    <w:abstractNumId w:val="8"/>
  </w:num>
  <w:num w:numId="3">
    <w:abstractNumId w:val="2"/>
  </w:num>
  <w:num w:numId="4">
    <w:abstractNumId w:val="3"/>
  </w:num>
  <w:num w:numId="5">
    <w:abstractNumId w:val="4"/>
  </w:num>
  <w:num w:numId="6">
    <w:abstractNumId w:val="5"/>
  </w:num>
  <w:num w:numId="7">
    <w:abstractNumId w:val="6"/>
  </w:num>
  <w:num w:numId="8">
    <w:abstractNumId w:val="0"/>
  </w:num>
  <w:num w:numId="9">
    <w:abstractNumId w:val="7"/>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253"/>
    <w:rsid w:val="00032F32"/>
    <w:rsid w:val="00045E54"/>
    <w:rsid w:val="00063040"/>
    <w:rsid w:val="0008065F"/>
    <w:rsid w:val="00090072"/>
    <w:rsid w:val="000D10B1"/>
    <w:rsid w:val="000E4789"/>
    <w:rsid w:val="0010370E"/>
    <w:rsid w:val="0010542E"/>
    <w:rsid w:val="00107B8F"/>
    <w:rsid w:val="001278F8"/>
    <w:rsid w:val="0013140B"/>
    <w:rsid w:val="00131622"/>
    <w:rsid w:val="0015102E"/>
    <w:rsid w:val="00152097"/>
    <w:rsid w:val="00172B9F"/>
    <w:rsid w:val="00174982"/>
    <w:rsid w:val="00187191"/>
    <w:rsid w:val="00191D3E"/>
    <w:rsid w:val="001959C0"/>
    <w:rsid w:val="001A4A5F"/>
    <w:rsid w:val="001A7BBA"/>
    <w:rsid w:val="001B39EA"/>
    <w:rsid w:val="001B4308"/>
    <w:rsid w:val="001C10C8"/>
    <w:rsid w:val="001E22BD"/>
    <w:rsid w:val="001E4565"/>
    <w:rsid w:val="00214E61"/>
    <w:rsid w:val="00225A13"/>
    <w:rsid w:val="00230323"/>
    <w:rsid w:val="00245B19"/>
    <w:rsid w:val="0025347E"/>
    <w:rsid w:val="00256B61"/>
    <w:rsid w:val="00267C26"/>
    <w:rsid w:val="002743C4"/>
    <w:rsid w:val="00295FE3"/>
    <w:rsid w:val="002C57F3"/>
    <w:rsid w:val="002F0598"/>
    <w:rsid w:val="002F224C"/>
    <w:rsid w:val="003219BC"/>
    <w:rsid w:val="00321A35"/>
    <w:rsid w:val="00344737"/>
    <w:rsid w:val="003453F7"/>
    <w:rsid w:val="00350DF9"/>
    <w:rsid w:val="00370EFE"/>
    <w:rsid w:val="00371B0E"/>
    <w:rsid w:val="00387A2D"/>
    <w:rsid w:val="003A6065"/>
    <w:rsid w:val="003B094C"/>
    <w:rsid w:val="003B16D7"/>
    <w:rsid w:val="003C53AF"/>
    <w:rsid w:val="003E4A20"/>
    <w:rsid w:val="003F02DF"/>
    <w:rsid w:val="003F20F1"/>
    <w:rsid w:val="00407314"/>
    <w:rsid w:val="0041443E"/>
    <w:rsid w:val="00426BA7"/>
    <w:rsid w:val="004279DB"/>
    <w:rsid w:val="00431EB8"/>
    <w:rsid w:val="00434ECA"/>
    <w:rsid w:val="0046145D"/>
    <w:rsid w:val="004667BD"/>
    <w:rsid w:val="004D6AE2"/>
    <w:rsid w:val="00507E1A"/>
    <w:rsid w:val="0051324B"/>
    <w:rsid w:val="0051617A"/>
    <w:rsid w:val="00527D25"/>
    <w:rsid w:val="00533099"/>
    <w:rsid w:val="00561E5F"/>
    <w:rsid w:val="0057065E"/>
    <w:rsid w:val="00576657"/>
    <w:rsid w:val="005879BE"/>
    <w:rsid w:val="00592E1E"/>
    <w:rsid w:val="005B0A98"/>
    <w:rsid w:val="005C34B5"/>
    <w:rsid w:val="005C63BA"/>
    <w:rsid w:val="005C74F2"/>
    <w:rsid w:val="005F1C15"/>
    <w:rsid w:val="005F25A8"/>
    <w:rsid w:val="005F3924"/>
    <w:rsid w:val="006202FC"/>
    <w:rsid w:val="00674D9C"/>
    <w:rsid w:val="00676B7B"/>
    <w:rsid w:val="006B1459"/>
    <w:rsid w:val="006D1116"/>
    <w:rsid w:val="006E5363"/>
    <w:rsid w:val="006F5205"/>
    <w:rsid w:val="0070023F"/>
    <w:rsid w:val="00700614"/>
    <w:rsid w:val="007305F5"/>
    <w:rsid w:val="00730F6E"/>
    <w:rsid w:val="00732439"/>
    <w:rsid w:val="00741AD4"/>
    <w:rsid w:val="00753A5B"/>
    <w:rsid w:val="00765AE3"/>
    <w:rsid w:val="00774A20"/>
    <w:rsid w:val="00792AEF"/>
    <w:rsid w:val="00794CBF"/>
    <w:rsid w:val="00796749"/>
    <w:rsid w:val="007D2DF8"/>
    <w:rsid w:val="007D49FA"/>
    <w:rsid w:val="007E3799"/>
    <w:rsid w:val="007F1E4D"/>
    <w:rsid w:val="008021A2"/>
    <w:rsid w:val="0080421E"/>
    <w:rsid w:val="00810912"/>
    <w:rsid w:val="008263F3"/>
    <w:rsid w:val="00830C66"/>
    <w:rsid w:val="00837E7B"/>
    <w:rsid w:val="00853459"/>
    <w:rsid w:val="0086517C"/>
    <w:rsid w:val="008704E0"/>
    <w:rsid w:val="008779AD"/>
    <w:rsid w:val="00877F9E"/>
    <w:rsid w:val="008942BD"/>
    <w:rsid w:val="008A37E2"/>
    <w:rsid w:val="008A6732"/>
    <w:rsid w:val="008B4321"/>
    <w:rsid w:val="008B5622"/>
    <w:rsid w:val="008C5F15"/>
    <w:rsid w:val="008E19F1"/>
    <w:rsid w:val="008F35F6"/>
    <w:rsid w:val="00906996"/>
    <w:rsid w:val="00941EA4"/>
    <w:rsid w:val="009764BA"/>
    <w:rsid w:val="00982E60"/>
    <w:rsid w:val="00992A0F"/>
    <w:rsid w:val="009A1384"/>
    <w:rsid w:val="009B195A"/>
    <w:rsid w:val="009D3A5B"/>
    <w:rsid w:val="009E0CD8"/>
    <w:rsid w:val="00A04821"/>
    <w:rsid w:val="00A54BC1"/>
    <w:rsid w:val="00A612E2"/>
    <w:rsid w:val="00A70255"/>
    <w:rsid w:val="00A85176"/>
    <w:rsid w:val="00AA5DF2"/>
    <w:rsid w:val="00AB2CEE"/>
    <w:rsid w:val="00AB3391"/>
    <w:rsid w:val="00AF2002"/>
    <w:rsid w:val="00AF7AA3"/>
    <w:rsid w:val="00B14C72"/>
    <w:rsid w:val="00B3117F"/>
    <w:rsid w:val="00B4550C"/>
    <w:rsid w:val="00B7027B"/>
    <w:rsid w:val="00B83110"/>
    <w:rsid w:val="00BA5352"/>
    <w:rsid w:val="00BC484B"/>
    <w:rsid w:val="00BD221A"/>
    <w:rsid w:val="00BF0041"/>
    <w:rsid w:val="00C054BF"/>
    <w:rsid w:val="00C06BDB"/>
    <w:rsid w:val="00C50B3C"/>
    <w:rsid w:val="00C52E5D"/>
    <w:rsid w:val="00C666E5"/>
    <w:rsid w:val="00C75B84"/>
    <w:rsid w:val="00CA2897"/>
    <w:rsid w:val="00CA498A"/>
    <w:rsid w:val="00CB072D"/>
    <w:rsid w:val="00CC29E3"/>
    <w:rsid w:val="00CE60D0"/>
    <w:rsid w:val="00D008EA"/>
    <w:rsid w:val="00D0403B"/>
    <w:rsid w:val="00D32E57"/>
    <w:rsid w:val="00D5085F"/>
    <w:rsid w:val="00D85378"/>
    <w:rsid w:val="00DD179D"/>
    <w:rsid w:val="00E008D9"/>
    <w:rsid w:val="00E2248A"/>
    <w:rsid w:val="00E32018"/>
    <w:rsid w:val="00E32DC2"/>
    <w:rsid w:val="00E35D03"/>
    <w:rsid w:val="00E50AAD"/>
    <w:rsid w:val="00E574A9"/>
    <w:rsid w:val="00E963CC"/>
    <w:rsid w:val="00E97907"/>
    <w:rsid w:val="00EC23BF"/>
    <w:rsid w:val="00EC56B1"/>
    <w:rsid w:val="00F17C33"/>
    <w:rsid w:val="00F33E2B"/>
    <w:rsid w:val="00F46837"/>
    <w:rsid w:val="00F622FB"/>
    <w:rsid w:val="00F70660"/>
    <w:rsid w:val="00F70769"/>
    <w:rsid w:val="00F76367"/>
    <w:rsid w:val="00F80E93"/>
    <w:rsid w:val="00FA21F8"/>
    <w:rsid w:val="00FA48A8"/>
    <w:rsid w:val="00FC605D"/>
    <w:rsid w:val="00FC70F4"/>
    <w:rsid w:val="01012D5A"/>
    <w:rsid w:val="01016CDC"/>
    <w:rsid w:val="01020479"/>
    <w:rsid w:val="01024EB4"/>
    <w:rsid w:val="01077AAE"/>
    <w:rsid w:val="0108075A"/>
    <w:rsid w:val="010835A1"/>
    <w:rsid w:val="010860ED"/>
    <w:rsid w:val="010B73D1"/>
    <w:rsid w:val="01107B10"/>
    <w:rsid w:val="01110538"/>
    <w:rsid w:val="0111471B"/>
    <w:rsid w:val="011163BB"/>
    <w:rsid w:val="01117330"/>
    <w:rsid w:val="0112250B"/>
    <w:rsid w:val="01127E5F"/>
    <w:rsid w:val="01156E8D"/>
    <w:rsid w:val="01185DE8"/>
    <w:rsid w:val="0119149E"/>
    <w:rsid w:val="011942D5"/>
    <w:rsid w:val="011A6C94"/>
    <w:rsid w:val="011B5A55"/>
    <w:rsid w:val="011F5ECB"/>
    <w:rsid w:val="0121576A"/>
    <w:rsid w:val="01220AC8"/>
    <w:rsid w:val="01225A44"/>
    <w:rsid w:val="012370C6"/>
    <w:rsid w:val="01250C27"/>
    <w:rsid w:val="01255954"/>
    <w:rsid w:val="01265FAA"/>
    <w:rsid w:val="01276966"/>
    <w:rsid w:val="01290C05"/>
    <w:rsid w:val="012B76DE"/>
    <w:rsid w:val="0130628C"/>
    <w:rsid w:val="013144C4"/>
    <w:rsid w:val="01315F93"/>
    <w:rsid w:val="01326298"/>
    <w:rsid w:val="013507C6"/>
    <w:rsid w:val="01351FF9"/>
    <w:rsid w:val="01357F65"/>
    <w:rsid w:val="01371695"/>
    <w:rsid w:val="013877CE"/>
    <w:rsid w:val="013A6049"/>
    <w:rsid w:val="013C6F9D"/>
    <w:rsid w:val="01441A8B"/>
    <w:rsid w:val="01441CE1"/>
    <w:rsid w:val="01447B10"/>
    <w:rsid w:val="01450F2E"/>
    <w:rsid w:val="01461AF9"/>
    <w:rsid w:val="01465A3F"/>
    <w:rsid w:val="014C0688"/>
    <w:rsid w:val="014D78E6"/>
    <w:rsid w:val="0152630B"/>
    <w:rsid w:val="01546703"/>
    <w:rsid w:val="015561DC"/>
    <w:rsid w:val="01560A88"/>
    <w:rsid w:val="015625E8"/>
    <w:rsid w:val="0157150F"/>
    <w:rsid w:val="015855C9"/>
    <w:rsid w:val="01590930"/>
    <w:rsid w:val="01596069"/>
    <w:rsid w:val="0159627C"/>
    <w:rsid w:val="015A21A5"/>
    <w:rsid w:val="015A7EE1"/>
    <w:rsid w:val="015A7F80"/>
    <w:rsid w:val="0160554E"/>
    <w:rsid w:val="01610B5B"/>
    <w:rsid w:val="016644E0"/>
    <w:rsid w:val="01675204"/>
    <w:rsid w:val="01675454"/>
    <w:rsid w:val="01686AAD"/>
    <w:rsid w:val="01687964"/>
    <w:rsid w:val="01692103"/>
    <w:rsid w:val="016B1BC3"/>
    <w:rsid w:val="016B1D61"/>
    <w:rsid w:val="016C2C68"/>
    <w:rsid w:val="016C3693"/>
    <w:rsid w:val="016F2B0A"/>
    <w:rsid w:val="01744EBC"/>
    <w:rsid w:val="017549F4"/>
    <w:rsid w:val="01760212"/>
    <w:rsid w:val="01760D5D"/>
    <w:rsid w:val="01764097"/>
    <w:rsid w:val="01774435"/>
    <w:rsid w:val="017A2E73"/>
    <w:rsid w:val="017A3854"/>
    <w:rsid w:val="017C3C3B"/>
    <w:rsid w:val="017E11F9"/>
    <w:rsid w:val="017E6914"/>
    <w:rsid w:val="01800A0A"/>
    <w:rsid w:val="01802372"/>
    <w:rsid w:val="01805D73"/>
    <w:rsid w:val="018261C4"/>
    <w:rsid w:val="01842CA2"/>
    <w:rsid w:val="01843222"/>
    <w:rsid w:val="01860DB9"/>
    <w:rsid w:val="018634D7"/>
    <w:rsid w:val="018657F7"/>
    <w:rsid w:val="01867C5C"/>
    <w:rsid w:val="01874D02"/>
    <w:rsid w:val="018F08CF"/>
    <w:rsid w:val="0190246B"/>
    <w:rsid w:val="019058F0"/>
    <w:rsid w:val="019565B5"/>
    <w:rsid w:val="01990372"/>
    <w:rsid w:val="019A0D3E"/>
    <w:rsid w:val="019A69D0"/>
    <w:rsid w:val="019B0702"/>
    <w:rsid w:val="019D4219"/>
    <w:rsid w:val="019F5536"/>
    <w:rsid w:val="01A13177"/>
    <w:rsid w:val="01A147E5"/>
    <w:rsid w:val="01A55AB1"/>
    <w:rsid w:val="01AA5438"/>
    <w:rsid w:val="01AA78AE"/>
    <w:rsid w:val="01AB59DC"/>
    <w:rsid w:val="01AC5BDD"/>
    <w:rsid w:val="01AE2C43"/>
    <w:rsid w:val="01AE4E64"/>
    <w:rsid w:val="01B20C8E"/>
    <w:rsid w:val="01B310B3"/>
    <w:rsid w:val="01B523E1"/>
    <w:rsid w:val="01B6608F"/>
    <w:rsid w:val="01B91459"/>
    <w:rsid w:val="01BB0BAA"/>
    <w:rsid w:val="01BB627C"/>
    <w:rsid w:val="01BE116C"/>
    <w:rsid w:val="01C270FF"/>
    <w:rsid w:val="01C301BA"/>
    <w:rsid w:val="01C60C18"/>
    <w:rsid w:val="01C62AF0"/>
    <w:rsid w:val="01C90448"/>
    <w:rsid w:val="01C95FAE"/>
    <w:rsid w:val="01CA2EB2"/>
    <w:rsid w:val="01CA68C8"/>
    <w:rsid w:val="01CD0FAC"/>
    <w:rsid w:val="01CD124A"/>
    <w:rsid w:val="01CF14E3"/>
    <w:rsid w:val="01D133C8"/>
    <w:rsid w:val="01D35FA4"/>
    <w:rsid w:val="01D4159F"/>
    <w:rsid w:val="01D57706"/>
    <w:rsid w:val="01D62EB6"/>
    <w:rsid w:val="01D70100"/>
    <w:rsid w:val="01DA544E"/>
    <w:rsid w:val="01DA7413"/>
    <w:rsid w:val="01DC0D43"/>
    <w:rsid w:val="01DD48C5"/>
    <w:rsid w:val="01DD6870"/>
    <w:rsid w:val="01DE0D25"/>
    <w:rsid w:val="01DF71D4"/>
    <w:rsid w:val="01E03C17"/>
    <w:rsid w:val="01E571FB"/>
    <w:rsid w:val="01E576A9"/>
    <w:rsid w:val="01E73BA3"/>
    <w:rsid w:val="01E92B1B"/>
    <w:rsid w:val="01EA0EE2"/>
    <w:rsid w:val="01EA1E9E"/>
    <w:rsid w:val="01EB6464"/>
    <w:rsid w:val="01EB7C5E"/>
    <w:rsid w:val="01ED3A69"/>
    <w:rsid w:val="01EF2A72"/>
    <w:rsid w:val="01F26564"/>
    <w:rsid w:val="01F61241"/>
    <w:rsid w:val="01F82E90"/>
    <w:rsid w:val="01FC3166"/>
    <w:rsid w:val="01FC5F72"/>
    <w:rsid w:val="01FD2BCB"/>
    <w:rsid w:val="01FD3EF7"/>
    <w:rsid w:val="01FF2605"/>
    <w:rsid w:val="01FF34A6"/>
    <w:rsid w:val="020025F5"/>
    <w:rsid w:val="020043F4"/>
    <w:rsid w:val="02006053"/>
    <w:rsid w:val="02024991"/>
    <w:rsid w:val="02035869"/>
    <w:rsid w:val="020521A2"/>
    <w:rsid w:val="020546F2"/>
    <w:rsid w:val="02060A21"/>
    <w:rsid w:val="02086283"/>
    <w:rsid w:val="02093EF6"/>
    <w:rsid w:val="020B623E"/>
    <w:rsid w:val="020C1694"/>
    <w:rsid w:val="020F462E"/>
    <w:rsid w:val="020F6B7B"/>
    <w:rsid w:val="021008B6"/>
    <w:rsid w:val="02150C60"/>
    <w:rsid w:val="0216452B"/>
    <w:rsid w:val="02184F4D"/>
    <w:rsid w:val="02194D43"/>
    <w:rsid w:val="021A128E"/>
    <w:rsid w:val="021B271B"/>
    <w:rsid w:val="021B29CB"/>
    <w:rsid w:val="021F23AA"/>
    <w:rsid w:val="02201343"/>
    <w:rsid w:val="02202A4B"/>
    <w:rsid w:val="02212375"/>
    <w:rsid w:val="02227B11"/>
    <w:rsid w:val="02247C5A"/>
    <w:rsid w:val="0227491E"/>
    <w:rsid w:val="022838D1"/>
    <w:rsid w:val="022B36EF"/>
    <w:rsid w:val="022B6402"/>
    <w:rsid w:val="022E792F"/>
    <w:rsid w:val="02307A8D"/>
    <w:rsid w:val="02323ACE"/>
    <w:rsid w:val="02335776"/>
    <w:rsid w:val="02335E81"/>
    <w:rsid w:val="023674A4"/>
    <w:rsid w:val="0238424C"/>
    <w:rsid w:val="023A1846"/>
    <w:rsid w:val="023A39AF"/>
    <w:rsid w:val="023F27BB"/>
    <w:rsid w:val="0240068A"/>
    <w:rsid w:val="0241072E"/>
    <w:rsid w:val="02491EDF"/>
    <w:rsid w:val="02494EB7"/>
    <w:rsid w:val="024A243A"/>
    <w:rsid w:val="024A7756"/>
    <w:rsid w:val="024C3497"/>
    <w:rsid w:val="024F1DDF"/>
    <w:rsid w:val="025125D8"/>
    <w:rsid w:val="02516779"/>
    <w:rsid w:val="0252246F"/>
    <w:rsid w:val="0253347A"/>
    <w:rsid w:val="025571A9"/>
    <w:rsid w:val="02573BCF"/>
    <w:rsid w:val="02585A52"/>
    <w:rsid w:val="025900ED"/>
    <w:rsid w:val="025A314C"/>
    <w:rsid w:val="025C2DDB"/>
    <w:rsid w:val="025C5E6F"/>
    <w:rsid w:val="025D6640"/>
    <w:rsid w:val="025E102D"/>
    <w:rsid w:val="025E1CC8"/>
    <w:rsid w:val="02603E8C"/>
    <w:rsid w:val="026052D4"/>
    <w:rsid w:val="02605C85"/>
    <w:rsid w:val="02612EA1"/>
    <w:rsid w:val="02616C41"/>
    <w:rsid w:val="0267374B"/>
    <w:rsid w:val="026740B7"/>
    <w:rsid w:val="02685360"/>
    <w:rsid w:val="026C2B5F"/>
    <w:rsid w:val="026D0D80"/>
    <w:rsid w:val="026D2522"/>
    <w:rsid w:val="026E10D8"/>
    <w:rsid w:val="026E2C37"/>
    <w:rsid w:val="026F0BEE"/>
    <w:rsid w:val="027109B8"/>
    <w:rsid w:val="02712FA4"/>
    <w:rsid w:val="02731B15"/>
    <w:rsid w:val="0273687B"/>
    <w:rsid w:val="02740F6D"/>
    <w:rsid w:val="02750DA1"/>
    <w:rsid w:val="027526C3"/>
    <w:rsid w:val="02763DCC"/>
    <w:rsid w:val="02783FBA"/>
    <w:rsid w:val="027A2E2A"/>
    <w:rsid w:val="02813552"/>
    <w:rsid w:val="028346DA"/>
    <w:rsid w:val="02853EC5"/>
    <w:rsid w:val="02877EBD"/>
    <w:rsid w:val="02880579"/>
    <w:rsid w:val="02880F1B"/>
    <w:rsid w:val="02884F60"/>
    <w:rsid w:val="02891C73"/>
    <w:rsid w:val="028A7A61"/>
    <w:rsid w:val="028B2C98"/>
    <w:rsid w:val="028B3831"/>
    <w:rsid w:val="028C0CA0"/>
    <w:rsid w:val="028C75B5"/>
    <w:rsid w:val="028F4E8B"/>
    <w:rsid w:val="029238BE"/>
    <w:rsid w:val="02946CC5"/>
    <w:rsid w:val="02962D9F"/>
    <w:rsid w:val="02962F57"/>
    <w:rsid w:val="02991E80"/>
    <w:rsid w:val="0299728C"/>
    <w:rsid w:val="029B6206"/>
    <w:rsid w:val="029D5741"/>
    <w:rsid w:val="029E1333"/>
    <w:rsid w:val="029E3DCE"/>
    <w:rsid w:val="029F1269"/>
    <w:rsid w:val="029F2293"/>
    <w:rsid w:val="02A03BD9"/>
    <w:rsid w:val="02A2145C"/>
    <w:rsid w:val="02A36EEF"/>
    <w:rsid w:val="02A40D95"/>
    <w:rsid w:val="02A87788"/>
    <w:rsid w:val="02AA6F41"/>
    <w:rsid w:val="02AC18C8"/>
    <w:rsid w:val="02AC211A"/>
    <w:rsid w:val="02AC5432"/>
    <w:rsid w:val="02AE352F"/>
    <w:rsid w:val="02B05816"/>
    <w:rsid w:val="02B249B0"/>
    <w:rsid w:val="02B271F5"/>
    <w:rsid w:val="02B27DD5"/>
    <w:rsid w:val="02B327DD"/>
    <w:rsid w:val="02B409A4"/>
    <w:rsid w:val="02B70415"/>
    <w:rsid w:val="02B7123F"/>
    <w:rsid w:val="02B853B4"/>
    <w:rsid w:val="02BB0212"/>
    <w:rsid w:val="02BB6DEC"/>
    <w:rsid w:val="02BD229F"/>
    <w:rsid w:val="02BD27D0"/>
    <w:rsid w:val="02BD55EF"/>
    <w:rsid w:val="02BE33F3"/>
    <w:rsid w:val="02BF5B4F"/>
    <w:rsid w:val="02C15377"/>
    <w:rsid w:val="02C27958"/>
    <w:rsid w:val="02C45925"/>
    <w:rsid w:val="02C72FE1"/>
    <w:rsid w:val="02C74469"/>
    <w:rsid w:val="02CA785D"/>
    <w:rsid w:val="02D45DF1"/>
    <w:rsid w:val="02D52506"/>
    <w:rsid w:val="02D6427F"/>
    <w:rsid w:val="02D70363"/>
    <w:rsid w:val="02DA1C34"/>
    <w:rsid w:val="02DA207C"/>
    <w:rsid w:val="02DB6F37"/>
    <w:rsid w:val="02DD4760"/>
    <w:rsid w:val="02DE4F49"/>
    <w:rsid w:val="02E020E0"/>
    <w:rsid w:val="02E10F81"/>
    <w:rsid w:val="02E22BC4"/>
    <w:rsid w:val="02E779FF"/>
    <w:rsid w:val="02E813BA"/>
    <w:rsid w:val="02EC568F"/>
    <w:rsid w:val="02EE272A"/>
    <w:rsid w:val="02EE5C95"/>
    <w:rsid w:val="02EF58D5"/>
    <w:rsid w:val="02F34C1B"/>
    <w:rsid w:val="02FA1B74"/>
    <w:rsid w:val="02FC4D12"/>
    <w:rsid w:val="02FC698A"/>
    <w:rsid w:val="02FD13F3"/>
    <w:rsid w:val="02FF2B79"/>
    <w:rsid w:val="02FF2E4D"/>
    <w:rsid w:val="02FF4E35"/>
    <w:rsid w:val="03002FD9"/>
    <w:rsid w:val="030330B3"/>
    <w:rsid w:val="030502C9"/>
    <w:rsid w:val="03072A51"/>
    <w:rsid w:val="03073420"/>
    <w:rsid w:val="03073E42"/>
    <w:rsid w:val="03097C7A"/>
    <w:rsid w:val="030A0426"/>
    <w:rsid w:val="030B73E5"/>
    <w:rsid w:val="030C2F20"/>
    <w:rsid w:val="030F18DA"/>
    <w:rsid w:val="030F480C"/>
    <w:rsid w:val="03103CE3"/>
    <w:rsid w:val="03115FB6"/>
    <w:rsid w:val="03161994"/>
    <w:rsid w:val="03164096"/>
    <w:rsid w:val="03171EB3"/>
    <w:rsid w:val="03244447"/>
    <w:rsid w:val="0328674C"/>
    <w:rsid w:val="032941E1"/>
    <w:rsid w:val="032A7B21"/>
    <w:rsid w:val="032F69E7"/>
    <w:rsid w:val="03313E3F"/>
    <w:rsid w:val="03357999"/>
    <w:rsid w:val="033E02B4"/>
    <w:rsid w:val="033F5D8B"/>
    <w:rsid w:val="03403D7B"/>
    <w:rsid w:val="03420B11"/>
    <w:rsid w:val="034343C3"/>
    <w:rsid w:val="0343460F"/>
    <w:rsid w:val="03452980"/>
    <w:rsid w:val="03485E6D"/>
    <w:rsid w:val="03495F28"/>
    <w:rsid w:val="034A1BCA"/>
    <w:rsid w:val="034B0542"/>
    <w:rsid w:val="034B0E8C"/>
    <w:rsid w:val="034C1224"/>
    <w:rsid w:val="034D2142"/>
    <w:rsid w:val="035118C7"/>
    <w:rsid w:val="03540FBA"/>
    <w:rsid w:val="03571F40"/>
    <w:rsid w:val="035819B4"/>
    <w:rsid w:val="03585A27"/>
    <w:rsid w:val="035937F4"/>
    <w:rsid w:val="035A4CE4"/>
    <w:rsid w:val="035A735A"/>
    <w:rsid w:val="03632ECF"/>
    <w:rsid w:val="03666B0B"/>
    <w:rsid w:val="03667377"/>
    <w:rsid w:val="03680FF7"/>
    <w:rsid w:val="036C5F53"/>
    <w:rsid w:val="036F6995"/>
    <w:rsid w:val="037070A0"/>
    <w:rsid w:val="037233CC"/>
    <w:rsid w:val="037252B9"/>
    <w:rsid w:val="037353CB"/>
    <w:rsid w:val="03753550"/>
    <w:rsid w:val="0376270D"/>
    <w:rsid w:val="03776DA9"/>
    <w:rsid w:val="03792E21"/>
    <w:rsid w:val="037A4AC3"/>
    <w:rsid w:val="037A4FD0"/>
    <w:rsid w:val="037A6F4A"/>
    <w:rsid w:val="037B17A4"/>
    <w:rsid w:val="037D4916"/>
    <w:rsid w:val="038005CF"/>
    <w:rsid w:val="03842396"/>
    <w:rsid w:val="0387370A"/>
    <w:rsid w:val="038774F1"/>
    <w:rsid w:val="038803D8"/>
    <w:rsid w:val="038A4562"/>
    <w:rsid w:val="038F015E"/>
    <w:rsid w:val="039175DA"/>
    <w:rsid w:val="03925AA7"/>
    <w:rsid w:val="039407D5"/>
    <w:rsid w:val="03945C71"/>
    <w:rsid w:val="039462F2"/>
    <w:rsid w:val="03951382"/>
    <w:rsid w:val="03955606"/>
    <w:rsid w:val="03966EE5"/>
    <w:rsid w:val="03985C44"/>
    <w:rsid w:val="039A1A7D"/>
    <w:rsid w:val="039C2159"/>
    <w:rsid w:val="039D6428"/>
    <w:rsid w:val="039E3EFD"/>
    <w:rsid w:val="03A40C7B"/>
    <w:rsid w:val="03A72AB7"/>
    <w:rsid w:val="03A87DDD"/>
    <w:rsid w:val="03A92CC3"/>
    <w:rsid w:val="03AC71FB"/>
    <w:rsid w:val="03AE326B"/>
    <w:rsid w:val="03AF5BFA"/>
    <w:rsid w:val="03B011B5"/>
    <w:rsid w:val="03B06106"/>
    <w:rsid w:val="03B22D34"/>
    <w:rsid w:val="03B35F43"/>
    <w:rsid w:val="03B65E82"/>
    <w:rsid w:val="03B8111A"/>
    <w:rsid w:val="03B81C88"/>
    <w:rsid w:val="03B91A52"/>
    <w:rsid w:val="03B947B1"/>
    <w:rsid w:val="03BB2BDA"/>
    <w:rsid w:val="03C07C4E"/>
    <w:rsid w:val="03C377C0"/>
    <w:rsid w:val="03C60EBB"/>
    <w:rsid w:val="03C7370B"/>
    <w:rsid w:val="03C85CE2"/>
    <w:rsid w:val="03CA6EA8"/>
    <w:rsid w:val="03CA79F4"/>
    <w:rsid w:val="03CB18EC"/>
    <w:rsid w:val="03CC6182"/>
    <w:rsid w:val="03CD413F"/>
    <w:rsid w:val="03CD4CA5"/>
    <w:rsid w:val="03CD62E7"/>
    <w:rsid w:val="03CF5CBF"/>
    <w:rsid w:val="03D12EFE"/>
    <w:rsid w:val="03D15F58"/>
    <w:rsid w:val="03D22BA7"/>
    <w:rsid w:val="03D5352E"/>
    <w:rsid w:val="03D577C6"/>
    <w:rsid w:val="03D70CF6"/>
    <w:rsid w:val="03D737E1"/>
    <w:rsid w:val="03D83698"/>
    <w:rsid w:val="03DB231E"/>
    <w:rsid w:val="03DB444F"/>
    <w:rsid w:val="03E1665E"/>
    <w:rsid w:val="03E21628"/>
    <w:rsid w:val="03E21EC7"/>
    <w:rsid w:val="03E25F0C"/>
    <w:rsid w:val="03E3316F"/>
    <w:rsid w:val="03E357B3"/>
    <w:rsid w:val="03E61298"/>
    <w:rsid w:val="03E71F51"/>
    <w:rsid w:val="03E759CF"/>
    <w:rsid w:val="03E761BB"/>
    <w:rsid w:val="03EA2186"/>
    <w:rsid w:val="03EC01B1"/>
    <w:rsid w:val="03ED25C9"/>
    <w:rsid w:val="03ED59C3"/>
    <w:rsid w:val="03EF4654"/>
    <w:rsid w:val="03F048ED"/>
    <w:rsid w:val="03F11CB0"/>
    <w:rsid w:val="03F13B7B"/>
    <w:rsid w:val="03F24587"/>
    <w:rsid w:val="03F666F6"/>
    <w:rsid w:val="03F9157E"/>
    <w:rsid w:val="03F94F7B"/>
    <w:rsid w:val="03FB5FEB"/>
    <w:rsid w:val="03FC13B2"/>
    <w:rsid w:val="03FE686A"/>
    <w:rsid w:val="03FF1360"/>
    <w:rsid w:val="040002F6"/>
    <w:rsid w:val="04005A96"/>
    <w:rsid w:val="04005E28"/>
    <w:rsid w:val="0401493A"/>
    <w:rsid w:val="04080FCD"/>
    <w:rsid w:val="040E0F74"/>
    <w:rsid w:val="040F54B5"/>
    <w:rsid w:val="04111A0B"/>
    <w:rsid w:val="0411369D"/>
    <w:rsid w:val="0416052A"/>
    <w:rsid w:val="0416095B"/>
    <w:rsid w:val="041633E5"/>
    <w:rsid w:val="04176B73"/>
    <w:rsid w:val="041807E1"/>
    <w:rsid w:val="04196538"/>
    <w:rsid w:val="041D5424"/>
    <w:rsid w:val="041E194F"/>
    <w:rsid w:val="041E1BCE"/>
    <w:rsid w:val="041F4A9A"/>
    <w:rsid w:val="04223EF9"/>
    <w:rsid w:val="0422628D"/>
    <w:rsid w:val="042367EE"/>
    <w:rsid w:val="04262717"/>
    <w:rsid w:val="04270425"/>
    <w:rsid w:val="0428317F"/>
    <w:rsid w:val="042B08D7"/>
    <w:rsid w:val="0430430B"/>
    <w:rsid w:val="04321FF8"/>
    <w:rsid w:val="043364CF"/>
    <w:rsid w:val="043957CF"/>
    <w:rsid w:val="043B5504"/>
    <w:rsid w:val="043C6B0A"/>
    <w:rsid w:val="043D6146"/>
    <w:rsid w:val="043F1135"/>
    <w:rsid w:val="04400844"/>
    <w:rsid w:val="04405D7F"/>
    <w:rsid w:val="04432A97"/>
    <w:rsid w:val="044370BF"/>
    <w:rsid w:val="0445078D"/>
    <w:rsid w:val="04482DBA"/>
    <w:rsid w:val="04493B78"/>
    <w:rsid w:val="04497314"/>
    <w:rsid w:val="044A0A0B"/>
    <w:rsid w:val="044B4160"/>
    <w:rsid w:val="044C3564"/>
    <w:rsid w:val="044E39E0"/>
    <w:rsid w:val="044F7A2F"/>
    <w:rsid w:val="04504A93"/>
    <w:rsid w:val="04592BC3"/>
    <w:rsid w:val="045A2706"/>
    <w:rsid w:val="045A7B09"/>
    <w:rsid w:val="045B37EC"/>
    <w:rsid w:val="045D7AAC"/>
    <w:rsid w:val="045F5CA7"/>
    <w:rsid w:val="04626E1B"/>
    <w:rsid w:val="0467601C"/>
    <w:rsid w:val="04687BD6"/>
    <w:rsid w:val="046C4FC3"/>
    <w:rsid w:val="046D1A79"/>
    <w:rsid w:val="046E794A"/>
    <w:rsid w:val="046F07AC"/>
    <w:rsid w:val="04715053"/>
    <w:rsid w:val="047171D6"/>
    <w:rsid w:val="04717F26"/>
    <w:rsid w:val="047201E0"/>
    <w:rsid w:val="047263C1"/>
    <w:rsid w:val="04733067"/>
    <w:rsid w:val="04742125"/>
    <w:rsid w:val="047421C8"/>
    <w:rsid w:val="04747439"/>
    <w:rsid w:val="04784A78"/>
    <w:rsid w:val="047E34A3"/>
    <w:rsid w:val="047F34BE"/>
    <w:rsid w:val="04803431"/>
    <w:rsid w:val="048349E2"/>
    <w:rsid w:val="048736BE"/>
    <w:rsid w:val="04882C56"/>
    <w:rsid w:val="048833C9"/>
    <w:rsid w:val="048A3B48"/>
    <w:rsid w:val="048B13D5"/>
    <w:rsid w:val="048B63F3"/>
    <w:rsid w:val="048C072C"/>
    <w:rsid w:val="048C463B"/>
    <w:rsid w:val="048D6E70"/>
    <w:rsid w:val="04910FFD"/>
    <w:rsid w:val="04930C43"/>
    <w:rsid w:val="04937033"/>
    <w:rsid w:val="049928C4"/>
    <w:rsid w:val="0499567A"/>
    <w:rsid w:val="049B049B"/>
    <w:rsid w:val="049D2E8B"/>
    <w:rsid w:val="049E20DF"/>
    <w:rsid w:val="049F2803"/>
    <w:rsid w:val="04A47299"/>
    <w:rsid w:val="04A50E90"/>
    <w:rsid w:val="04A53849"/>
    <w:rsid w:val="04A637E8"/>
    <w:rsid w:val="04A70FCB"/>
    <w:rsid w:val="04A76D96"/>
    <w:rsid w:val="04A81098"/>
    <w:rsid w:val="04A96AA2"/>
    <w:rsid w:val="04AA39A0"/>
    <w:rsid w:val="04AB3848"/>
    <w:rsid w:val="04AC4335"/>
    <w:rsid w:val="04AE5874"/>
    <w:rsid w:val="04B00EA6"/>
    <w:rsid w:val="04B34D43"/>
    <w:rsid w:val="04B73241"/>
    <w:rsid w:val="04B87FA0"/>
    <w:rsid w:val="04BA4608"/>
    <w:rsid w:val="04BC2344"/>
    <w:rsid w:val="04BC6DF8"/>
    <w:rsid w:val="04BC791B"/>
    <w:rsid w:val="04BD7557"/>
    <w:rsid w:val="04C10426"/>
    <w:rsid w:val="04C24A9F"/>
    <w:rsid w:val="04C30F1A"/>
    <w:rsid w:val="04C378E2"/>
    <w:rsid w:val="04C54CE7"/>
    <w:rsid w:val="04C625AE"/>
    <w:rsid w:val="04C716B0"/>
    <w:rsid w:val="04CB5F61"/>
    <w:rsid w:val="04CC5D74"/>
    <w:rsid w:val="04CD0D48"/>
    <w:rsid w:val="04CF3CEF"/>
    <w:rsid w:val="04CF4718"/>
    <w:rsid w:val="04D21669"/>
    <w:rsid w:val="04D310FE"/>
    <w:rsid w:val="04D315FA"/>
    <w:rsid w:val="04D45E03"/>
    <w:rsid w:val="04D5202E"/>
    <w:rsid w:val="04DA6844"/>
    <w:rsid w:val="04DB3E4B"/>
    <w:rsid w:val="04DE0647"/>
    <w:rsid w:val="04DE5743"/>
    <w:rsid w:val="04E04FFA"/>
    <w:rsid w:val="04E07740"/>
    <w:rsid w:val="04E32101"/>
    <w:rsid w:val="04E3422A"/>
    <w:rsid w:val="04EB08D9"/>
    <w:rsid w:val="04EE2299"/>
    <w:rsid w:val="04EE2F18"/>
    <w:rsid w:val="04F52762"/>
    <w:rsid w:val="04F669C4"/>
    <w:rsid w:val="04F7143E"/>
    <w:rsid w:val="04F90E5A"/>
    <w:rsid w:val="04F97DE7"/>
    <w:rsid w:val="04FB14B0"/>
    <w:rsid w:val="04FC1D13"/>
    <w:rsid w:val="04FD6635"/>
    <w:rsid w:val="04FF6855"/>
    <w:rsid w:val="050269D8"/>
    <w:rsid w:val="05057D0A"/>
    <w:rsid w:val="05072CD0"/>
    <w:rsid w:val="050803DC"/>
    <w:rsid w:val="050A5ECD"/>
    <w:rsid w:val="050C66E5"/>
    <w:rsid w:val="050D4C89"/>
    <w:rsid w:val="050F0BF1"/>
    <w:rsid w:val="050F7E52"/>
    <w:rsid w:val="051138AB"/>
    <w:rsid w:val="05121950"/>
    <w:rsid w:val="05153355"/>
    <w:rsid w:val="051649A6"/>
    <w:rsid w:val="05174AD0"/>
    <w:rsid w:val="05177ABB"/>
    <w:rsid w:val="05180919"/>
    <w:rsid w:val="0518304C"/>
    <w:rsid w:val="051A73E4"/>
    <w:rsid w:val="051D5985"/>
    <w:rsid w:val="051E0142"/>
    <w:rsid w:val="052328E0"/>
    <w:rsid w:val="05251451"/>
    <w:rsid w:val="052563FE"/>
    <w:rsid w:val="05257B06"/>
    <w:rsid w:val="052666C6"/>
    <w:rsid w:val="052D6197"/>
    <w:rsid w:val="053009B8"/>
    <w:rsid w:val="05326084"/>
    <w:rsid w:val="0533202B"/>
    <w:rsid w:val="05345EFA"/>
    <w:rsid w:val="053464B4"/>
    <w:rsid w:val="05346EF4"/>
    <w:rsid w:val="05367D0C"/>
    <w:rsid w:val="053721B4"/>
    <w:rsid w:val="05384142"/>
    <w:rsid w:val="0539728F"/>
    <w:rsid w:val="053A4682"/>
    <w:rsid w:val="053C058E"/>
    <w:rsid w:val="053D5637"/>
    <w:rsid w:val="053F5F0C"/>
    <w:rsid w:val="05402065"/>
    <w:rsid w:val="054060C9"/>
    <w:rsid w:val="054131DE"/>
    <w:rsid w:val="05417508"/>
    <w:rsid w:val="054364FC"/>
    <w:rsid w:val="054922DC"/>
    <w:rsid w:val="05492660"/>
    <w:rsid w:val="054B1F7F"/>
    <w:rsid w:val="054C7968"/>
    <w:rsid w:val="054E0FF2"/>
    <w:rsid w:val="054E45BD"/>
    <w:rsid w:val="05502BE8"/>
    <w:rsid w:val="05517A87"/>
    <w:rsid w:val="055422BF"/>
    <w:rsid w:val="05561CBD"/>
    <w:rsid w:val="055A6815"/>
    <w:rsid w:val="055C52DF"/>
    <w:rsid w:val="055C7D90"/>
    <w:rsid w:val="055D7F31"/>
    <w:rsid w:val="055F34ED"/>
    <w:rsid w:val="05613C98"/>
    <w:rsid w:val="05617A5C"/>
    <w:rsid w:val="05625BE3"/>
    <w:rsid w:val="056262E5"/>
    <w:rsid w:val="0565535A"/>
    <w:rsid w:val="05666AB8"/>
    <w:rsid w:val="0568435C"/>
    <w:rsid w:val="056848F1"/>
    <w:rsid w:val="056C101A"/>
    <w:rsid w:val="056D24D0"/>
    <w:rsid w:val="056E4DAD"/>
    <w:rsid w:val="056E7C48"/>
    <w:rsid w:val="056F1AAA"/>
    <w:rsid w:val="05705B27"/>
    <w:rsid w:val="0577176E"/>
    <w:rsid w:val="0578614D"/>
    <w:rsid w:val="05786EF9"/>
    <w:rsid w:val="05796A0F"/>
    <w:rsid w:val="057B2A56"/>
    <w:rsid w:val="057C7090"/>
    <w:rsid w:val="057D6DFB"/>
    <w:rsid w:val="057E6B2D"/>
    <w:rsid w:val="057E7709"/>
    <w:rsid w:val="057F3418"/>
    <w:rsid w:val="057F671D"/>
    <w:rsid w:val="05806A08"/>
    <w:rsid w:val="058417FF"/>
    <w:rsid w:val="058647EB"/>
    <w:rsid w:val="05867131"/>
    <w:rsid w:val="05890257"/>
    <w:rsid w:val="0589690D"/>
    <w:rsid w:val="058B4429"/>
    <w:rsid w:val="058B4E53"/>
    <w:rsid w:val="05903204"/>
    <w:rsid w:val="05914243"/>
    <w:rsid w:val="05946E48"/>
    <w:rsid w:val="05950CB7"/>
    <w:rsid w:val="059618BB"/>
    <w:rsid w:val="0596678C"/>
    <w:rsid w:val="05991573"/>
    <w:rsid w:val="05991923"/>
    <w:rsid w:val="059A1D2B"/>
    <w:rsid w:val="059C3B4A"/>
    <w:rsid w:val="059C5518"/>
    <w:rsid w:val="059C6B52"/>
    <w:rsid w:val="059E619B"/>
    <w:rsid w:val="059E713D"/>
    <w:rsid w:val="059F285A"/>
    <w:rsid w:val="059F3ABB"/>
    <w:rsid w:val="05A0199B"/>
    <w:rsid w:val="05A25CBC"/>
    <w:rsid w:val="05A25D93"/>
    <w:rsid w:val="05A30DF3"/>
    <w:rsid w:val="05A32A81"/>
    <w:rsid w:val="05A5712D"/>
    <w:rsid w:val="05A76060"/>
    <w:rsid w:val="05A82561"/>
    <w:rsid w:val="05AA7873"/>
    <w:rsid w:val="05AB34C2"/>
    <w:rsid w:val="05AC6E7A"/>
    <w:rsid w:val="05AD0911"/>
    <w:rsid w:val="05BB45B9"/>
    <w:rsid w:val="05BD6507"/>
    <w:rsid w:val="05BE28ED"/>
    <w:rsid w:val="05BE52E0"/>
    <w:rsid w:val="05BF2162"/>
    <w:rsid w:val="05C061CD"/>
    <w:rsid w:val="05C17D2F"/>
    <w:rsid w:val="05C22DC5"/>
    <w:rsid w:val="05C663F1"/>
    <w:rsid w:val="05C901AA"/>
    <w:rsid w:val="05CA0C42"/>
    <w:rsid w:val="05CB0BD9"/>
    <w:rsid w:val="05CC238D"/>
    <w:rsid w:val="05CF05A1"/>
    <w:rsid w:val="05CF59F5"/>
    <w:rsid w:val="05D0081E"/>
    <w:rsid w:val="05D035AB"/>
    <w:rsid w:val="05D15375"/>
    <w:rsid w:val="05D356EF"/>
    <w:rsid w:val="05D35826"/>
    <w:rsid w:val="05D40094"/>
    <w:rsid w:val="05D52D54"/>
    <w:rsid w:val="05D62404"/>
    <w:rsid w:val="05D71097"/>
    <w:rsid w:val="05D836A8"/>
    <w:rsid w:val="05D906EA"/>
    <w:rsid w:val="05DA5D98"/>
    <w:rsid w:val="05DB0FE6"/>
    <w:rsid w:val="05DB1122"/>
    <w:rsid w:val="05DC3003"/>
    <w:rsid w:val="05DD2A3C"/>
    <w:rsid w:val="05DE15BD"/>
    <w:rsid w:val="05DF59FA"/>
    <w:rsid w:val="05DF736D"/>
    <w:rsid w:val="05DF7D9F"/>
    <w:rsid w:val="05E2186D"/>
    <w:rsid w:val="05E2738E"/>
    <w:rsid w:val="05E329C6"/>
    <w:rsid w:val="05E40B23"/>
    <w:rsid w:val="05E45F27"/>
    <w:rsid w:val="05E46304"/>
    <w:rsid w:val="05E63E61"/>
    <w:rsid w:val="05E67B81"/>
    <w:rsid w:val="05EC5774"/>
    <w:rsid w:val="05ED4541"/>
    <w:rsid w:val="05F01A84"/>
    <w:rsid w:val="05F04712"/>
    <w:rsid w:val="05F200CC"/>
    <w:rsid w:val="05F4533F"/>
    <w:rsid w:val="05F90431"/>
    <w:rsid w:val="05F93E47"/>
    <w:rsid w:val="05FB3E9B"/>
    <w:rsid w:val="05FC47E9"/>
    <w:rsid w:val="05FE0AFB"/>
    <w:rsid w:val="05FF5852"/>
    <w:rsid w:val="0600693A"/>
    <w:rsid w:val="06007FF1"/>
    <w:rsid w:val="060140F7"/>
    <w:rsid w:val="0601637A"/>
    <w:rsid w:val="06065B91"/>
    <w:rsid w:val="0606645E"/>
    <w:rsid w:val="0606688C"/>
    <w:rsid w:val="0609719A"/>
    <w:rsid w:val="060A06A1"/>
    <w:rsid w:val="060A6B8E"/>
    <w:rsid w:val="060D68DA"/>
    <w:rsid w:val="06103E44"/>
    <w:rsid w:val="061079C5"/>
    <w:rsid w:val="0611651F"/>
    <w:rsid w:val="06141478"/>
    <w:rsid w:val="06144D4E"/>
    <w:rsid w:val="06153C4A"/>
    <w:rsid w:val="0617627F"/>
    <w:rsid w:val="06187434"/>
    <w:rsid w:val="061B09EB"/>
    <w:rsid w:val="061E5D8B"/>
    <w:rsid w:val="062135F5"/>
    <w:rsid w:val="062547F6"/>
    <w:rsid w:val="06262579"/>
    <w:rsid w:val="06267A6F"/>
    <w:rsid w:val="06273411"/>
    <w:rsid w:val="06280911"/>
    <w:rsid w:val="06280A9F"/>
    <w:rsid w:val="062C372C"/>
    <w:rsid w:val="062C6953"/>
    <w:rsid w:val="062D396D"/>
    <w:rsid w:val="0631355A"/>
    <w:rsid w:val="06320C8E"/>
    <w:rsid w:val="06322001"/>
    <w:rsid w:val="06322470"/>
    <w:rsid w:val="06327100"/>
    <w:rsid w:val="06361CA5"/>
    <w:rsid w:val="06363B75"/>
    <w:rsid w:val="0638265E"/>
    <w:rsid w:val="06390644"/>
    <w:rsid w:val="06391541"/>
    <w:rsid w:val="063B1814"/>
    <w:rsid w:val="063D526F"/>
    <w:rsid w:val="063E2B68"/>
    <w:rsid w:val="063F2DCD"/>
    <w:rsid w:val="064001F9"/>
    <w:rsid w:val="064056AF"/>
    <w:rsid w:val="064304D1"/>
    <w:rsid w:val="06441CE9"/>
    <w:rsid w:val="064514E4"/>
    <w:rsid w:val="064514E7"/>
    <w:rsid w:val="06480CA3"/>
    <w:rsid w:val="064A7D46"/>
    <w:rsid w:val="064B22FF"/>
    <w:rsid w:val="064C7F50"/>
    <w:rsid w:val="064D0647"/>
    <w:rsid w:val="064D31EA"/>
    <w:rsid w:val="064F0AEE"/>
    <w:rsid w:val="064F155D"/>
    <w:rsid w:val="064F5782"/>
    <w:rsid w:val="06510EDE"/>
    <w:rsid w:val="0651540A"/>
    <w:rsid w:val="0652351B"/>
    <w:rsid w:val="06533059"/>
    <w:rsid w:val="06541223"/>
    <w:rsid w:val="06541897"/>
    <w:rsid w:val="06551CB2"/>
    <w:rsid w:val="065863C4"/>
    <w:rsid w:val="065B566A"/>
    <w:rsid w:val="065C79A9"/>
    <w:rsid w:val="065D6155"/>
    <w:rsid w:val="065D683C"/>
    <w:rsid w:val="065E5863"/>
    <w:rsid w:val="065E5945"/>
    <w:rsid w:val="065F5A7D"/>
    <w:rsid w:val="0660339C"/>
    <w:rsid w:val="06636A73"/>
    <w:rsid w:val="06654F4A"/>
    <w:rsid w:val="06660072"/>
    <w:rsid w:val="0667686D"/>
    <w:rsid w:val="0668051D"/>
    <w:rsid w:val="066A77E8"/>
    <w:rsid w:val="066A7CB0"/>
    <w:rsid w:val="066B103A"/>
    <w:rsid w:val="066B77DB"/>
    <w:rsid w:val="066C7B49"/>
    <w:rsid w:val="066C7FC9"/>
    <w:rsid w:val="066D7A14"/>
    <w:rsid w:val="06703C80"/>
    <w:rsid w:val="067507BA"/>
    <w:rsid w:val="06795013"/>
    <w:rsid w:val="067960E3"/>
    <w:rsid w:val="067A246F"/>
    <w:rsid w:val="067A313F"/>
    <w:rsid w:val="067F2088"/>
    <w:rsid w:val="068019BE"/>
    <w:rsid w:val="06807A2E"/>
    <w:rsid w:val="06813A6F"/>
    <w:rsid w:val="06850BBC"/>
    <w:rsid w:val="06857F9A"/>
    <w:rsid w:val="06863186"/>
    <w:rsid w:val="068D4A17"/>
    <w:rsid w:val="068F11F0"/>
    <w:rsid w:val="06952512"/>
    <w:rsid w:val="06954916"/>
    <w:rsid w:val="06962333"/>
    <w:rsid w:val="06977582"/>
    <w:rsid w:val="069808E8"/>
    <w:rsid w:val="069817FA"/>
    <w:rsid w:val="06991439"/>
    <w:rsid w:val="069A2BB2"/>
    <w:rsid w:val="069A3ABC"/>
    <w:rsid w:val="069A55F5"/>
    <w:rsid w:val="069D17CA"/>
    <w:rsid w:val="06A03F63"/>
    <w:rsid w:val="06A042E8"/>
    <w:rsid w:val="06A1378F"/>
    <w:rsid w:val="06A376D7"/>
    <w:rsid w:val="06A44DFC"/>
    <w:rsid w:val="06A659C5"/>
    <w:rsid w:val="06A81522"/>
    <w:rsid w:val="06A83E91"/>
    <w:rsid w:val="06AB3111"/>
    <w:rsid w:val="06AC2739"/>
    <w:rsid w:val="06AE4452"/>
    <w:rsid w:val="06B05C66"/>
    <w:rsid w:val="06B431F8"/>
    <w:rsid w:val="06B673A2"/>
    <w:rsid w:val="06B758CD"/>
    <w:rsid w:val="06B7609E"/>
    <w:rsid w:val="06B76D31"/>
    <w:rsid w:val="06B84A0D"/>
    <w:rsid w:val="06BA23EB"/>
    <w:rsid w:val="06BA4C5D"/>
    <w:rsid w:val="06BB4746"/>
    <w:rsid w:val="06BC6A59"/>
    <w:rsid w:val="06BF3390"/>
    <w:rsid w:val="06C00BCA"/>
    <w:rsid w:val="06C53290"/>
    <w:rsid w:val="06C570A6"/>
    <w:rsid w:val="06C86946"/>
    <w:rsid w:val="06C9746E"/>
    <w:rsid w:val="06CE00EF"/>
    <w:rsid w:val="06CF13A6"/>
    <w:rsid w:val="06CF76F9"/>
    <w:rsid w:val="06D3571E"/>
    <w:rsid w:val="06D361A1"/>
    <w:rsid w:val="06D43A1A"/>
    <w:rsid w:val="06D76148"/>
    <w:rsid w:val="06DC7B70"/>
    <w:rsid w:val="06DD00D8"/>
    <w:rsid w:val="06DE09E6"/>
    <w:rsid w:val="06E0100D"/>
    <w:rsid w:val="06E177CF"/>
    <w:rsid w:val="06E2251B"/>
    <w:rsid w:val="06E35AA6"/>
    <w:rsid w:val="06E36CA6"/>
    <w:rsid w:val="06E627CB"/>
    <w:rsid w:val="06E72A18"/>
    <w:rsid w:val="06E80802"/>
    <w:rsid w:val="06EA4E60"/>
    <w:rsid w:val="06EB739C"/>
    <w:rsid w:val="06EB7ED6"/>
    <w:rsid w:val="06EF1926"/>
    <w:rsid w:val="06F03383"/>
    <w:rsid w:val="06F06CE7"/>
    <w:rsid w:val="06F07522"/>
    <w:rsid w:val="06F1400C"/>
    <w:rsid w:val="06F14203"/>
    <w:rsid w:val="06F20FED"/>
    <w:rsid w:val="06F2110E"/>
    <w:rsid w:val="06F557E8"/>
    <w:rsid w:val="06F671FE"/>
    <w:rsid w:val="06F76783"/>
    <w:rsid w:val="06F84F32"/>
    <w:rsid w:val="06FA1671"/>
    <w:rsid w:val="06FA449F"/>
    <w:rsid w:val="06FA48E9"/>
    <w:rsid w:val="06FA73A7"/>
    <w:rsid w:val="06FB1D28"/>
    <w:rsid w:val="06FC3BBB"/>
    <w:rsid w:val="06FD4120"/>
    <w:rsid w:val="06FD4CD4"/>
    <w:rsid w:val="06FE1D5C"/>
    <w:rsid w:val="070047E6"/>
    <w:rsid w:val="0701619B"/>
    <w:rsid w:val="07017AE2"/>
    <w:rsid w:val="0705548B"/>
    <w:rsid w:val="070612DD"/>
    <w:rsid w:val="070A0270"/>
    <w:rsid w:val="070A6473"/>
    <w:rsid w:val="070B3633"/>
    <w:rsid w:val="070C730A"/>
    <w:rsid w:val="07153344"/>
    <w:rsid w:val="07162474"/>
    <w:rsid w:val="07172659"/>
    <w:rsid w:val="07174E10"/>
    <w:rsid w:val="07193599"/>
    <w:rsid w:val="071B32D3"/>
    <w:rsid w:val="071C0CE1"/>
    <w:rsid w:val="0720177F"/>
    <w:rsid w:val="072104E9"/>
    <w:rsid w:val="07224A99"/>
    <w:rsid w:val="0724784C"/>
    <w:rsid w:val="072501AF"/>
    <w:rsid w:val="07251E65"/>
    <w:rsid w:val="072B72C7"/>
    <w:rsid w:val="072D16A5"/>
    <w:rsid w:val="072E7589"/>
    <w:rsid w:val="07315FA9"/>
    <w:rsid w:val="07326FC9"/>
    <w:rsid w:val="0733019F"/>
    <w:rsid w:val="0733112C"/>
    <w:rsid w:val="0735396D"/>
    <w:rsid w:val="07357030"/>
    <w:rsid w:val="07395601"/>
    <w:rsid w:val="073A4CDF"/>
    <w:rsid w:val="073A6D4C"/>
    <w:rsid w:val="073B3AB3"/>
    <w:rsid w:val="073D50AA"/>
    <w:rsid w:val="073D6009"/>
    <w:rsid w:val="073E4CD3"/>
    <w:rsid w:val="073F0313"/>
    <w:rsid w:val="074142DB"/>
    <w:rsid w:val="074458FB"/>
    <w:rsid w:val="0745082D"/>
    <w:rsid w:val="074561EF"/>
    <w:rsid w:val="07466D72"/>
    <w:rsid w:val="07467FD5"/>
    <w:rsid w:val="074A0D58"/>
    <w:rsid w:val="074A6A39"/>
    <w:rsid w:val="074D4A5A"/>
    <w:rsid w:val="074E20C0"/>
    <w:rsid w:val="074F6EE6"/>
    <w:rsid w:val="07517233"/>
    <w:rsid w:val="07544168"/>
    <w:rsid w:val="07550CBC"/>
    <w:rsid w:val="07590432"/>
    <w:rsid w:val="07591263"/>
    <w:rsid w:val="075936B5"/>
    <w:rsid w:val="075E113E"/>
    <w:rsid w:val="075E4F7A"/>
    <w:rsid w:val="075F6551"/>
    <w:rsid w:val="076011C3"/>
    <w:rsid w:val="07602139"/>
    <w:rsid w:val="076031C0"/>
    <w:rsid w:val="07604F21"/>
    <w:rsid w:val="07626A13"/>
    <w:rsid w:val="0763579A"/>
    <w:rsid w:val="07677F78"/>
    <w:rsid w:val="07685A53"/>
    <w:rsid w:val="07695AD7"/>
    <w:rsid w:val="076A1C5B"/>
    <w:rsid w:val="076A7C7E"/>
    <w:rsid w:val="07725428"/>
    <w:rsid w:val="07734A8C"/>
    <w:rsid w:val="07744CAF"/>
    <w:rsid w:val="0777644D"/>
    <w:rsid w:val="077842C4"/>
    <w:rsid w:val="0779338C"/>
    <w:rsid w:val="07797186"/>
    <w:rsid w:val="077B3881"/>
    <w:rsid w:val="077C4639"/>
    <w:rsid w:val="077E44BE"/>
    <w:rsid w:val="07802496"/>
    <w:rsid w:val="07813955"/>
    <w:rsid w:val="07823D26"/>
    <w:rsid w:val="07825502"/>
    <w:rsid w:val="07863723"/>
    <w:rsid w:val="07866AB7"/>
    <w:rsid w:val="07875BBA"/>
    <w:rsid w:val="07880A9C"/>
    <w:rsid w:val="078811E1"/>
    <w:rsid w:val="078B2949"/>
    <w:rsid w:val="078D2712"/>
    <w:rsid w:val="078D7746"/>
    <w:rsid w:val="078E14D8"/>
    <w:rsid w:val="078F74D5"/>
    <w:rsid w:val="07901D94"/>
    <w:rsid w:val="07905630"/>
    <w:rsid w:val="07907D88"/>
    <w:rsid w:val="07915165"/>
    <w:rsid w:val="079213D4"/>
    <w:rsid w:val="079223DA"/>
    <w:rsid w:val="07944370"/>
    <w:rsid w:val="079515A3"/>
    <w:rsid w:val="079724D5"/>
    <w:rsid w:val="07977A1D"/>
    <w:rsid w:val="0798398F"/>
    <w:rsid w:val="079A6DE3"/>
    <w:rsid w:val="079B286B"/>
    <w:rsid w:val="079C0328"/>
    <w:rsid w:val="079C699E"/>
    <w:rsid w:val="07A243FB"/>
    <w:rsid w:val="07A27A98"/>
    <w:rsid w:val="07A85C0F"/>
    <w:rsid w:val="07A87466"/>
    <w:rsid w:val="07AA5DAF"/>
    <w:rsid w:val="07AC4B5A"/>
    <w:rsid w:val="07AE53AA"/>
    <w:rsid w:val="07AE7241"/>
    <w:rsid w:val="07AF211C"/>
    <w:rsid w:val="07B32CDC"/>
    <w:rsid w:val="07B34702"/>
    <w:rsid w:val="07B45B89"/>
    <w:rsid w:val="07B470C6"/>
    <w:rsid w:val="07B654C2"/>
    <w:rsid w:val="07BA3B4E"/>
    <w:rsid w:val="07BA6145"/>
    <w:rsid w:val="07BC0B7C"/>
    <w:rsid w:val="07BD0F5E"/>
    <w:rsid w:val="07BF513A"/>
    <w:rsid w:val="07C27D8F"/>
    <w:rsid w:val="07C5232B"/>
    <w:rsid w:val="07C5701D"/>
    <w:rsid w:val="07C62EEF"/>
    <w:rsid w:val="07C67010"/>
    <w:rsid w:val="07C85F3C"/>
    <w:rsid w:val="07C92979"/>
    <w:rsid w:val="07C96464"/>
    <w:rsid w:val="07CA2BAF"/>
    <w:rsid w:val="07CB4C90"/>
    <w:rsid w:val="07CB6386"/>
    <w:rsid w:val="07CD0F2C"/>
    <w:rsid w:val="07CD1A6C"/>
    <w:rsid w:val="07CD205E"/>
    <w:rsid w:val="07CF2AA3"/>
    <w:rsid w:val="07D158D8"/>
    <w:rsid w:val="07D272FD"/>
    <w:rsid w:val="07D64267"/>
    <w:rsid w:val="07D90471"/>
    <w:rsid w:val="07DA03A7"/>
    <w:rsid w:val="07DA7725"/>
    <w:rsid w:val="07DB2D4D"/>
    <w:rsid w:val="07DC45B6"/>
    <w:rsid w:val="07DF2417"/>
    <w:rsid w:val="07E00937"/>
    <w:rsid w:val="07E24B9D"/>
    <w:rsid w:val="07E32E26"/>
    <w:rsid w:val="07E66375"/>
    <w:rsid w:val="07E833D9"/>
    <w:rsid w:val="07E91EBF"/>
    <w:rsid w:val="07E961F7"/>
    <w:rsid w:val="07EA267B"/>
    <w:rsid w:val="07EA613F"/>
    <w:rsid w:val="07EB36D3"/>
    <w:rsid w:val="07EC39FB"/>
    <w:rsid w:val="07ED22CB"/>
    <w:rsid w:val="07EE0ACF"/>
    <w:rsid w:val="07F0198F"/>
    <w:rsid w:val="07F02BE8"/>
    <w:rsid w:val="07F04E64"/>
    <w:rsid w:val="07F27B3E"/>
    <w:rsid w:val="07F37B7D"/>
    <w:rsid w:val="07F65F11"/>
    <w:rsid w:val="07F660E4"/>
    <w:rsid w:val="07F7140B"/>
    <w:rsid w:val="07F939B6"/>
    <w:rsid w:val="07FB5676"/>
    <w:rsid w:val="07FC7425"/>
    <w:rsid w:val="07FE1292"/>
    <w:rsid w:val="08017A3B"/>
    <w:rsid w:val="08017CC8"/>
    <w:rsid w:val="080252D3"/>
    <w:rsid w:val="08045279"/>
    <w:rsid w:val="08052BE1"/>
    <w:rsid w:val="0805532F"/>
    <w:rsid w:val="08076FF0"/>
    <w:rsid w:val="08090969"/>
    <w:rsid w:val="080A4878"/>
    <w:rsid w:val="080C13CB"/>
    <w:rsid w:val="080E1FE6"/>
    <w:rsid w:val="080F2208"/>
    <w:rsid w:val="081139B1"/>
    <w:rsid w:val="08113A0A"/>
    <w:rsid w:val="08131FB9"/>
    <w:rsid w:val="081356B7"/>
    <w:rsid w:val="081466D4"/>
    <w:rsid w:val="081516E0"/>
    <w:rsid w:val="08171091"/>
    <w:rsid w:val="08181A96"/>
    <w:rsid w:val="0818291D"/>
    <w:rsid w:val="08185064"/>
    <w:rsid w:val="08191D6C"/>
    <w:rsid w:val="081C4CDD"/>
    <w:rsid w:val="081E31F8"/>
    <w:rsid w:val="08243463"/>
    <w:rsid w:val="08250B1F"/>
    <w:rsid w:val="0825571B"/>
    <w:rsid w:val="08260D63"/>
    <w:rsid w:val="08284028"/>
    <w:rsid w:val="08297626"/>
    <w:rsid w:val="082B1BA5"/>
    <w:rsid w:val="082C1399"/>
    <w:rsid w:val="082D014E"/>
    <w:rsid w:val="082E2B35"/>
    <w:rsid w:val="082F6EEA"/>
    <w:rsid w:val="08304D15"/>
    <w:rsid w:val="083050B5"/>
    <w:rsid w:val="083233C8"/>
    <w:rsid w:val="083247F6"/>
    <w:rsid w:val="08331CB8"/>
    <w:rsid w:val="08333A7B"/>
    <w:rsid w:val="08350492"/>
    <w:rsid w:val="08354E5E"/>
    <w:rsid w:val="083744BC"/>
    <w:rsid w:val="0838139B"/>
    <w:rsid w:val="083878F0"/>
    <w:rsid w:val="083B0010"/>
    <w:rsid w:val="083B016C"/>
    <w:rsid w:val="083B5A8A"/>
    <w:rsid w:val="083E22FD"/>
    <w:rsid w:val="083E6459"/>
    <w:rsid w:val="083F127C"/>
    <w:rsid w:val="083F363C"/>
    <w:rsid w:val="084350A6"/>
    <w:rsid w:val="084377D6"/>
    <w:rsid w:val="08440EC6"/>
    <w:rsid w:val="0845538F"/>
    <w:rsid w:val="08474DD5"/>
    <w:rsid w:val="084806AB"/>
    <w:rsid w:val="08490482"/>
    <w:rsid w:val="084B0661"/>
    <w:rsid w:val="084B20FF"/>
    <w:rsid w:val="084B5FEB"/>
    <w:rsid w:val="084F55A9"/>
    <w:rsid w:val="0851002C"/>
    <w:rsid w:val="08523AED"/>
    <w:rsid w:val="08531C83"/>
    <w:rsid w:val="08533B42"/>
    <w:rsid w:val="08536FC9"/>
    <w:rsid w:val="0858140E"/>
    <w:rsid w:val="08581F3B"/>
    <w:rsid w:val="085850AE"/>
    <w:rsid w:val="08592AC0"/>
    <w:rsid w:val="08596BF3"/>
    <w:rsid w:val="085C3D46"/>
    <w:rsid w:val="085D4AA1"/>
    <w:rsid w:val="085E4B4B"/>
    <w:rsid w:val="085F79B4"/>
    <w:rsid w:val="08606B01"/>
    <w:rsid w:val="086213A6"/>
    <w:rsid w:val="08627790"/>
    <w:rsid w:val="08645491"/>
    <w:rsid w:val="08681909"/>
    <w:rsid w:val="08687B09"/>
    <w:rsid w:val="086A2AA4"/>
    <w:rsid w:val="086A411E"/>
    <w:rsid w:val="086B3754"/>
    <w:rsid w:val="086F0330"/>
    <w:rsid w:val="08706CCB"/>
    <w:rsid w:val="0872178A"/>
    <w:rsid w:val="087542F8"/>
    <w:rsid w:val="0875689A"/>
    <w:rsid w:val="087931A3"/>
    <w:rsid w:val="08795F96"/>
    <w:rsid w:val="088070BF"/>
    <w:rsid w:val="088211C3"/>
    <w:rsid w:val="08836D53"/>
    <w:rsid w:val="08842CDE"/>
    <w:rsid w:val="088536CA"/>
    <w:rsid w:val="088C01E9"/>
    <w:rsid w:val="088C1761"/>
    <w:rsid w:val="088D48B0"/>
    <w:rsid w:val="088E2145"/>
    <w:rsid w:val="08924CC8"/>
    <w:rsid w:val="08931B6E"/>
    <w:rsid w:val="08936246"/>
    <w:rsid w:val="08970CB7"/>
    <w:rsid w:val="089940FB"/>
    <w:rsid w:val="089975D5"/>
    <w:rsid w:val="08997D22"/>
    <w:rsid w:val="089A221F"/>
    <w:rsid w:val="089B5299"/>
    <w:rsid w:val="089C4885"/>
    <w:rsid w:val="089E2036"/>
    <w:rsid w:val="089F16B0"/>
    <w:rsid w:val="089F6E14"/>
    <w:rsid w:val="08A1472A"/>
    <w:rsid w:val="08A27C44"/>
    <w:rsid w:val="08A27FA1"/>
    <w:rsid w:val="08A3411A"/>
    <w:rsid w:val="08A455F9"/>
    <w:rsid w:val="08AC1733"/>
    <w:rsid w:val="08AE1D92"/>
    <w:rsid w:val="08AE797C"/>
    <w:rsid w:val="08B12AB4"/>
    <w:rsid w:val="08B32036"/>
    <w:rsid w:val="08B33EFD"/>
    <w:rsid w:val="08B54FA5"/>
    <w:rsid w:val="08B652E7"/>
    <w:rsid w:val="08B751FD"/>
    <w:rsid w:val="08BD0039"/>
    <w:rsid w:val="08BD146A"/>
    <w:rsid w:val="08BD1CE7"/>
    <w:rsid w:val="08BE22F3"/>
    <w:rsid w:val="08C42197"/>
    <w:rsid w:val="08C4353F"/>
    <w:rsid w:val="08C51B08"/>
    <w:rsid w:val="08C5676F"/>
    <w:rsid w:val="08C64420"/>
    <w:rsid w:val="08C906CC"/>
    <w:rsid w:val="08C90C91"/>
    <w:rsid w:val="08CC0BCD"/>
    <w:rsid w:val="08CF0E50"/>
    <w:rsid w:val="08CF216E"/>
    <w:rsid w:val="08CF7E6F"/>
    <w:rsid w:val="08D06757"/>
    <w:rsid w:val="08D10A66"/>
    <w:rsid w:val="08D11910"/>
    <w:rsid w:val="08D32B0C"/>
    <w:rsid w:val="08D44BE5"/>
    <w:rsid w:val="08D51041"/>
    <w:rsid w:val="08D64FB1"/>
    <w:rsid w:val="08DA661B"/>
    <w:rsid w:val="08DA6B8C"/>
    <w:rsid w:val="08DB0D58"/>
    <w:rsid w:val="08DC4843"/>
    <w:rsid w:val="08DF3E04"/>
    <w:rsid w:val="08E162BE"/>
    <w:rsid w:val="08E707EB"/>
    <w:rsid w:val="08E74BD5"/>
    <w:rsid w:val="08E77325"/>
    <w:rsid w:val="08E919A0"/>
    <w:rsid w:val="08EB3D3E"/>
    <w:rsid w:val="08ED1897"/>
    <w:rsid w:val="08ED37FB"/>
    <w:rsid w:val="08ED7543"/>
    <w:rsid w:val="08EE2A4D"/>
    <w:rsid w:val="08F33463"/>
    <w:rsid w:val="08F44081"/>
    <w:rsid w:val="08F46116"/>
    <w:rsid w:val="08F52A0F"/>
    <w:rsid w:val="08F641BC"/>
    <w:rsid w:val="08F7703F"/>
    <w:rsid w:val="08F955D7"/>
    <w:rsid w:val="08F966F0"/>
    <w:rsid w:val="08FA6A78"/>
    <w:rsid w:val="08FB010D"/>
    <w:rsid w:val="08FB3854"/>
    <w:rsid w:val="08FC7A60"/>
    <w:rsid w:val="08FD1574"/>
    <w:rsid w:val="08FD23F3"/>
    <w:rsid w:val="08FE2050"/>
    <w:rsid w:val="08FE6724"/>
    <w:rsid w:val="0900203C"/>
    <w:rsid w:val="090046F8"/>
    <w:rsid w:val="090107D7"/>
    <w:rsid w:val="09020744"/>
    <w:rsid w:val="090273D4"/>
    <w:rsid w:val="09036AFC"/>
    <w:rsid w:val="09051740"/>
    <w:rsid w:val="09067415"/>
    <w:rsid w:val="090712F8"/>
    <w:rsid w:val="09084985"/>
    <w:rsid w:val="09096DD7"/>
    <w:rsid w:val="090971CF"/>
    <w:rsid w:val="090F6CE6"/>
    <w:rsid w:val="091276D4"/>
    <w:rsid w:val="09132A90"/>
    <w:rsid w:val="09187C61"/>
    <w:rsid w:val="091933CA"/>
    <w:rsid w:val="091967EB"/>
    <w:rsid w:val="09196C4E"/>
    <w:rsid w:val="091A6851"/>
    <w:rsid w:val="091D174F"/>
    <w:rsid w:val="091D6765"/>
    <w:rsid w:val="091E4278"/>
    <w:rsid w:val="091F06B9"/>
    <w:rsid w:val="09201DC3"/>
    <w:rsid w:val="0921120A"/>
    <w:rsid w:val="09226A1A"/>
    <w:rsid w:val="09234D0E"/>
    <w:rsid w:val="09253B0A"/>
    <w:rsid w:val="092604AB"/>
    <w:rsid w:val="0927367B"/>
    <w:rsid w:val="0928347E"/>
    <w:rsid w:val="092843B5"/>
    <w:rsid w:val="092C00FE"/>
    <w:rsid w:val="092C14E5"/>
    <w:rsid w:val="092E571C"/>
    <w:rsid w:val="092F7A9D"/>
    <w:rsid w:val="093254A9"/>
    <w:rsid w:val="09345919"/>
    <w:rsid w:val="0935250E"/>
    <w:rsid w:val="09354CFE"/>
    <w:rsid w:val="093565E7"/>
    <w:rsid w:val="09367D9F"/>
    <w:rsid w:val="0937655B"/>
    <w:rsid w:val="09380E75"/>
    <w:rsid w:val="093A10CE"/>
    <w:rsid w:val="093A572B"/>
    <w:rsid w:val="093A5FD3"/>
    <w:rsid w:val="093B3977"/>
    <w:rsid w:val="093C24B4"/>
    <w:rsid w:val="093D61C0"/>
    <w:rsid w:val="093E4D0D"/>
    <w:rsid w:val="093F543C"/>
    <w:rsid w:val="09400DB7"/>
    <w:rsid w:val="09407340"/>
    <w:rsid w:val="0941042E"/>
    <w:rsid w:val="09412DAF"/>
    <w:rsid w:val="09424C46"/>
    <w:rsid w:val="094274AC"/>
    <w:rsid w:val="09447914"/>
    <w:rsid w:val="09450803"/>
    <w:rsid w:val="09455944"/>
    <w:rsid w:val="09475BD6"/>
    <w:rsid w:val="09484CC0"/>
    <w:rsid w:val="094C1209"/>
    <w:rsid w:val="094D2862"/>
    <w:rsid w:val="094D4435"/>
    <w:rsid w:val="094E5BDC"/>
    <w:rsid w:val="09505D91"/>
    <w:rsid w:val="095159F9"/>
    <w:rsid w:val="09521D12"/>
    <w:rsid w:val="09525743"/>
    <w:rsid w:val="09526EF8"/>
    <w:rsid w:val="09531F2E"/>
    <w:rsid w:val="09551D84"/>
    <w:rsid w:val="09562670"/>
    <w:rsid w:val="095760F1"/>
    <w:rsid w:val="09576B89"/>
    <w:rsid w:val="095A59E1"/>
    <w:rsid w:val="095F1BB8"/>
    <w:rsid w:val="095F3259"/>
    <w:rsid w:val="096028C6"/>
    <w:rsid w:val="09621ED8"/>
    <w:rsid w:val="09627E07"/>
    <w:rsid w:val="09643FD0"/>
    <w:rsid w:val="0965772D"/>
    <w:rsid w:val="09663579"/>
    <w:rsid w:val="09664897"/>
    <w:rsid w:val="09665A50"/>
    <w:rsid w:val="09675E3E"/>
    <w:rsid w:val="09686B64"/>
    <w:rsid w:val="09690EEF"/>
    <w:rsid w:val="09692B57"/>
    <w:rsid w:val="096A1817"/>
    <w:rsid w:val="09737221"/>
    <w:rsid w:val="09751761"/>
    <w:rsid w:val="09760FB1"/>
    <w:rsid w:val="09771305"/>
    <w:rsid w:val="097F157A"/>
    <w:rsid w:val="097F754C"/>
    <w:rsid w:val="09824B3E"/>
    <w:rsid w:val="098B5D45"/>
    <w:rsid w:val="098C1C48"/>
    <w:rsid w:val="098C21DF"/>
    <w:rsid w:val="098C3B38"/>
    <w:rsid w:val="098F5AC3"/>
    <w:rsid w:val="09920652"/>
    <w:rsid w:val="09930FCD"/>
    <w:rsid w:val="09937E11"/>
    <w:rsid w:val="09954225"/>
    <w:rsid w:val="09964162"/>
    <w:rsid w:val="09965256"/>
    <w:rsid w:val="099A0680"/>
    <w:rsid w:val="099B4D52"/>
    <w:rsid w:val="099C4187"/>
    <w:rsid w:val="099E62DB"/>
    <w:rsid w:val="09A06A83"/>
    <w:rsid w:val="09A12B06"/>
    <w:rsid w:val="09A64D43"/>
    <w:rsid w:val="09A66A48"/>
    <w:rsid w:val="09A70EFF"/>
    <w:rsid w:val="09A70F7A"/>
    <w:rsid w:val="09A76B3F"/>
    <w:rsid w:val="09A87365"/>
    <w:rsid w:val="09A9541F"/>
    <w:rsid w:val="09AA703E"/>
    <w:rsid w:val="09AA7CF0"/>
    <w:rsid w:val="09AB1D4F"/>
    <w:rsid w:val="09AB3861"/>
    <w:rsid w:val="09AE3042"/>
    <w:rsid w:val="09AF3468"/>
    <w:rsid w:val="09B171AF"/>
    <w:rsid w:val="09B36010"/>
    <w:rsid w:val="09B430E8"/>
    <w:rsid w:val="09B5579E"/>
    <w:rsid w:val="09B72E16"/>
    <w:rsid w:val="09B82D40"/>
    <w:rsid w:val="09B910F6"/>
    <w:rsid w:val="09BB0FCD"/>
    <w:rsid w:val="09BB16FD"/>
    <w:rsid w:val="09BC343A"/>
    <w:rsid w:val="09BC52CB"/>
    <w:rsid w:val="09BC7D0D"/>
    <w:rsid w:val="09C00A4B"/>
    <w:rsid w:val="09C06122"/>
    <w:rsid w:val="09C06979"/>
    <w:rsid w:val="09C352F5"/>
    <w:rsid w:val="09C43C84"/>
    <w:rsid w:val="09C44FB8"/>
    <w:rsid w:val="09C522AA"/>
    <w:rsid w:val="09C75084"/>
    <w:rsid w:val="09CA0885"/>
    <w:rsid w:val="09CA3F71"/>
    <w:rsid w:val="09CB257C"/>
    <w:rsid w:val="09CB48B2"/>
    <w:rsid w:val="09CE5A45"/>
    <w:rsid w:val="09D20786"/>
    <w:rsid w:val="09D36B35"/>
    <w:rsid w:val="09D5367A"/>
    <w:rsid w:val="09D861C8"/>
    <w:rsid w:val="09DA3BB1"/>
    <w:rsid w:val="09DB0211"/>
    <w:rsid w:val="09DC5DD5"/>
    <w:rsid w:val="09DD28F6"/>
    <w:rsid w:val="09DF0729"/>
    <w:rsid w:val="09E14CD3"/>
    <w:rsid w:val="09E22DF5"/>
    <w:rsid w:val="09E232C8"/>
    <w:rsid w:val="09E32175"/>
    <w:rsid w:val="09E37F2E"/>
    <w:rsid w:val="09E430C9"/>
    <w:rsid w:val="09E82896"/>
    <w:rsid w:val="09E87750"/>
    <w:rsid w:val="09E96589"/>
    <w:rsid w:val="09E977F7"/>
    <w:rsid w:val="09EB57C4"/>
    <w:rsid w:val="09EF5B65"/>
    <w:rsid w:val="09F02FBF"/>
    <w:rsid w:val="09F04952"/>
    <w:rsid w:val="09F27C01"/>
    <w:rsid w:val="09F35458"/>
    <w:rsid w:val="09F377E9"/>
    <w:rsid w:val="09F50923"/>
    <w:rsid w:val="09F54A6B"/>
    <w:rsid w:val="09F734F2"/>
    <w:rsid w:val="09F841AB"/>
    <w:rsid w:val="09F95820"/>
    <w:rsid w:val="09FC02FC"/>
    <w:rsid w:val="09FC7B17"/>
    <w:rsid w:val="09FE6D7C"/>
    <w:rsid w:val="0A001ECA"/>
    <w:rsid w:val="0A060877"/>
    <w:rsid w:val="0A083BB4"/>
    <w:rsid w:val="0A096920"/>
    <w:rsid w:val="0A0D5B26"/>
    <w:rsid w:val="0A1034AC"/>
    <w:rsid w:val="0A112498"/>
    <w:rsid w:val="0A12376A"/>
    <w:rsid w:val="0A14461D"/>
    <w:rsid w:val="0A156F9D"/>
    <w:rsid w:val="0A1855F5"/>
    <w:rsid w:val="0A197656"/>
    <w:rsid w:val="0A1B7B43"/>
    <w:rsid w:val="0A1D5128"/>
    <w:rsid w:val="0A1D5D3D"/>
    <w:rsid w:val="0A1F362B"/>
    <w:rsid w:val="0A1F6E55"/>
    <w:rsid w:val="0A210290"/>
    <w:rsid w:val="0A2558D5"/>
    <w:rsid w:val="0A2779FF"/>
    <w:rsid w:val="0A2833CB"/>
    <w:rsid w:val="0A2A706E"/>
    <w:rsid w:val="0A2B1DCC"/>
    <w:rsid w:val="0A2C2648"/>
    <w:rsid w:val="0A2F0E20"/>
    <w:rsid w:val="0A2F3948"/>
    <w:rsid w:val="0A305462"/>
    <w:rsid w:val="0A311FFA"/>
    <w:rsid w:val="0A321121"/>
    <w:rsid w:val="0A321483"/>
    <w:rsid w:val="0A343712"/>
    <w:rsid w:val="0A386769"/>
    <w:rsid w:val="0A3B7DFA"/>
    <w:rsid w:val="0A3E2843"/>
    <w:rsid w:val="0A3E3CE5"/>
    <w:rsid w:val="0A3E51F4"/>
    <w:rsid w:val="0A442DA3"/>
    <w:rsid w:val="0A442E8F"/>
    <w:rsid w:val="0A4461D7"/>
    <w:rsid w:val="0A461BBF"/>
    <w:rsid w:val="0A496011"/>
    <w:rsid w:val="0A4A0312"/>
    <w:rsid w:val="0A4B25C0"/>
    <w:rsid w:val="0A4D0033"/>
    <w:rsid w:val="0A4D6D79"/>
    <w:rsid w:val="0A4D7E7F"/>
    <w:rsid w:val="0A4E288E"/>
    <w:rsid w:val="0A5019D7"/>
    <w:rsid w:val="0A540A87"/>
    <w:rsid w:val="0A541BC3"/>
    <w:rsid w:val="0A545BB4"/>
    <w:rsid w:val="0A574051"/>
    <w:rsid w:val="0A5776C0"/>
    <w:rsid w:val="0A591ADA"/>
    <w:rsid w:val="0A5A5D12"/>
    <w:rsid w:val="0A5B1870"/>
    <w:rsid w:val="0A5B1AE2"/>
    <w:rsid w:val="0A5B2DF2"/>
    <w:rsid w:val="0A5D1EE9"/>
    <w:rsid w:val="0A5F55C0"/>
    <w:rsid w:val="0A6029FF"/>
    <w:rsid w:val="0A624C42"/>
    <w:rsid w:val="0A630699"/>
    <w:rsid w:val="0A6543C0"/>
    <w:rsid w:val="0A65720C"/>
    <w:rsid w:val="0A671677"/>
    <w:rsid w:val="0A675617"/>
    <w:rsid w:val="0A682FEC"/>
    <w:rsid w:val="0A693CE2"/>
    <w:rsid w:val="0A694E69"/>
    <w:rsid w:val="0A6B19F2"/>
    <w:rsid w:val="0A6C1AB5"/>
    <w:rsid w:val="0A6F5492"/>
    <w:rsid w:val="0A71100F"/>
    <w:rsid w:val="0A7551DE"/>
    <w:rsid w:val="0A7759D7"/>
    <w:rsid w:val="0A7A160E"/>
    <w:rsid w:val="0A7A2A49"/>
    <w:rsid w:val="0A7B07D7"/>
    <w:rsid w:val="0A7C1131"/>
    <w:rsid w:val="0A7C2848"/>
    <w:rsid w:val="0A7D332E"/>
    <w:rsid w:val="0A7D3FD8"/>
    <w:rsid w:val="0A7D5D94"/>
    <w:rsid w:val="0A7E24A5"/>
    <w:rsid w:val="0A7E4672"/>
    <w:rsid w:val="0A7E47A4"/>
    <w:rsid w:val="0A800988"/>
    <w:rsid w:val="0A804037"/>
    <w:rsid w:val="0A852EC7"/>
    <w:rsid w:val="0A857C10"/>
    <w:rsid w:val="0A87611C"/>
    <w:rsid w:val="0A8857B9"/>
    <w:rsid w:val="0A8B34A7"/>
    <w:rsid w:val="0A8D677D"/>
    <w:rsid w:val="0A8E6EC0"/>
    <w:rsid w:val="0A8F6ECB"/>
    <w:rsid w:val="0A9036BA"/>
    <w:rsid w:val="0A916CE5"/>
    <w:rsid w:val="0A94452C"/>
    <w:rsid w:val="0A960CFF"/>
    <w:rsid w:val="0A9737AB"/>
    <w:rsid w:val="0A973A9E"/>
    <w:rsid w:val="0A99244E"/>
    <w:rsid w:val="0A996B3D"/>
    <w:rsid w:val="0A9B3FDA"/>
    <w:rsid w:val="0A9C6CBC"/>
    <w:rsid w:val="0AA2701F"/>
    <w:rsid w:val="0AA47416"/>
    <w:rsid w:val="0AA8431E"/>
    <w:rsid w:val="0AAA5A45"/>
    <w:rsid w:val="0AAB1BFA"/>
    <w:rsid w:val="0AAB4CC2"/>
    <w:rsid w:val="0AAC6085"/>
    <w:rsid w:val="0AAF6691"/>
    <w:rsid w:val="0AB165F6"/>
    <w:rsid w:val="0AB87BCC"/>
    <w:rsid w:val="0AB92AA0"/>
    <w:rsid w:val="0ABA14E1"/>
    <w:rsid w:val="0ABA49DD"/>
    <w:rsid w:val="0ABE616F"/>
    <w:rsid w:val="0ABF2C0A"/>
    <w:rsid w:val="0AC208E7"/>
    <w:rsid w:val="0AC2143E"/>
    <w:rsid w:val="0AC23AEA"/>
    <w:rsid w:val="0AC318DD"/>
    <w:rsid w:val="0AC362F0"/>
    <w:rsid w:val="0AC4597D"/>
    <w:rsid w:val="0AC82946"/>
    <w:rsid w:val="0AC845A7"/>
    <w:rsid w:val="0ACC161E"/>
    <w:rsid w:val="0ACE0893"/>
    <w:rsid w:val="0ACE4B0F"/>
    <w:rsid w:val="0ACF4581"/>
    <w:rsid w:val="0ACF6E06"/>
    <w:rsid w:val="0AD22925"/>
    <w:rsid w:val="0AD315A6"/>
    <w:rsid w:val="0AD45FCC"/>
    <w:rsid w:val="0AD47A22"/>
    <w:rsid w:val="0AD51078"/>
    <w:rsid w:val="0AD710CF"/>
    <w:rsid w:val="0AD716C7"/>
    <w:rsid w:val="0AD72467"/>
    <w:rsid w:val="0AD836FD"/>
    <w:rsid w:val="0AD851D6"/>
    <w:rsid w:val="0AD96319"/>
    <w:rsid w:val="0ADB6781"/>
    <w:rsid w:val="0ADC578F"/>
    <w:rsid w:val="0ADC668E"/>
    <w:rsid w:val="0ADD7065"/>
    <w:rsid w:val="0ADE48CA"/>
    <w:rsid w:val="0AE05E97"/>
    <w:rsid w:val="0AE278DD"/>
    <w:rsid w:val="0AE43C92"/>
    <w:rsid w:val="0AE468E9"/>
    <w:rsid w:val="0AE76B81"/>
    <w:rsid w:val="0AE9464C"/>
    <w:rsid w:val="0AEA377A"/>
    <w:rsid w:val="0AEB021C"/>
    <w:rsid w:val="0AEB058E"/>
    <w:rsid w:val="0AED0825"/>
    <w:rsid w:val="0AEE198E"/>
    <w:rsid w:val="0AEE7794"/>
    <w:rsid w:val="0AEF283A"/>
    <w:rsid w:val="0AF05D13"/>
    <w:rsid w:val="0AF62801"/>
    <w:rsid w:val="0AF6709A"/>
    <w:rsid w:val="0AF7154C"/>
    <w:rsid w:val="0AF93545"/>
    <w:rsid w:val="0AFA1EE6"/>
    <w:rsid w:val="0AFA47FC"/>
    <w:rsid w:val="0AFA4D45"/>
    <w:rsid w:val="0AFB0A40"/>
    <w:rsid w:val="0AFC3D78"/>
    <w:rsid w:val="0AFC49DB"/>
    <w:rsid w:val="0AFF72FF"/>
    <w:rsid w:val="0B023A35"/>
    <w:rsid w:val="0B073A7B"/>
    <w:rsid w:val="0B095877"/>
    <w:rsid w:val="0B0B3F73"/>
    <w:rsid w:val="0B0C1639"/>
    <w:rsid w:val="0B0C1C2C"/>
    <w:rsid w:val="0B0D2524"/>
    <w:rsid w:val="0B0F1460"/>
    <w:rsid w:val="0B0F5201"/>
    <w:rsid w:val="0B114513"/>
    <w:rsid w:val="0B155AE1"/>
    <w:rsid w:val="0B160506"/>
    <w:rsid w:val="0B1818E5"/>
    <w:rsid w:val="0B187092"/>
    <w:rsid w:val="0B190B5D"/>
    <w:rsid w:val="0B1B3616"/>
    <w:rsid w:val="0B1C11C0"/>
    <w:rsid w:val="0B1D5253"/>
    <w:rsid w:val="0B1F12A8"/>
    <w:rsid w:val="0B1F1A2F"/>
    <w:rsid w:val="0B221BC5"/>
    <w:rsid w:val="0B2349EA"/>
    <w:rsid w:val="0B262B93"/>
    <w:rsid w:val="0B2B185D"/>
    <w:rsid w:val="0B310591"/>
    <w:rsid w:val="0B317F28"/>
    <w:rsid w:val="0B323B6A"/>
    <w:rsid w:val="0B3355C5"/>
    <w:rsid w:val="0B356F32"/>
    <w:rsid w:val="0B36024F"/>
    <w:rsid w:val="0B363FDD"/>
    <w:rsid w:val="0B37621B"/>
    <w:rsid w:val="0B385121"/>
    <w:rsid w:val="0B397344"/>
    <w:rsid w:val="0B3B3BFE"/>
    <w:rsid w:val="0B3C2C2D"/>
    <w:rsid w:val="0B3C2FD8"/>
    <w:rsid w:val="0B3C6291"/>
    <w:rsid w:val="0B3F287E"/>
    <w:rsid w:val="0B42044F"/>
    <w:rsid w:val="0B4352E7"/>
    <w:rsid w:val="0B442A7D"/>
    <w:rsid w:val="0B463D1B"/>
    <w:rsid w:val="0B466A49"/>
    <w:rsid w:val="0B477674"/>
    <w:rsid w:val="0B556E6C"/>
    <w:rsid w:val="0B557816"/>
    <w:rsid w:val="0B561928"/>
    <w:rsid w:val="0B593860"/>
    <w:rsid w:val="0B5B2411"/>
    <w:rsid w:val="0B5C2A40"/>
    <w:rsid w:val="0B5D27CD"/>
    <w:rsid w:val="0B5D6658"/>
    <w:rsid w:val="0B5E7BF6"/>
    <w:rsid w:val="0B5F183F"/>
    <w:rsid w:val="0B5F2661"/>
    <w:rsid w:val="0B5F3256"/>
    <w:rsid w:val="0B5F7740"/>
    <w:rsid w:val="0B6129B7"/>
    <w:rsid w:val="0B624994"/>
    <w:rsid w:val="0B640183"/>
    <w:rsid w:val="0B6558F0"/>
    <w:rsid w:val="0B665539"/>
    <w:rsid w:val="0B676E3E"/>
    <w:rsid w:val="0B683999"/>
    <w:rsid w:val="0B6C330B"/>
    <w:rsid w:val="0B6C659E"/>
    <w:rsid w:val="0B6D42DC"/>
    <w:rsid w:val="0B6D745B"/>
    <w:rsid w:val="0B7224B2"/>
    <w:rsid w:val="0B7360CA"/>
    <w:rsid w:val="0B771ACF"/>
    <w:rsid w:val="0B776BE8"/>
    <w:rsid w:val="0B780656"/>
    <w:rsid w:val="0B7848E2"/>
    <w:rsid w:val="0B795D5E"/>
    <w:rsid w:val="0B7B21B4"/>
    <w:rsid w:val="0B7B3249"/>
    <w:rsid w:val="0B7B5702"/>
    <w:rsid w:val="0B7B5F66"/>
    <w:rsid w:val="0B7F770A"/>
    <w:rsid w:val="0B80639B"/>
    <w:rsid w:val="0B82138C"/>
    <w:rsid w:val="0B827882"/>
    <w:rsid w:val="0B83054A"/>
    <w:rsid w:val="0B840086"/>
    <w:rsid w:val="0B842808"/>
    <w:rsid w:val="0B8438E7"/>
    <w:rsid w:val="0B857BA7"/>
    <w:rsid w:val="0B8707D1"/>
    <w:rsid w:val="0B8709D0"/>
    <w:rsid w:val="0B880F64"/>
    <w:rsid w:val="0B884099"/>
    <w:rsid w:val="0B8A7A8F"/>
    <w:rsid w:val="0B8B260B"/>
    <w:rsid w:val="0B8C71DB"/>
    <w:rsid w:val="0B8D62C2"/>
    <w:rsid w:val="0B8D6A39"/>
    <w:rsid w:val="0B8F66EF"/>
    <w:rsid w:val="0B906617"/>
    <w:rsid w:val="0B914C2B"/>
    <w:rsid w:val="0B917F52"/>
    <w:rsid w:val="0B9347FF"/>
    <w:rsid w:val="0B936524"/>
    <w:rsid w:val="0B93743C"/>
    <w:rsid w:val="0B97796D"/>
    <w:rsid w:val="0B9A44E2"/>
    <w:rsid w:val="0B9A5810"/>
    <w:rsid w:val="0B9A6591"/>
    <w:rsid w:val="0B9B549B"/>
    <w:rsid w:val="0B9E323B"/>
    <w:rsid w:val="0B9F0CD4"/>
    <w:rsid w:val="0BA0101C"/>
    <w:rsid w:val="0BA038F7"/>
    <w:rsid w:val="0BA0612B"/>
    <w:rsid w:val="0BA068CC"/>
    <w:rsid w:val="0BA10F06"/>
    <w:rsid w:val="0BA637D3"/>
    <w:rsid w:val="0BAB6A90"/>
    <w:rsid w:val="0BAC2C41"/>
    <w:rsid w:val="0BAC6931"/>
    <w:rsid w:val="0BAE1488"/>
    <w:rsid w:val="0BB01A1F"/>
    <w:rsid w:val="0BB175A8"/>
    <w:rsid w:val="0BB178D2"/>
    <w:rsid w:val="0BB2749E"/>
    <w:rsid w:val="0BB576E5"/>
    <w:rsid w:val="0BB8181D"/>
    <w:rsid w:val="0BB85129"/>
    <w:rsid w:val="0BB8589E"/>
    <w:rsid w:val="0BB97152"/>
    <w:rsid w:val="0BBA14F1"/>
    <w:rsid w:val="0BBC4F01"/>
    <w:rsid w:val="0BBD1FD8"/>
    <w:rsid w:val="0BBE479C"/>
    <w:rsid w:val="0BBE68C7"/>
    <w:rsid w:val="0BBE6B26"/>
    <w:rsid w:val="0BBF3C3A"/>
    <w:rsid w:val="0BC01475"/>
    <w:rsid w:val="0BC03CBA"/>
    <w:rsid w:val="0BC21E1F"/>
    <w:rsid w:val="0BC41A94"/>
    <w:rsid w:val="0BC41D63"/>
    <w:rsid w:val="0BC72D4D"/>
    <w:rsid w:val="0BC85C69"/>
    <w:rsid w:val="0BCA0804"/>
    <w:rsid w:val="0BCA3FCB"/>
    <w:rsid w:val="0BCA614A"/>
    <w:rsid w:val="0BCC2991"/>
    <w:rsid w:val="0BCD42E6"/>
    <w:rsid w:val="0BCD65C1"/>
    <w:rsid w:val="0BCF3848"/>
    <w:rsid w:val="0BD224EF"/>
    <w:rsid w:val="0BD37BF9"/>
    <w:rsid w:val="0BD5207F"/>
    <w:rsid w:val="0BD726B4"/>
    <w:rsid w:val="0BD94667"/>
    <w:rsid w:val="0BD94A33"/>
    <w:rsid w:val="0BDA185F"/>
    <w:rsid w:val="0BDA7F07"/>
    <w:rsid w:val="0BDC30AD"/>
    <w:rsid w:val="0BDD428E"/>
    <w:rsid w:val="0BDE3391"/>
    <w:rsid w:val="0BDE49E4"/>
    <w:rsid w:val="0BDE6E76"/>
    <w:rsid w:val="0BDF09D3"/>
    <w:rsid w:val="0BDF167C"/>
    <w:rsid w:val="0BE071C2"/>
    <w:rsid w:val="0BE129D4"/>
    <w:rsid w:val="0BE17F5C"/>
    <w:rsid w:val="0BE23CD5"/>
    <w:rsid w:val="0BE260CB"/>
    <w:rsid w:val="0BE26CE4"/>
    <w:rsid w:val="0BE32068"/>
    <w:rsid w:val="0BE3310B"/>
    <w:rsid w:val="0BE37325"/>
    <w:rsid w:val="0BE423E8"/>
    <w:rsid w:val="0BE66352"/>
    <w:rsid w:val="0BE76237"/>
    <w:rsid w:val="0BE85343"/>
    <w:rsid w:val="0BEB23F6"/>
    <w:rsid w:val="0BEB70B1"/>
    <w:rsid w:val="0BEF0E9C"/>
    <w:rsid w:val="0BEF4A3E"/>
    <w:rsid w:val="0BF23AB5"/>
    <w:rsid w:val="0BF40967"/>
    <w:rsid w:val="0BF44821"/>
    <w:rsid w:val="0BF55CC3"/>
    <w:rsid w:val="0BF6264C"/>
    <w:rsid w:val="0BF700AD"/>
    <w:rsid w:val="0BF7285E"/>
    <w:rsid w:val="0BF95945"/>
    <w:rsid w:val="0BFC79B3"/>
    <w:rsid w:val="0BFD1429"/>
    <w:rsid w:val="0BFD634D"/>
    <w:rsid w:val="0BFD6C90"/>
    <w:rsid w:val="0BFE3459"/>
    <w:rsid w:val="0BFE6E05"/>
    <w:rsid w:val="0C004303"/>
    <w:rsid w:val="0C012B83"/>
    <w:rsid w:val="0C014FC4"/>
    <w:rsid w:val="0C06142A"/>
    <w:rsid w:val="0C063C3D"/>
    <w:rsid w:val="0C077203"/>
    <w:rsid w:val="0C0A2CBC"/>
    <w:rsid w:val="0C0C7417"/>
    <w:rsid w:val="0C0D54D2"/>
    <w:rsid w:val="0C1063A2"/>
    <w:rsid w:val="0C11096B"/>
    <w:rsid w:val="0C130655"/>
    <w:rsid w:val="0C135790"/>
    <w:rsid w:val="0C146842"/>
    <w:rsid w:val="0C17420B"/>
    <w:rsid w:val="0C182400"/>
    <w:rsid w:val="0C1D5B15"/>
    <w:rsid w:val="0C1E154C"/>
    <w:rsid w:val="0C1E73BF"/>
    <w:rsid w:val="0C200A01"/>
    <w:rsid w:val="0C2207C7"/>
    <w:rsid w:val="0C24303C"/>
    <w:rsid w:val="0C277D5C"/>
    <w:rsid w:val="0C2A35BE"/>
    <w:rsid w:val="0C2B2747"/>
    <w:rsid w:val="0C2C77BA"/>
    <w:rsid w:val="0C2E5C5A"/>
    <w:rsid w:val="0C2F1BE0"/>
    <w:rsid w:val="0C3240E4"/>
    <w:rsid w:val="0C325BA4"/>
    <w:rsid w:val="0C33275C"/>
    <w:rsid w:val="0C332CA2"/>
    <w:rsid w:val="0C350401"/>
    <w:rsid w:val="0C39091B"/>
    <w:rsid w:val="0C3A4F64"/>
    <w:rsid w:val="0C3B6677"/>
    <w:rsid w:val="0C3C3462"/>
    <w:rsid w:val="0C3E58EB"/>
    <w:rsid w:val="0C416BA8"/>
    <w:rsid w:val="0C426DA0"/>
    <w:rsid w:val="0C433DCB"/>
    <w:rsid w:val="0C46528F"/>
    <w:rsid w:val="0C481063"/>
    <w:rsid w:val="0C482DA4"/>
    <w:rsid w:val="0C4849B4"/>
    <w:rsid w:val="0C4C39F4"/>
    <w:rsid w:val="0C4E5A76"/>
    <w:rsid w:val="0C4F0712"/>
    <w:rsid w:val="0C4F6E48"/>
    <w:rsid w:val="0C51743B"/>
    <w:rsid w:val="0C536024"/>
    <w:rsid w:val="0C5710DC"/>
    <w:rsid w:val="0C58314A"/>
    <w:rsid w:val="0C590C17"/>
    <w:rsid w:val="0C590E20"/>
    <w:rsid w:val="0C5A7587"/>
    <w:rsid w:val="0C5B2AD4"/>
    <w:rsid w:val="0C5B5224"/>
    <w:rsid w:val="0C5E47D5"/>
    <w:rsid w:val="0C6200B7"/>
    <w:rsid w:val="0C660547"/>
    <w:rsid w:val="0C6826D8"/>
    <w:rsid w:val="0C690A32"/>
    <w:rsid w:val="0C693CE1"/>
    <w:rsid w:val="0C695A29"/>
    <w:rsid w:val="0C6A1ED7"/>
    <w:rsid w:val="0C6B5C2B"/>
    <w:rsid w:val="0C6C493F"/>
    <w:rsid w:val="0C6D0AB5"/>
    <w:rsid w:val="0C6E07F8"/>
    <w:rsid w:val="0C6F3057"/>
    <w:rsid w:val="0C717B5B"/>
    <w:rsid w:val="0C7225BE"/>
    <w:rsid w:val="0C746DB1"/>
    <w:rsid w:val="0C75176D"/>
    <w:rsid w:val="0C79266B"/>
    <w:rsid w:val="0C79279F"/>
    <w:rsid w:val="0C7A5556"/>
    <w:rsid w:val="0C7C7D93"/>
    <w:rsid w:val="0C7D5370"/>
    <w:rsid w:val="0C7D71E9"/>
    <w:rsid w:val="0C7E05AD"/>
    <w:rsid w:val="0C80641E"/>
    <w:rsid w:val="0C8070D6"/>
    <w:rsid w:val="0C813E29"/>
    <w:rsid w:val="0C843B8A"/>
    <w:rsid w:val="0C872948"/>
    <w:rsid w:val="0C8A5424"/>
    <w:rsid w:val="0C8D5B84"/>
    <w:rsid w:val="0C8D6798"/>
    <w:rsid w:val="0C8F73FE"/>
    <w:rsid w:val="0C94616A"/>
    <w:rsid w:val="0C955396"/>
    <w:rsid w:val="0C970E12"/>
    <w:rsid w:val="0C9B17C0"/>
    <w:rsid w:val="0C9B5C34"/>
    <w:rsid w:val="0C9E21D0"/>
    <w:rsid w:val="0C9E2A8E"/>
    <w:rsid w:val="0C9F356E"/>
    <w:rsid w:val="0CA34022"/>
    <w:rsid w:val="0CA705CA"/>
    <w:rsid w:val="0CA814B3"/>
    <w:rsid w:val="0CAC28BD"/>
    <w:rsid w:val="0CAD1348"/>
    <w:rsid w:val="0CAD793E"/>
    <w:rsid w:val="0CAF4A92"/>
    <w:rsid w:val="0CB23098"/>
    <w:rsid w:val="0CB57207"/>
    <w:rsid w:val="0CB752CB"/>
    <w:rsid w:val="0CB855EC"/>
    <w:rsid w:val="0CBB76B8"/>
    <w:rsid w:val="0CBC6EED"/>
    <w:rsid w:val="0CBD7AAF"/>
    <w:rsid w:val="0CBF145C"/>
    <w:rsid w:val="0CC009ED"/>
    <w:rsid w:val="0CC32FF6"/>
    <w:rsid w:val="0CC37265"/>
    <w:rsid w:val="0CC452FE"/>
    <w:rsid w:val="0CC55509"/>
    <w:rsid w:val="0CC67465"/>
    <w:rsid w:val="0CC74D34"/>
    <w:rsid w:val="0CC905C1"/>
    <w:rsid w:val="0CCA1D87"/>
    <w:rsid w:val="0CCA7C4B"/>
    <w:rsid w:val="0CCC14E9"/>
    <w:rsid w:val="0CCC6F71"/>
    <w:rsid w:val="0CCD33A7"/>
    <w:rsid w:val="0CCF4ADA"/>
    <w:rsid w:val="0CD25727"/>
    <w:rsid w:val="0CD32A54"/>
    <w:rsid w:val="0CD42FAE"/>
    <w:rsid w:val="0CD435F8"/>
    <w:rsid w:val="0CD50F12"/>
    <w:rsid w:val="0CD8126C"/>
    <w:rsid w:val="0CDA150D"/>
    <w:rsid w:val="0CDA16BA"/>
    <w:rsid w:val="0CDB546F"/>
    <w:rsid w:val="0CDC6173"/>
    <w:rsid w:val="0CE0778A"/>
    <w:rsid w:val="0CE10E9A"/>
    <w:rsid w:val="0CE155EA"/>
    <w:rsid w:val="0CE221A8"/>
    <w:rsid w:val="0CE352B0"/>
    <w:rsid w:val="0CE36D96"/>
    <w:rsid w:val="0CE61D45"/>
    <w:rsid w:val="0CE7056E"/>
    <w:rsid w:val="0CE96053"/>
    <w:rsid w:val="0CE97438"/>
    <w:rsid w:val="0CEA27F7"/>
    <w:rsid w:val="0CED0F03"/>
    <w:rsid w:val="0CED1000"/>
    <w:rsid w:val="0CED2E04"/>
    <w:rsid w:val="0CEE5D0B"/>
    <w:rsid w:val="0CEF34A6"/>
    <w:rsid w:val="0CF00551"/>
    <w:rsid w:val="0CF01B70"/>
    <w:rsid w:val="0CF15CB6"/>
    <w:rsid w:val="0CF51180"/>
    <w:rsid w:val="0CF65CDF"/>
    <w:rsid w:val="0CF72FBC"/>
    <w:rsid w:val="0CF76F70"/>
    <w:rsid w:val="0CF81761"/>
    <w:rsid w:val="0CF970A8"/>
    <w:rsid w:val="0CFB1ED6"/>
    <w:rsid w:val="0CFB5DA9"/>
    <w:rsid w:val="0CFC25C2"/>
    <w:rsid w:val="0CFE7120"/>
    <w:rsid w:val="0D00138D"/>
    <w:rsid w:val="0D0059B5"/>
    <w:rsid w:val="0D032D53"/>
    <w:rsid w:val="0D0575A5"/>
    <w:rsid w:val="0D06118C"/>
    <w:rsid w:val="0D067DFE"/>
    <w:rsid w:val="0D08142F"/>
    <w:rsid w:val="0D08340C"/>
    <w:rsid w:val="0D0C5D75"/>
    <w:rsid w:val="0D104C6E"/>
    <w:rsid w:val="0D1226B7"/>
    <w:rsid w:val="0D140AA5"/>
    <w:rsid w:val="0D16474E"/>
    <w:rsid w:val="0D18023A"/>
    <w:rsid w:val="0D197C93"/>
    <w:rsid w:val="0D1A7AE5"/>
    <w:rsid w:val="0D1B6199"/>
    <w:rsid w:val="0D1C1AA7"/>
    <w:rsid w:val="0D1D1393"/>
    <w:rsid w:val="0D1D675E"/>
    <w:rsid w:val="0D1E048B"/>
    <w:rsid w:val="0D1E12D5"/>
    <w:rsid w:val="0D1E77A3"/>
    <w:rsid w:val="0D211825"/>
    <w:rsid w:val="0D220588"/>
    <w:rsid w:val="0D2942AC"/>
    <w:rsid w:val="0D2A7BA6"/>
    <w:rsid w:val="0D2C0897"/>
    <w:rsid w:val="0D2C5B50"/>
    <w:rsid w:val="0D2D5C0C"/>
    <w:rsid w:val="0D2E4709"/>
    <w:rsid w:val="0D2E76F5"/>
    <w:rsid w:val="0D311B24"/>
    <w:rsid w:val="0D316CEE"/>
    <w:rsid w:val="0D3307A4"/>
    <w:rsid w:val="0D344BED"/>
    <w:rsid w:val="0D34596A"/>
    <w:rsid w:val="0D3460A4"/>
    <w:rsid w:val="0D346615"/>
    <w:rsid w:val="0D3477FD"/>
    <w:rsid w:val="0D374756"/>
    <w:rsid w:val="0D383BDA"/>
    <w:rsid w:val="0D386AB7"/>
    <w:rsid w:val="0D3E0190"/>
    <w:rsid w:val="0D4034F0"/>
    <w:rsid w:val="0D412599"/>
    <w:rsid w:val="0D414EAC"/>
    <w:rsid w:val="0D42009E"/>
    <w:rsid w:val="0D4323D0"/>
    <w:rsid w:val="0D4335CA"/>
    <w:rsid w:val="0D442D80"/>
    <w:rsid w:val="0D445127"/>
    <w:rsid w:val="0D44655A"/>
    <w:rsid w:val="0D453D09"/>
    <w:rsid w:val="0D464BA6"/>
    <w:rsid w:val="0D4B3266"/>
    <w:rsid w:val="0D4B67AB"/>
    <w:rsid w:val="0D4C5903"/>
    <w:rsid w:val="0D4D608D"/>
    <w:rsid w:val="0D4E0B7A"/>
    <w:rsid w:val="0D4E46F6"/>
    <w:rsid w:val="0D4E648A"/>
    <w:rsid w:val="0D501E27"/>
    <w:rsid w:val="0D5268CC"/>
    <w:rsid w:val="0D536D27"/>
    <w:rsid w:val="0D570AF0"/>
    <w:rsid w:val="0D571F96"/>
    <w:rsid w:val="0D574565"/>
    <w:rsid w:val="0D5A791D"/>
    <w:rsid w:val="0D5B13B6"/>
    <w:rsid w:val="0D5C49DE"/>
    <w:rsid w:val="0D5D30B0"/>
    <w:rsid w:val="0D5D4459"/>
    <w:rsid w:val="0D5E1F03"/>
    <w:rsid w:val="0D5F6DA8"/>
    <w:rsid w:val="0D60355A"/>
    <w:rsid w:val="0D631A76"/>
    <w:rsid w:val="0D6461A6"/>
    <w:rsid w:val="0D6501A2"/>
    <w:rsid w:val="0D653811"/>
    <w:rsid w:val="0D6573B3"/>
    <w:rsid w:val="0D6668CA"/>
    <w:rsid w:val="0D682736"/>
    <w:rsid w:val="0D693C05"/>
    <w:rsid w:val="0D6A2C12"/>
    <w:rsid w:val="0D6A3607"/>
    <w:rsid w:val="0D6B455F"/>
    <w:rsid w:val="0D6C4969"/>
    <w:rsid w:val="0D6D27DB"/>
    <w:rsid w:val="0D6F41CB"/>
    <w:rsid w:val="0D6F5038"/>
    <w:rsid w:val="0D701ABB"/>
    <w:rsid w:val="0D741B7E"/>
    <w:rsid w:val="0D7555C2"/>
    <w:rsid w:val="0D756A02"/>
    <w:rsid w:val="0D756F44"/>
    <w:rsid w:val="0D785F85"/>
    <w:rsid w:val="0D7967B0"/>
    <w:rsid w:val="0D7A62A9"/>
    <w:rsid w:val="0D7D5F5C"/>
    <w:rsid w:val="0D7E0831"/>
    <w:rsid w:val="0D7E3CBC"/>
    <w:rsid w:val="0D7F2D11"/>
    <w:rsid w:val="0D80244B"/>
    <w:rsid w:val="0D80306C"/>
    <w:rsid w:val="0D842820"/>
    <w:rsid w:val="0D862BB5"/>
    <w:rsid w:val="0D870FCE"/>
    <w:rsid w:val="0D871475"/>
    <w:rsid w:val="0D896B5A"/>
    <w:rsid w:val="0D8D2C89"/>
    <w:rsid w:val="0D91040C"/>
    <w:rsid w:val="0D9240D4"/>
    <w:rsid w:val="0D93131D"/>
    <w:rsid w:val="0D9368DA"/>
    <w:rsid w:val="0D9418EC"/>
    <w:rsid w:val="0D954D83"/>
    <w:rsid w:val="0D966624"/>
    <w:rsid w:val="0D967721"/>
    <w:rsid w:val="0D972B4B"/>
    <w:rsid w:val="0D985C38"/>
    <w:rsid w:val="0D99701B"/>
    <w:rsid w:val="0D9A5CAE"/>
    <w:rsid w:val="0D9F1A47"/>
    <w:rsid w:val="0DA02CF3"/>
    <w:rsid w:val="0DA0704F"/>
    <w:rsid w:val="0DA16D3C"/>
    <w:rsid w:val="0DA667C5"/>
    <w:rsid w:val="0DA7494C"/>
    <w:rsid w:val="0DA75924"/>
    <w:rsid w:val="0DA92243"/>
    <w:rsid w:val="0DA966EC"/>
    <w:rsid w:val="0DA97F8C"/>
    <w:rsid w:val="0DAB708A"/>
    <w:rsid w:val="0DAE0293"/>
    <w:rsid w:val="0DAF4D2B"/>
    <w:rsid w:val="0DB20280"/>
    <w:rsid w:val="0DB21AF2"/>
    <w:rsid w:val="0DB255F5"/>
    <w:rsid w:val="0DB272FF"/>
    <w:rsid w:val="0DB30415"/>
    <w:rsid w:val="0DB4021A"/>
    <w:rsid w:val="0DB83B0B"/>
    <w:rsid w:val="0DB9059A"/>
    <w:rsid w:val="0DBC00E5"/>
    <w:rsid w:val="0DBC5C87"/>
    <w:rsid w:val="0DBC6012"/>
    <w:rsid w:val="0DBC756B"/>
    <w:rsid w:val="0DBF7205"/>
    <w:rsid w:val="0DC4111E"/>
    <w:rsid w:val="0DC445E6"/>
    <w:rsid w:val="0DC63314"/>
    <w:rsid w:val="0DC73CBD"/>
    <w:rsid w:val="0DC74148"/>
    <w:rsid w:val="0DCB43FF"/>
    <w:rsid w:val="0DCD6BA0"/>
    <w:rsid w:val="0DCE6CBA"/>
    <w:rsid w:val="0DCF47F5"/>
    <w:rsid w:val="0DD166E8"/>
    <w:rsid w:val="0DD20A9E"/>
    <w:rsid w:val="0DD7408D"/>
    <w:rsid w:val="0DD87327"/>
    <w:rsid w:val="0DDD444E"/>
    <w:rsid w:val="0DDF565B"/>
    <w:rsid w:val="0DE268C0"/>
    <w:rsid w:val="0DE64142"/>
    <w:rsid w:val="0DE65D97"/>
    <w:rsid w:val="0DE7183C"/>
    <w:rsid w:val="0DE80DB9"/>
    <w:rsid w:val="0DEA7CEE"/>
    <w:rsid w:val="0DF277C7"/>
    <w:rsid w:val="0DF36DA2"/>
    <w:rsid w:val="0DF44F80"/>
    <w:rsid w:val="0DF461EA"/>
    <w:rsid w:val="0DF56CE5"/>
    <w:rsid w:val="0DF65836"/>
    <w:rsid w:val="0DF836B1"/>
    <w:rsid w:val="0DF9662C"/>
    <w:rsid w:val="0DFC25D8"/>
    <w:rsid w:val="0DFE272D"/>
    <w:rsid w:val="0E035358"/>
    <w:rsid w:val="0E047E1D"/>
    <w:rsid w:val="0E053A07"/>
    <w:rsid w:val="0E0605E6"/>
    <w:rsid w:val="0E0607D0"/>
    <w:rsid w:val="0E0645E9"/>
    <w:rsid w:val="0E074B08"/>
    <w:rsid w:val="0E0B4D4D"/>
    <w:rsid w:val="0E0C62C0"/>
    <w:rsid w:val="0E0D32AE"/>
    <w:rsid w:val="0E0E0963"/>
    <w:rsid w:val="0E0E56FB"/>
    <w:rsid w:val="0E104BE4"/>
    <w:rsid w:val="0E1056F2"/>
    <w:rsid w:val="0E156EA3"/>
    <w:rsid w:val="0E16087B"/>
    <w:rsid w:val="0E195AE6"/>
    <w:rsid w:val="0E1A0919"/>
    <w:rsid w:val="0E1A664D"/>
    <w:rsid w:val="0E1C1A70"/>
    <w:rsid w:val="0E203FDB"/>
    <w:rsid w:val="0E215A69"/>
    <w:rsid w:val="0E22096B"/>
    <w:rsid w:val="0E2330EC"/>
    <w:rsid w:val="0E234E4D"/>
    <w:rsid w:val="0E261670"/>
    <w:rsid w:val="0E26390B"/>
    <w:rsid w:val="0E267143"/>
    <w:rsid w:val="0E275B85"/>
    <w:rsid w:val="0E2778A7"/>
    <w:rsid w:val="0E286472"/>
    <w:rsid w:val="0E2A00ED"/>
    <w:rsid w:val="0E2A18CC"/>
    <w:rsid w:val="0E2C39F1"/>
    <w:rsid w:val="0E2C5845"/>
    <w:rsid w:val="0E2D625B"/>
    <w:rsid w:val="0E2D7B3E"/>
    <w:rsid w:val="0E2E431F"/>
    <w:rsid w:val="0E2E5A1C"/>
    <w:rsid w:val="0E2F34D1"/>
    <w:rsid w:val="0E2F70FC"/>
    <w:rsid w:val="0E3131C4"/>
    <w:rsid w:val="0E33255A"/>
    <w:rsid w:val="0E346AC5"/>
    <w:rsid w:val="0E361190"/>
    <w:rsid w:val="0E365905"/>
    <w:rsid w:val="0E3956D5"/>
    <w:rsid w:val="0E3D17E5"/>
    <w:rsid w:val="0E3D2B9A"/>
    <w:rsid w:val="0E403F2C"/>
    <w:rsid w:val="0E416AD4"/>
    <w:rsid w:val="0E416B78"/>
    <w:rsid w:val="0E460F64"/>
    <w:rsid w:val="0E481EDA"/>
    <w:rsid w:val="0E484BA2"/>
    <w:rsid w:val="0E487E7F"/>
    <w:rsid w:val="0E490B0E"/>
    <w:rsid w:val="0E4A05B7"/>
    <w:rsid w:val="0E4A77F5"/>
    <w:rsid w:val="0E4C2583"/>
    <w:rsid w:val="0E4C2838"/>
    <w:rsid w:val="0E4D24A8"/>
    <w:rsid w:val="0E4F0677"/>
    <w:rsid w:val="0E4F5E38"/>
    <w:rsid w:val="0E5152B3"/>
    <w:rsid w:val="0E5158F9"/>
    <w:rsid w:val="0E541E1B"/>
    <w:rsid w:val="0E5531CC"/>
    <w:rsid w:val="0E55760B"/>
    <w:rsid w:val="0E5618D9"/>
    <w:rsid w:val="0E5730DB"/>
    <w:rsid w:val="0E59771C"/>
    <w:rsid w:val="0E5C032E"/>
    <w:rsid w:val="0E5C1694"/>
    <w:rsid w:val="0E5F4F83"/>
    <w:rsid w:val="0E605A4F"/>
    <w:rsid w:val="0E613CB7"/>
    <w:rsid w:val="0E65278C"/>
    <w:rsid w:val="0E7010D6"/>
    <w:rsid w:val="0E717256"/>
    <w:rsid w:val="0E7176A4"/>
    <w:rsid w:val="0E722E3B"/>
    <w:rsid w:val="0E726E4B"/>
    <w:rsid w:val="0E753E0D"/>
    <w:rsid w:val="0E76768E"/>
    <w:rsid w:val="0E781F11"/>
    <w:rsid w:val="0E7854D5"/>
    <w:rsid w:val="0E794A03"/>
    <w:rsid w:val="0E7C7BB0"/>
    <w:rsid w:val="0E7E4EE4"/>
    <w:rsid w:val="0E803558"/>
    <w:rsid w:val="0E817CAC"/>
    <w:rsid w:val="0E867945"/>
    <w:rsid w:val="0E8739CD"/>
    <w:rsid w:val="0E885F01"/>
    <w:rsid w:val="0E8A7035"/>
    <w:rsid w:val="0E8D7C9A"/>
    <w:rsid w:val="0E934648"/>
    <w:rsid w:val="0E936744"/>
    <w:rsid w:val="0E956013"/>
    <w:rsid w:val="0E956EE1"/>
    <w:rsid w:val="0E9578AD"/>
    <w:rsid w:val="0E976000"/>
    <w:rsid w:val="0E990DAD"/>
    <w:rsid w:val="0E9B41BF"/>
    <w:rsid w:val="0E9C35AC"/>
    <w:rsid w:val="0E9E2DD0"/>
    <w:rsid w:val="0EA163BE"/>
    <w:rsid w:val="0EA23669"/>
    <w:rsid w:val="0EA710A5"/>
    <w:rsid w:val="0EA870A2"/>
    <w:rsid w:val="0EAC2D49"/>
    <w:rsid w:val="0EAD203A"/>
    <w:rsid w:val="0EAD590E"/>
    <w:rsid w:val="0EAD7BD6"/>
    <w:rsid w:val="0EB11D0B"/>
    <w:rsid w:val="0EB150E1"/>
    <w:rsid w:val="0EB17493"/>
    <w:rsid w:val="0EB339A0"/>
    <w:rsid w:val="0EB726DE"/>
    <w:rsid w:val="0EB758AE"/>
    <w:rsid w:val="0EB95333"/>
    <w:rsid w:val="0EB97DFA"/>
    <w:rsid w:val="0EBA7CC6"/>
    <w:rsid w:val="0EBF44FD"/>
    <w:rsid w:val="0EC10104"/>
    <w:rsid w:val="0EC15A72"/>
    <w:rsid w:val="0EC175F5"/>
    <w:rsid w:val="0EC32CF0"/>
    <w:rsid w:val="0EC36EC3"/>
    <w:rsid w:val="0EC57186"/>
    <w:rsid w:val="0EC65F36"/>
    <w:rsid w:val="0EC740EC"/>
    <w:rsid w:val="0EC9486D"/>
    <w:rsid w:val="0EC95D4D"/>
    <w:rsid w:val="0ECB4C07"/>
    <w:rsid w:val="0ECC0CB0"/>
    <w:rsid w:val="0ECE4FF5"/>
    <w:rsid w:val="0ED011D3"/>
    <w:rsid w:val="0ED151CC"/>
    <w:rsid w:val="0ED15B4A"/>
    <w:rsid w:val="0ED202A0"/>
    <w:rsid w:val="0ED31C2D"/>
    <w:rsid w:val="0ED44326"/>
    <w:rsid w:val="0ED549DF"/>
    <w:rsid w:val="0ED56976"/>
    <w:rsid w:val="0ED572CA"/>
    <w:rsid w:val="0ED67185"/>
    <w:rsid w:val="0ED80F05"/>
    <w:rsid w:val="0ED91FDC"/>
    <w:rsid w:val="0ED965F7"/>
    <w:rsid w:val="0EDD68FD"/>
    <w:rsid w:val="0EDE0640"/>
    <w:rsid w:val="0EDE6F43"/>
    <w:rsid w:val="0EDF5FB5"/>
    <w:rsid w:val="0EE35C41"/>
    <w:rsid w:val="0EE43E76"/>
    <w:rsid w:val="0EE52534"/>
    <w:rsid w:val="0EE70DE5"/>
    <w:rsid w:val="0EE87A65"/>
    <w:rsid w:val="0EEB497D"/>
    <w:rsid w:val="0EEC0468"/>
    <w:rsid w:val="0EF21FA6"/>
    <w:rsid w:val="0EF60683"/>
    <w:rsid w:val="0EF8505F"/>
    <w:rsid w:val="0EF87D1E"/>
    <w:rsid w:val="0EFB7F42"/>
    <w:rsid w:val="0F042694"/>
    <w:rsid w:val="0F047A9A"/>
    <w:rsid w:val="0F053E13"/>
    <w:rsid w:val="0F067C02"/>
    <w:rsid w:val="0F0B383D"/>
    <w:rsid w:val="0F0B7966"/>
    <w:rsid w:val="0F0C0CF9"/>
    <w:rsid w:val="0F102227"/>
    <w:rsid w:val="0F103AB0"/>
    <w:rsid w:val="0F131244"/>
    <w:rsid w:val="0F133EAA"/>
    <w:rsid w:val="0F161302"/>
    <w:rsid w:val="0F1850EF"/>
    <w:rsid w:val="0F193451"/>
    <w:rsid w:val="0F194933"/>
    <w:rsid w:val="0F1A2799"/>
    <w:rsid w:val="0F1A67B3"/>
    <w:rsid w:val="0F1B1B0E"/>
    <w:rsid w:val="0F1B2094"/>
    <w:rsid w:val="0F1C2050"/>
    <w:rsid w:val="0F1F0BEF"/>
    <w:rsid w:val="0F1F7D31"/>
    <w:rsid w:val="0F23097A"/>
    <w:rsid w:val="0F233555"/>
    <w:rsid w:val="0F23503C"/>
    <w:rsid w:val="0F242336"/>
    <w:rsid w:val="0F24323D"/>
    <w:rsid w:val="0F254491"/>
    <w:rsid w:val="0F254F27"/>
    <w:rsid w:val="0F2810E0"/>
    <w:rsid w:val="0F2A54C2"/>
    <w:rsid w:val="0F2A5CCB"/>
    <w:rsid w:val="0F2B1628"/>
    <w:rsid w:val="0F2B2BFC"/>
    <w:rsid w:val="0F2C7698"/>
    <w:rsid w:val="0F2E3EF8"/>
    <w:rsid w:val="0F2F3CC2"/>
    <w:rsid w:val="0F2F558F"/>
    <w:rsid w:val="0F2F6E6E"/>
    <w:rsid w:val="0F311A1C"/>
    <w:rsid w:val="0F323185"/>
    <w:rsid w:val="0F331701"/>
    <w:rsid w:val="0F340BF5"/>
    <w:rsid w:val="0F3742ED"/>
    <w:rsid w:val="0F3829D6"/>
    <w:rsid w:val="0F3A132B"/>
    <w:rsid w:val="0F3B0476"/>
    <w:rsid w:val="0F3B38ED"/>
    <w:rsid w:val="0F3C0F43"/>
    <w:rsid w:val="0F3C7F07"/>
    <w:rsid w:val="0F3E3ED7"/>
    <w:rsid w:val="0F3E5E39"/>
    <w:rsid w:val="0F400ACB"/>
    <w:rsid w:val="0F404704"/>
    <w:rsid w:val="0F425A0D"/>
    <w:rsid w:val="0F44486F"/>
    <w:rsid w:val="0F473A14"/>
    <w:rsid w:val="0F473B29"/>
    <w:rsid w:val="0F4853DD"/>
    <w:rsid w:val="0F4C1166"/>
    <w:rsid w:val="0F4C3F35"/>
    <w:rsid w:val="0F4C7A78"/>
    <w:rsid w:val="0F4D251E"/>
    <w:rsid w:val="0F4F2D9B"/>
    <w:rsid w:val="0F4F7416"/>
    <w:rsid w:val="0F500460"/>
    <w:rsid w:val="0F51080F"/>
    <w:rsid w:val="0F5150F3"/>
    <w:rsid w:val="0F5279DA"/>
    <w:rsid w:val="0F5318E1"/>
    <w:rsid w:val="0F5508B3"/>
    <w:rsid w:val="0F566D01"/>
    <w:rsid w:val="0F5A7B4D"/>
    <w:rsid w:val="0F5B38D5"/>
    <w:rsid w:val="0F5B5C16"/>
    <w:rsid w:val="0F5B7D3D"/>
    <w:rsid w:val="0F603DD2"/>
    <w:rsid w:val="0F612748"/>
    <w:rsid w:val="0F61433A"/>
    <w:rsid w:val="0F620344"/>
    <w:rsid w:val="0F621B1C"/>
    <w:rsid w:val="0F6326DD"/>
    <w:rsid w:val="0F632F96"/>
    <w:rsid w:val="0F6379BE"/>
    <w:rsid w:val="0F670A30"/>
    <w:rsid w:val="0F67783A"/>
    <w:rsid w:val="0F6941CE"/>
    <w:rsid w:val="0F6B61FA"/>
    <w:rsid w:val="0F6C15AA"/>
    <w:rsid w:val="0F6C4EE3"/>
    <w:rsid w:val="0F6D12BC"/>
    <w:rsid w:val="0F6E4319"/>
    <w:rsid w:val="0F6E5679"/>
    <w:rsid w:val="0F721257"/>
    <w:rsid w:val="0F764905"/>
    <w:rsid w:val="0F77018F"/>
    <w:rsid w:val="0F787F25"/>
    <w:rsid w:val="0F7A1E5F"/>
    <w:rsid w:val="0F7A27CC"/>
    <w:rsid w:val="0F7B2B68"/>
    <w:rsid w:val="0F7B3F90"/>
    <w:rsid w:val="0F7B5449"/>
    <w:rsid w:val="0F7C1662"/>
    <w:rsid w:val="0F7E0A66"/>
    <w:rsid w:val="0F7E637B"/>
    <w:rsid w:val="0F7F224C"/>
    <w:rsid w:val="0F800985"/>
    <w:rsid w:val="0F8147C4"/>
    <w:rsid w:val="0F824E72"/>
    <w:rsid w:val="0F837EC1"/>
    <w:rsid w:val="0F864203"/>
    <w:rsid w:val="0F8A1592"/>
    <w:rsid w:val="0F8B0B44"/>
    <w:rsid w:val="0F8B51ED"/>
    <w:rsid w:val="0F8B72D7"/>
    <w:rsid w:val="0F900DFB"/>
    <w:rsid w:val="0F902426"/>
    <w:rsid w:val="0F90791F"/>
    <w:rsid w:val="0F9535E9"/>
    <w:rsid w:val="0F955763"/>
    <w:rsid w:val="0F983C74"/>
    <w:rsid w:val="0F9912BE"/>
    <w:rsid w:val="0F9A6A5C"/>
    <w:rsid w:val="0F9C0804"/>
    <w:rsid w:val="0F9D58FB"/>
    <w:rsid w:val="0F9E3DDF"/>
    <w:rsid w:val="0FA02F43"/>
    <w:rsid w:val="0FA04705"/>
    <w:rsid w:val="0FA0672B"/>
    <w:rsid w:val="0FA10A1F"/>
    <w:rsid w:val="0FA230E0"/>
    <w:rsid w:val="0FA249FE"/>
    <w:rsid w:val="0FA34D3C"/>
    <w:rsid w:val="0FA71248"/>
    <w:rsid w:val="0FA8433E"/>
    <w:rsid w:val="0FA94FD4"/>
    <w:rsid w:val="0FAA060E"/>
    <w:rsid w:val="0FAA48D3"/>
    <w:rsid w:val="0FAB0BC9"/>
    <w:rsid w:val="0FAC1537"/>
    <w:rsid w:val="0FAD5422"/>
    <w:rsid w:val="0FAF290F"/>
    <w:rsid w:val="0FB05F4F"/>
    <w:rsid w:val="0FB23CA4"/>
    <w:rsid w:val="0FB23E1B"/>
    <w:rsid w:val="0FB24BA2"/>
    <w:rsid w:val="0FB43950"/>
    <w:rsid w:val="0FB52FBD"/>
    <w:rsid w:val="0FB54802"/>
    <w:rsid w:val="0FB70500"/>
    <w:rsid w:val="0FBA6341"/>
    <w:rsid w:val="0FBF371F"/>
    <w:rsid w:val="0FBF493F"/>
    <w:rsid w:val="0FC002D7"/>
    <w:rsid w:val="0FC07EF8"/>
    <w:rsid w:val="0FC10444"/>
    <w:rsid w:val="0FC16B1F"/>
    <w:rsid w:val="0FC278E5"/>
    <w:rsid w:val="0FC6624F"/>
    <w:rsid w:val="0FC704C0"/>
    <w:rsid w:val="0FC823A9"/>
    <w:rsid w:val="0FC83FAB"/>
    <w:rsid w:val="0FCA50ED"/>
    <w:rsid w:val="0FCC4F4C"/>
    <w:rsid w:val="0FCC68EF"/>
    <w:rsid w:val="0FCD5B6A"/>
    <w:rsid w:val="0FCD70FD"/>
    <w:rsid w:val="0FCE3C03"/>
    <w:rsid w:val="0FCF75B8"/>
    <w:rsid w:val="0FD01950"/>
    <w:rsid w:val="0FD061F5"/>
    <w:rsid w:val="0FD14FCA"/>
    <w:rsid w:val="0FD15A99"/>
    <w:rsid w:val="0FD23568"/>
    <w:rsid w:val="0FD3161D"/>
    <w:rsid w:val="0FD33E6D"/>
    <w:rsid w:val="0FD60A60"/>
    <w:rsid w:val="0FD65F2F"/>
    <w:rsid w:val="0FD85541"/>
    <w:rsid w:val="0FD91006"/>
    <w:rsid w:val="0FDB6496"/>
    <w:rsid w:val="0FDC152C"/>
    <w:rsid w:val="0FDD2414"/>
    <w:rsid w:val="0FE17B0A"/>
    <w:rsid w:val="0FE239C3"/>
    <w:rsid w:val="0FE2512C"/>
    <w:rsid w:val="0FE436AE"/>
    <w:rsid w:val="0FE75D27"/>
    <w:rsid w:val="0FEB5D18"/>
    <w:rsid w:val="0FEB7FF7"/>
    <w:rsid w:val="0FEC5629"/>
    <w:rsid w:val="0FED3D90"/>
    <w:rsid w:val="0FEE30E2"/>
    <w:rsid w:val="0FEF3CE0"/>
    <w:rsid w:val="0FF00EDF"/>
    <w:rsid w:val="0FF069A6"/>
    <w:rsid w:val="0FF144C4"/>
    <w:rsid w:val="0FF35247"/>
    <w:rsid w:val="0FF46B3B"/>
    <w:rsid w:val="0FF5492A"/>
    <w:rsid w:val="0FF746D8"/>
    <w:rsid w:val="0FF86998"/>
    <w:rsid w:val="0FF96E59"/>
    <w:rsid w:val="0FFA1700"/>
    <w:rsid w:val="0FFA2AFB"/>
    <w:rsid w:val="0FFA6143"/>
    <w:rsid w:val="0FFB4B79"/>
    <w:rsid w:val="0FFC4B16"/>
    <w:rsid w:val="0FFE275D"/>
    <w:rsid w:val="0FFE4ADA"/>
    <w:rsid w:val="0FFE5EA4"/>
    <w:rsid w:val="100076CA"/>
    <w:rsid w:val="100272E7"/>
    <w:rsid w:val="10031837"/>
    <w:rsid w:val="10043E92"/>
    <w:rsid w:val="10063B1C"/>
    <w:rsid w:val="10064DAE"/>
    <w:rsid w:val="10071E8E"/>
    <w:rsid w:val="1007645D"/>
    <w:rsid w:val="1007775F"/>
    <w:rsid w:val="100977AE"/>
    <w:rsid w:val="100A548C"/>
    <w:rsid w:val="100A6DE9"/>
    <w:rsid w:val="100D16C4"/>
    <w:rsid w:val="100E5062"/>
    <w:rsid w:val="101070A6"/>
    <w:rsid w:val="10137B38"/>
    <w:rsid w:val="10147321"/>
    <w:rsid w:val="10154AA5"/>
    <w:rsid w:val="10181017"/>
    <w:rsid w:val="1019045B"/>
    <w:rsid w:val="101953F8"/>
    <w:rsid w:val="10197CE0"/>
    <w:rsid w:val="101B13E9"/>
    <w:rsid w:val="101C4B97"/>
    <w:rsid w:val="101D32B3"/>
    <w:rsid w:val="10243FF9"/>
    <w:rsid w:val="10261909"/>
    <w:rsid w:val="10294750"/>
    <w:rsid w:val="102B3392"/>
    <w:rsid w:val="102D0B2B"/>
    <w:rsid w:val="102F3D20"/>
    <w:rsid w:val="1031267D"/>
    <w:rsid w:val="10314D22"/>
    <w:rsid w:val="10334752"/>
    <w:rsid w:val="10353B50"/>
    <w:rsid w:val="10356597"/>
    <w:rsid w:val="103704FE"/>
    <w:rsid w:val="10391B73"/>
    <w:rsid w:val="10394BAE"/>
    <w:rsid w:val="103A7BC0"/>
    <w:rsid w:val="103D702E"/>
    <w:rsid w:val="103D76AF"/>
    <w:rsid w:val="103E35A4"/>
    <w:rsid w:val="1042376E"/>
    <w:rsid w:val="10424412"/>
    <w:rsid w:val="10452DF5"/>
    <w:rsid w:val="10474141"/>
    <w:rsid w:val="10485623"/>
    <w:rsid w:val="104C1672"/>
    <w:rsid w:val="104F011B"/>
    <w:rsid w:val="10510687"/>
    <w:rsid w:val="10550628"/>
    <w:rsid w:val="10571FF1"/>
    <w:rsid w:val="1058367E"/>
    <w:rsid w:val="10585325"/>
    <w:rsid w:val="105931B9"/>
    <w:rsid w:val="10597743"/>
    <w:rsid w:val="105A2E1B"/>
    <w:rsid w:val="105B177F"/>
    <w:rsid w:val="105D5FCE"/>
    <w:rsid w:val="105F2FD8"/>
    <w:rsid w:val="10614D6B"/>
    <w:rsid w:val="1062785E"/>
    <w:rsid w:val="10644813"/>
    <w:rsid w:val="106552ED"/>
    <w:rsid w:val="10685268"/>
    <w:rsid w:val="10695F98"/>
    <w:rsid w:val="106A4B88"/>
    <w:rsid w:val="106A7AD0"/>
    <w:rsid w:val="106F61B3"/>
    <w:rsid w:val="107065E3"/>
    <w:rsid w:val="10707781"/>
    <w:rsid w:val="10710D9A"/>
    <w:rsid w:val="10743343"/>
    <w:rsid w:val="10790776"/>
    <w:rsid w:val="107C0138"/>
    <w:rsid w:val="107C7883"/>
    <w:rsid w:val="107E4199"/>
    <w:rsid w:val="108029E3"/>
    <w:rsid w:val="10803A1F"/>
    <w:rsid w:val="108047D8"/>
    <w:rsid w:val="10807E63"/>
    <w:rsid w:val="10814811"/>
    <w:rsid w:val="10824AC7"/>
    <w:rsid w:val="10827CD9"/>
    <w:rsid w:val="10832C9F"/>
    <w:rsid w:val="1084344E"/>
    <w:rsid w:val="10856F9A"/>
    <w:rsid w:val="10862D02"/>
    <w:rsid w:val="10874126"/>
    <w:rsid w:val="10880798"/>
    <w:rsid w:val="10887A31"/>
    <w:rsid w:val="108D39D7"/>
    <w:rsid w:val="1091094A"/>
    <w:rsid w:val="109270CE"/>
    <w:rsid w:val="10927B61"/>
    <w:rsid w:val="109666A8"/>
    <w:rsid w:val="109A268E"/>
    <w:rsid w:val="109C528A"/>
    <w:rsid w:val="109D6E2F"/>
    <w:rsid w:val="109F16EB"/>
    <w:rsid w:val="109F28FC"/>
    <w:rsid w:val="109F5AED"/>
    <w:rsid w:val="10A30893"/>
    <w:rsid w:val="10A44A6E"/>
    <w:rsid w:val="10A57A92"/>
    <w:rsid w:val="10A67D55"/>
    <w:rsid w:val="10AD0280"/>
    <w:rsid w:val="10AF362B"/>
    <w:rsid w:val="10AF5233"/>
    <w:rsid w:val="10B14FD5"/>
    <w:rsid w:val="10B243F1"/>
    <w:rsid w:val="10B85781"/>
    <w:rsid w:val="10B91531"/>
    <w:rsid w:val="10BA1EE9"/>
    <w:rsid w:val="10BA513C"/>
    <w:rsid w:val="10BA52E6"/>
    <w:rsid w:val="10BC3BBA"/>
    <w:rsid w:val="10BC56ED"/>
    <w:rsid w:val="10BD6552"/>
    <w:rsid w:val="10BE0082"/>
    <w:rsid w:val="10BE7E96"/>
    <w:rsid w:val="10C11680"/>
    <w:rsid w:val="10C25B6C"/>
    <w:rsid w:val="10C300C6"/>
    <w:rsid w:val="10C4723B"/>
    <w:rsid w:val="10C51392"/>
    <w:rsid w:val="10C9678E"/>
    <w:rsid w:val="10CA4B23"/>
    <w:rsid w:val="10CC2294"/>
    <w:rsid w:val="10CF5594"/>
    <w:rsid w:val="10D2441F"/>
    <w:rsid w:val="10D42D1C"/>
    <w:rsid w:val="10D877DB"/>
    <w:rsid w:val="10DA61D2"/>
    <w:rsid w:val="10DD3891"/>
    <w:rsid w:val="10DE31E1"/>
    <w:rsid w:val="10E16565"/>
    <w:rsid w:val="10E36FB9"/>
    <w:rsid w:val="10E50A17"/>
    <w:rsid w:val="10E66739"/>
    <w:rsid w:val="10E73D50"/>
    <w:rsid w:val="10E816DF"/>
    <w:rsid w:val="10E91CA0"/>
    <w:rsid w:val="10E91E71"/>
    <w:rsid w:val="10E95DE1"/>
    <w:rsid w:val="10E96C9A"/>
    <w:rsid w:val="10ED721E"/>
    <w:rsid w:val="10EE5CF5"/>
    <w:rsid w:val="10EF2FB9"/>
    <w:rsid w:val="10EF7218"/>
    <w:rsid w:val="10F02888"/>
    <w:rsid w:val="10F268FF"/>
    <w:rsid w:val="10F430C2"/>
    <w:rsid w:val="10F51D08"/>
    <w:rsid w:val="10F5462F"/>
    <w:rsid w:val="10FB61C5"/>
    <w:rsid w:val="10FD5F11"/>
    <w:rsid w:val="10FE0535"/>
    <w:rsid w:val="11006451"/>
    <w:rsid w:val="11012DE0"/>
    <w:rsid w:val="11042799"/>
    <w:rsid w:val="110455E6"/>
    <w:rsid w:val="1106001F"/>
    <w:rsid w:val="110660BB"/>
    <w:rsid w:val="11071EFE"/>
    <w:rsid w:val="11084FA1"/>
    <w:rsid w:val="110A39A1"/>
    <w:rsid w:val="110A5983"/>
    <w:rsid w:val="110B4392"/>
    <w:rsid w:val="110D542F"/>
    <w:rsid w:val="110E4301"/>
    <w:rsid w:val="110F3F8C"/>
    <w:rsid w:val="110F409D"/>
    <w:rsid w:val="111072BF"/>
    <w:rsid w:val="111224E9"/>
    <w:rsid w:val="11160FD3"/>
    <w:rsid w:val="111770F6"/>
    <w:rsid w:val="111852A4"/>
    <w:rsid w:val="11185A6B"/>
    <w:rsid w:val="111D5AE3"/>
    <w:rsid w:val="111E751D"/>
    <w:rsid w:val="1120342A"/>
    <w:rsid w:val="112069E2"/>
    <w:rsid w:val="112448CD"/>
    <w:rsid w:val="11251CD2"/>
    <w:rsid w:val="112752A5"/>
    <w:rsid w:val="11282088"/>
    <w:rsid w:val="11292AF8"/>
    <w:rsid w:val="112B0264"/>
    <w:rsid w:val="112C105F"/>
    <w:rsid w:val="112C773B"/>
    <w:rsid w:val="11336868"/>
    <w:rsid w:val="1136083B"/>
    <w:rsid w:val="113A1403"/>
    <w:rsid w:val="113A20D2"/>
    <w:rsid w:val="113C7751"/>
    <w:rsid w:val="113C7E6A"/>
    <w:rsid w:val="113C7FAA"/>
    <w:rsid w:val="113D6F3B"/>
    <w:rsid w:val="113E7E1E"/>
    <w:rsid w:val="113F29DE"/>
    <w:rsid w:val="113F3167"/>
    <w:rsid w:val="11404E66"/>
    <w:rsid w:val="114063ED"/>
    <w:rsid w:val="11423AAB"/>
    <w:rsid w:val="11425E0E"/>
    <w:rsid w:val="11427D0C"/>
    <w:rsid w:val="11430F92"/>
    <w:rsid w:val="114551F6"/>
    <w:rsid w:val="1146538B"/>
    <w:rsid w:val="11484D74"/>
    <w:rsid w:val="11494729"/>
    <w:rsid w:val="114A7BEC"/>
    <w:rsid w:val="114C56A0"/>
    <w:rsid w:val="115231AE"/>
    <w:rsid w:val="115255D7"/>
    <w:rsid w:val="115256FA"/>
    <w:rsid w:val="11530FB2"/>
    <w:rsid w:val="115310D1"/>
    <w:rsid w:val="1155022F"/>
    <w:rsid w:val="11590BD9"/>
    <w:rsid w:val="115A3949"/>
    <w:rsid w:val="115A4C20"/>
    <w:rsid w:val="115B3762"/>
    <w:rsid w:val="115E0221"/>
    <w:rsid w:val="115E0E49"/>
    <w:rsid w:val="115E2D46"/>
    <w:rsid w:val="115E5F39"/>
    <w:rsid w:val="1160184C"/>
    <w:rsid w:val="116021A5"/>
    <w:rsid w:val="1163093B"/>
    <w:rsid w:val="11634133"/>
    <w:rsid w:val="11676ABD"/>
    <w:rsid w:val="1167712D"/>
    <w:rsid w:val="116870F0"/>
    <w:rsid w:val="11687CC2"/>
    <w:rsid w:val="116A441B"/>
    <w:rsid w:val="116C1B29"/>
    <w:rsid w:val="116D1557"/>
    <w:rsid w:val="116D4544"/>
    <w:rsid w:val="116D7010"/>
    <w:rsid w:val="1172058A"/>
    <w:rsid w:val="11725715"/>
    <w:rsid w:val="1174270B"/>
    <w:rsid w:val="11746EBF"/>
    <w:rsid w:val="1176447D"/>
    <w:rsid w:val="117A5D5E"/>
    <w:rsid w:val="117A6B2B"/>
    <w:rsid w:val="117C58C6"/>
    <w:rsid w:val="117C6ABB"/>
    <w:rsid w:val="1181375D"/>
    <w:rsid w:val="1181551E"/>
    <w:rsid w:val="1186076C"/>
    <w:rsid w:val="118A07E3"/>
    <w:rsid w:val="118B4248"/>
    <w:rsid w:val="118C31B6"/>
    <w:rsid w:val="118C761E"/>
    <w:rsid w:val="118F6BBB"/>
    <w:rsid w:val="119018F7"/>
    <w:rsid w:val="119050A5"/>
    <w:rsid w:val="1192080B"/>
    <w:rsid w:val="11923DF9"/>
    <w:rsid w:val="119448E7"/>
    <w:rsid w:val="11952BB9"/>
    <w:rsid w:val="11954B97"/>
    <w:rsid w:val="11976013"/>
    <w:rsid w:val="119977C6"/>
    <w:rsid w:val="119A4E17"/>
    <w:rsid w:val="119B5C10"/>
    <w:rsid w:val="119C351E"/>
    <w:rsid w:val="119D4A33"/>
    <w:rsid w:val="119F1BD6"/>
    <w:rsid w:val="11A01848"/>
    <w:rsid w:val="11A06AB9"/>
    <w:rsid w:val="11A41E77"/>
    <w:rsid w:val="11AB5D71"/>
    <w:rsid w:val="11AC37CF"/>
    <w:rsid w:val="11AC50D2"/>
    <w:rsid w:val="11AC5A35"/>
    <w:rsid w:val="11AD6C50"/>
    <w:rsid w:val="11AE49E9"/>
    <w:rsid w:val="11AF5CE7"/>
    <w:rsid w:val="11B03FE3"/>
    <w:rsid w:val="11B3400A"/>
    <w:rsid w:val="11B36606"/>
    <w:rsid w:val="11B374C4"/>
    <w:rsid w:val="11B63A22"/>
    <w:rsid w:val="11B87EB6"/>
    <w:rsid w:val="11B92802"/>
    <w:rsid w:val="11B9584A"/>
    <w:rsid w:val="11B97C1D"/>
    <w:rsid w:val="11BB1F6E"/>
    <w:rsid w:val="11BF171C"/>
    <w:rsid w:val="11BF1FBF"/>
    <w:rsid w:val="11C366AA"/>
    <w:rsid w:val="11C4086D"/>
    <w:rsid w:val="11C65C75"/>
    <w:rsid w:val="11CC0451"/>
    <w:rsid w:val="11CC65C6"/>
    <w:rsid w:val="11CC76E1"/>
    <w:rsid w:val="11CD24CA"/>
    <w:rsid w:val="11CE4281"/>
    <w:rsid w:val="11CF0FF6"/>
    <w:rsid w:val="11D21196"/>
    <w:rsid w:val="11D60114"/>
    <w:rsid w:val="11D854C0"/>
    <w:rsid w:val="11D902A0"/>
    <w:rsid w:val="11D94581"/>
    <w:rsid w:val="11DB100F"/>
    <w:rsid w:val="11DD5EB0"/>
    <w:rsid w:val="11E0383E"/>
    <w:rsid w:val="11E07ABB"/>
    <w:rsid w:val="11E10A6A"/>
    <w:rsid w:val="11E22AC9"/>
    <w:rsid w:val="11E323AC"/>
    <w:rsid w:val="11E33724"/>
    <w:rsid w:val="11E75006"/>
    <w:rsid w:val="11E90761"/>
    <w:rsid w:val="11EA6F78"/>
    <w:rsid w:val="11EB015B"/>
    <w:rsid w:val="11EB190D"/>
    <w:rsid w:val="11ED73D3"/>
    <w:rsid w:val="11EF4807"/>
    <w:rsid w:val="11F124DB"/>
    <w:rsid w:val="11F27668"/>
    <w:rsid w:val="11F355C1"/>
    <w:rsid w:val="11F966BD"/>
    <w:rsid w:val="11FC5585"/>
    <w:rsid w:val="11FC560B"/>
    <w:rsid w:val="11FC574E"/>
    <w:rsid w:val="11FD59D2"/>
    <w:rsid w:val="120001D3"/>
    <w:rsid w:val="120429D0"/>
    <w:rsid w:val="120513B9"/>
    <w:rsid w:val="12060F71"/>
    <w:rsid w:val="12081C95"/>
    <w:rsid w:val="120C589F"/>
    <w:rsid w:val="120F5652"/>
    <w:rsid w:val="12100ED7"/>
    <w:rsid w:val="12103FE3"/>
    <w:rsid w:val="1212733F"/>
    <w:rsid w:val="12152253"/>
    <w:rsid w:val="121636E0"/>
    <w:rsid w:val="12171C83"/>
    <w:rsid w:val="121A0667"/>
    <w:rsid w:val="121A7018"/>
    <w:rsid w:val="121D4361"/>
    <w:rsid w:val="121E430F"/>
    <w:rsid w:val="122015F7"/>
    <w:rsid w:val="122038A4"/>
    <w:rsid w:val="122213E5"/>
    <w:rsid w:val="12261796"/>
    <w:rsid w:val="122762BF"/>
    <w:rsid w:val="12296285"/>
    <w:rsid w:val="122962A1"/>
    <w:rsid w:val="12296D4D"/>
    <w:rsid w:val="122A0C1D"/>
    <w:rsid w:val="122A2DDD"/>
    <w:rsid w:val="122A4926"/>
    <w:rsid w:val="122D543A"/>
    <w:rsid w:val="122E2F80"/>
    <w:rsid w:val="122F0D64"/>
    <w:rsid w:val="122F6BD6"/>
    <w:rsid w:val="12302354"/>
    <w:rsid w:val="12305EA3"/>
    <w:rsid w:val="1230745D"/>
    <w:rsid w:val="12312CF0"/>
    <w:rsid w:val="12322073"/>
    <w:rsid w:val="12333720"/>
    <w:rsid w:val="12334394"/>
    <w:rsid w:val="12362EAB"/>
    <w:rsid w:val="12365EFD"/>
    <w:rsid w:val="12382727"/>
    <w:rsid w:val="12393930"/>
    <w:rsid w:val="123A5F0D"/>
    <w:rsid w:val="123C0E0F"/>
    <w:rsid w:val="123D16F7"/>
    <w:rsid w:val="123D59D3"/>
    <w:rsid w:val="123F060A"/>
    <w:rsid w:val="123F5B54"/>
    <w:rsid w:val="12451B42"/>
    <w:rsid w:val="12452547"/>
    <w:rsid w:val="12457F5D"/>
    <w:rsid w:val="124661D4"/>
    <w:rsid w:val="12466532"/>
    <w:rsid w:val="12494759"/>
    <w:rsid w:val="124B41DA"/>
    <w:rsid w:val="124C0D22"/>
    <w:rsid w:val="124C1CB6"/>
    <w:rsid w:val="124C2E87"/>
    <w:rsid w:val="124F3E81"/>
    <w:rsid w:val="124F5634"/>
    <w:rsid w:val="1250334F"/>
    <w:rsid w:val="12512462"/>
    <w:rsid w:val="125217DD"/>
    <w:rsid w:val="1252694D"/>
    <w:rsid w:val="125423E9"/>
    <w:rsid w:val="12542608"/>
    <w:rsid w:val="12557145"/>
    <w:rsid w:val="12564251"/>
    <w:rsid w:val="125666F7"/>
    <w:rsid w:val="125744F0"/>
    <w:rsid w:val="1259381F"/>
    <w:rsid w:val="125A4AC8"/>
    <w:rsid w:val="125B5B87"/>
    <w:rsid w:val="125B6F9A"/>
    <w:rsid w:val="125E54DA"/>
    <w:rsid w:val="125E5ACD"/>
    <w:rsid w:val="125F79F2"/>
    <w:rsid w:val="12604091"/>
    <w:rsid w:val="12673868"/>
    <w:rsid w:val="12674D95"/>
    <w:rsid w:val="126A7517"/>
    <w:rsid w:val="126C10FD"/>
    <w:rsid w:val="126C22BB"/>
    <w:rsid w:val="12712463"/>
    <w:rsid w:val="12723458"/>
    <w:rsid w:val="1272370A"/>
    <w:rsid w:val="127778BE"/>
    <w:rsid w:val="12777ABD"/>
    <w:rsid w:val="12790893"/>
    <w:rsid w:val="127A1F89"/>
    <w:rsid w:val="127C12CE"/>
    <w:rsid w:val="127E065B"/>
    <w:rsid w:val="128140CD"/>
    <w:rsid w:val="128238BF"/>
    <w:rsid w:val="128301E4"/>
    <w:rsid w:val="12861D42"/>
    <w:rsid w:val="12865E2C"/>
    <w:rsid w:val="128708DE"/>
    <w:rsid w:val="12884FE8"/>
    <w:rsid w:val="12886011"/>
    <w:rsid w:val="128A6D6E"/>
    <w:rsid w:val="128B0947"/>
    <w:rsid w:val="128B7D75"/>
    <w:rsid w:val="128D7277"/>
    <w:rsid w:val="128E2ADB"/>
    <w:rsid w:val="12922EF7"/>
    <w:rsid w:val="1293013C"/>
    <w:rsid w:val="129355A8"/>
    <w:rsid w:val="1294374E"/>
    <w:rsid w:val="129666F9"/>
    <w:rsid w:val="12980DB4"/>
    <w:rsid w:val="129824F3"/>
    <w:rsid w:val="12996886"/>
    <w:rsid w:val="129A0B71"/>
    <w:rsid w:val="129D4F29"/>
    <w:rsid w:val="129F4BCF"/>
    <w:rsid w:val="12A10F2B"/>
    <w:rsid w:val="12A62054"/>
    <w:rsid w:val="12A648AD"/>
    <w:rsid w:val="12A70FB0"/>
    <w:rsid w:val="12A737E6"/>
    <w:rsid w:val="12A7384B"/>
    <w:rsid w:val="12A807DE"/>
    <w:rsid w:val="12A80F94"/>
    <w:rsid w:val="12A91D4D"/>
    <w:rsid w:val="12AA76D2"/>
    <w:rsid w:val="12AC02EA"/>
    <w:rsid w:val="12AC1B81"/>
    <w:rsid w:val="12AD0A9A"/>
    <w:rsid w:val="12AD2526"/>
    <w:rsid w:val="12AE2404"/>
    <w:rsid w:val="12AE7445"/>
    <w:rsid w:val="12AF4997"/>
    <w:rsid w:val="12B5001F"/>
    <w:rsid w:val="12B5183C"/>
    <w:rsid w:val="12B611B1"/>
    <w:rsid w:val="12B658D1"/>
    <w:rsid w:val="12B843E6"/>
    <w:rsid w:val="12B87FDB"/>
    <w:rsid w:val="12BA3F97"/>
    <w:rsid w:val="12BD410E"/>
    <w:rsid w:val="12BD7010"/>
    <w:rsid w:val="12BE3E36"/>
    <w:rsid w:val="12BF3047"/>
    <w:rsid w:val="12C056A8"/>
    <w:rsid w:val="12C33E03"/>
    <w:rsid w:val="12C6186A"/>
    <w:rsid w:val="12C743FD"/>
    <w:rsid w:val="12C8120C"/>
    <w:rsid w:val="12C94067"/>
    <w:rsid w:val="12C97DD4"/>
    <w:rsid w:val="12CB6344"/>
    <w:rsid w:val="12CC6CB9"/>
    <w:rsid w:val="12CD5724"/>
    <w:rsid w:val="12CE1E34"/>
    <w:rsid w:val="12CE2D36"/>
    <w:rsid w:val="12D36947"/>
    <w:rsid w:val="12D54307"/>
    <w:rsid w:val="12D63704"/>
    <w:rsid w:val="12D67A3D"/>
    <w:rsid w:val="12DC6085"/>
    <w:rsid w:val="12E00AD0"/>
    <w:rsid w:val="12E01E65"/>
    <w:rsid w:val="12E026C3"/>
    <w:rsid w:val="12E049B9"/>
    <w:rsid w:val="12E23254"/>
    <w:rsid w:val="12E24AD0"/>
    <w:rsid w:val="12E32071"/>
    <w:rsid w:val="12E4297D"/>
    <w:rsid w:val="12E50765"/>
    <w:rsid w:val="12E93B1F"/>
    <w:rsid w:val="12EB2614"/>
    <w:rsid w:val="12ED67DC"/>
    <w:rsid w:val="12F94E82"/>
    <w:rsid w:val="12FA5887"/>
    <w:rsid w:val="12FC1B17"/>
    <w:rsid w:val="12FC437A"/>
    <w:rsid w:val="12FE644F"/>
    <w:rsid w:val="12FE7C20"/>
    <w:rsid w:val="130102F9"/>
    <w:rsid w:val="13024206"/>
    <w:rsid w:val="13027792"/>
    <w:rsid w:val="13037847"/>
    <w:rsid w:val="13055D8B"/>
    <w:rsid w:val="13066A2D"/>
    <w:rsid w:val="130904D6"/>
    <w:rsid w:val="13097642"/>
    <w:rsid w:val="130A7E9C"/>
    <w:rsid w:val="130B0C1F"/>
    <w:rsid w:val="130E7190"/>
    <w:rsid w:val="131022ED"/>
    <w:rsid w:val="13137B4F"/>
    <w:rsid w:val="131624EA"/>
    <w:rsid w:val="13175495"/>
    <w:rsid w:val="13177167"/>
    <w:rsid w:val="13180E65"/>
    <w:rsid w:val="13193E5D"/>
    <w:rsid w:val="131B596F"/>
    <w:rsid w:val="131F1418"/>
    <w:rsid w:val="13237D1A"/>
    <w:rsid w:val="132402A8"/>
    <w:rsid w:val="132435E0"/>
    <w:rsid w:val="13245E03"/>
    <w:rsid w:val="13256B19"/>
    <w:rsid w:val="132571A0"/>
    <w:rsid w:val="1327491D"/>
    <w:rsid w:val="132B04C5"/>
    <w:rsid w:val="132B49AA"/>
    <w:rsid w:val="132D31CA"/>
    <w:rsid w:val="1331565E"/>
    <w:rsid w:val="13331598"/>
    <w:rsid w:val="13335D16"/>
    <w:rsid w:val="13345764"/>
    <w:rsid w:val="133474CE"/>
    <w:rsid w:val="1336192A"/>
    <w:rsid w:val="13374596"/>
    <w:rsid w:val="1339515C"/>
    <w:rsid w:val="133B576C"/>
    <w:rsid w:val="133C6DF8"/>
    <w:rsid w:val="133D48BB"/>
    <w:rsid w:val="133F7559"/>
    <w:rsid w:val="134044DD"/>
    <w:rsid w:val="134075B0"/>
    <w:rsid w:val="13414A71"/>
    <w:rsid w:val="13422AA9"/>
    <w:rsid w:val="1343244B"/>
    <w:rsid w:val="1343462F"/>
    <w:rsid w:val="134700AB"/>
    <w:rsid w:val="1348577D"/>
    <w:rsid w:val="134A714A"/>
    <w:rsid w:val="134C26C4"/>
    <w:rsid w:val="134E3C06"/>
    <w:rsid w:val="134F1F23"/>
    <w:rsid w:val="13506055"/>
    <w:rsid w:val="13532CCC"/>
    <w:rsid w:val="13543B09"/>
    <w:rsid w:val="135512AF"/>
    <w:rsid w:val="1356298E"/>
    <w:rsid w:val="1358129F"/>
    <w:rsid w:val="135A1B88"/>
    <w:rsid w:val="135B4DA6"/>
    <w:rsid w:val="135C41DF"/>
    <w:rsid w:val="135F2886"/>
    <w:rsid w:val="13614CE6"/>
    <w:rsid w:val="13636A39"/>
    <w:rsid w:val="13642DB3"/>
    <w:rsid w:val="1365002C"/>
    <w:rsid w:val="1366434B"/>
    <w:rsid w:val="136678E1"/>
    <w:rsid w:val="136733C0"/>
    <w:rsid w:val="136A328A"/>
    <w:rsid w:val="136C36E2"/>
    <w:rsid w:val="136E6209"/>
    <w:rsid w:val="13730DF7"/>
    <w:rsid w:val="137323BE"/>
    <w:rsid w:val="1373566A"/>
    <w:rsid w:val="13740FF5"/>
    <w:rsid w:val="137453F3"/>
    <w:rsid w:val="137815B9"/>
    <w:rsid w:val="137A7B12"/>
    <w:rsid w:val="137B0FC2"/>
    <w:rsid w:val="137B22C8"/>
    <w:rsid w:val="137C13C1"/>
    <w:rsid w:val="137C4904"/>
    <w:rsid w:val="137C6986"/>
    <w:rsid w:val="137E2E1A"/>
    <w:rsid w:val="137F50CB"/>
    <w:rsid w:val="137F7BDF"/>
    <w:rsid w:val="13807B4F"/>
    <w:rsid w:val="13846FA5"/>
    <w:rsid w:val="13854214"/>
    <w:rsid w:val="13867090"/>
    <w:rsid w:val="13873EDE"/>
    <w:rsid w:val="13892811"/>
    <w:rsid w:val="13895EE5"/>
    <w:rsid w:val="138967B3"/>
    <w:rsid w:val="13897214"/>
    <w:rsid w:val="138A7BF3"/>
    <w:rsid w:val="138C1A4D"/>
    <w:rsid w:val="138C3AAC"/>
    <w:rsid w:val="138F0E77"/>
    <w:rsid w:val="1390313A"/>
    <w:rsid w:val="1391416C"/>
    <w:rsid w:val="139177A5"/>
    <w:rsid w:val="139263F1"/>
    <w:rsid w:val="1393604D"/>
    <w:rsid w:val="13946D37"/>
    <w:rsid w:val="13947549"/>
    <w:rsid w:val="13975F65"/>
    <w:rsid w:val="139A229F"/>
    <w:rsid w:val="139B49DC"/>
    <w:rsid w:val="139C39D9"/>
    <w:rsid w:val="139C70B4"/>
    <w:rsid w:val="139D04DA"/>
    <w:rsid w:val="139D369A"/>
    <w:rsid w:val="13A0062C"/>
    <w:rsid w:val="13A14926"/>
    <w:rsid w:val="13A3390D"/>
    <w:rsid w:val="13A34DFF"/>
    <w:rsid w:val="13A47BF6"/>
    <w:rsid w:val="13A66DDD"/>
    <w:rsid w:val="13AB0D6C"/>
    <w:rsid w:val="13AB12DB"/>
    <w:rsid w:val="13AB782D"/>
    <w:rsid w:val="13AC22E3"/>
    <w:rsid w:val="13AC4C37"/>
    <w:rsid w:val="13AD0769"/>
    <w:rsid w:val="13AD6BDE"/>
    <w:rsid w:val="13AE42A3"/>
    <w:rsid w:val="13AE6FBB"/>
    <w:rsid w:val="13AF53C7"/>
    <w:rsid w:val="13B14A0F"/>
    <w:rsid w:val="13B41FB6"/>
    <w:rsid w:val="13B6563B"/>
    <w:rsid w:val="13B665E5"/>
    <w:rsid w:val="13B81847"/>
    <w:rsid w:val="13BA26BD"/>
    <w:rsid w:val="13BA33FD"/>
    <w:rsid w:val="13BA73FC"/>
    <w:rsid w:val="13BB0BED"/>
    <w:rsid w:val="13BC751A"/>
    <w:rsid w:val="13BE3CF8"/>
    <w:rsid w:val="13C02266"/>
    <w:rsid w:val="13C25722"/>
    <w:rsid w:val="13C25964"/>
    <w:rsid w:val="13C5337E"/>
    <w:rsid w:val="13C56C52"/>
    <w:rsid w:val="13C66D21"/>
    <w:rsid w:val="13C853D0"/>
    <w:rsid w:val="13C901D9"/>
    <w:rsid w:val="13C95FC4"/>
    <w:rsid w:val="13CB4B8F"/>
    <w:rsid w:val="13CE0505"/>
    <w:rsid w:val="13CE76BB"/>
    <w:rsid w:val="13CF07CA"/>
    <w:rsid w:val="13CF1260"/>
    <w:rsid w:val="13D57DF0"/>
    <w:rsid w:val="13D76A3B"/>
    <w:rsid w:val="13D96185"/>
    <w:rsid w:val="13D97A71"/>
    <w:rsid w:val="13DB014D"/>
    <w:rsid w:val="13DB7C33"/>
    <w:rsid w:val="13DC79E7"/>
    <w:rsid w:val="13DD4C14"/>
    <w:rsid w:val="13DF488B"/>
    <w:rsid w:val="13DF73F9"/>
    <w:rsid w:val="13E0538F"/>
    <w:rsid w:val="13E13172"/>
    <w:rsid w:val="13E163B3"/>
    <w:rsid w:val="13E25B50"/>
    <w:rsid w:val="13E26823"/>
    <w:rsid w:val="13E30790"/>
    <w:rsid w:val="13E72667"/>
    <w:rsid w:val="13EB6EB7"/>
    <w:rsid w:val="13EC3924"/>
    <w:rsid w:val="13EE0E62"/>
    <w:rsid w:val="13EF4B49"/>
    <w:rsid w:val="13F1369C"/>
    <w:rsid w:val="13F27C02"/>
    <w:rsid w:val="13F331BC"/>
    <w:rsid w:val="13F44D1A"/>
    <w:rsid w:val="13F723E2"/>
    <w:rsid w:val="13F86929"/>
    <w:rsid w:val="13F90BA0"/>
    <w:rsid w:val="13FB288C"/>
    <w:rsid w:val="13FB2AD4"/>
    <w:rsid w:val="13FE5FC1"/>
    <w:rsid w:val="13FE6B6D"/>
    <w:rsid w:val="13FF0E43"/>
    <w:rsid w:val="13FF24D8"/>
    <w:rsid w:val="13FF4979"/>
    <w:rsid w:val="140023F5"/>
    <w:rsid w:val="140026D5"/>
    <w:rsid w:val="14002983"/>
    <w:rsid w:val="14011510"/>
    <w:rsid w:val="1401301A"/>
    <w:rsid w:val="140300F6"/>
    <w:rsid w:val="14043F97"/>
    <w:rsid w:val="1407623F"/>
    <w:rsid w:val="1408792F"/>
    <w:rsid w:val="140A0038"/>
    <w:rsid w:val="140A4C7E"/>
    <w:rsid w:val="140A5183"/>
    <w:rsid w:val="140B166E"/>
    <w:rsid w:val="140E34AA"/>
    <w:rsid w:val="140F4911"/>
    <w:rsid w:val="140F5D6C"/>
    <w:rsid w:val="141010F4"/>
    <w:rsid w:val="141035B5"/>
    <w:rsid w:val="14105541"/>
    <w:rsid w:val="1412064B"/>
    <w:rsid w:val="14130916"/>
    <w:rsid w:val="14136122"/>
    <w:rsid w:val="14147EC1"/>
    <w:rsid w:val="1417364A"/>
    <w:rsid w:val="14197287"/>
    <w:rsid w:val="141C699C"/>
    <w:rsid w:val="141D7706"/>
    <w:rsid w:val="14260F92"/>
    <w:rsid w:val="142627BC"/>
    <w:rsid w:val="14264237"/>
    <w:rsid w:val="14265020"/>
    <w:rsid w:val="142847F7"/>
    <w:rsid w:val="142A1A2E"/>
    <w:rsid w:val="142A249D"/>
    <w:rsid w:val="142B21FD"/>
    <w:rsid w:val="142C2265"/>
    <w:rsid w:val="142D058D"/>
    <w:rsid w:val="142D4381"/>
    <w:rsid w:val="142D7124"/>
    <w:rsid w:val="142D7D77"/>
    <w:rsid w:val="14300747"/>
    <w:rsid w:val="14304912"/>
    <w:rsid w:val="14307170"/>
    <w:rsid w:val="14310051"/>
    <w:rsid w:val="14312869"/>
    <w:rsid w:val="14320C8F"/>
    <w:rsid w:val="1435481D"/>
    <w:rsid w:val="14361A30"/>
    <w:rsid w:val="14364F26"/>
    <w:rsid w:val="143B078D"/>
    <w:rsid w:val="143C1CA8"/>
    <w:rsid w:val="143C3E60"/>
    <w:rsid w:val="143C4785"/>
    <w:rsid w:val="143D4831"/>
    <w:rsid w:val="14401477"/>
    <w:rsid w:val="1441756E"/>
    <w:rsid w:val="14421B35"/>
    <w:rsid w:val="14433DB2"/>
    <w:rsid w:val="144355C5"/>
    <w:rsid w:val="14447A6A"/>
    <w:rsid w:val="14451755"/>
    <w:rsid w:val="14471B06"/>
    <w:rsid w:val="14473B00"/>
    <w:rsid w:val="14485CE3"/>
    <w:rsid w:val="144B26BA"/>
    <w:rsid w:val="144B3387"/>
    <w:rsid w:val="144B354F"/>
    <w:rsid w:val="144C4616"/>
    <w:rsid w:val="14510D20"/>
    <w:rsid w:val="14513D8F"/>
    <w:rsid w:val="1452474F"/>
    <w:rsid w:val="14540538"/>
    <w:rsid w:val="1454269A"/>
    <w:rsid w:val="1454397C"/>
    <w:rsid w:val="145443B5"/>
    <w:rsid w:val="145622DA"/>
    <w:rsid w:val="1458600B"/>
    <w:rsid w:val="145B1A5F"/>
    <w:rsid w:val="145C048F"/>
    <w:rsid w:val="145D5164"/>
    <w:rsid w:val="145F0A3E"/>
    <w:rsid w:val="145F2B72"/>
    <w:rsid w:val="146037CC"/>
    <w:rsid w:val="14615283"/>
    <w:rsid w:val="14666522"/>
    <w:rsid w:val="14675B8C"/>
    <w:rsid w:val="14682138"/>
    <w:rsid w:val="14684362"/>
    <w:rsid w:val="1469196C"/>
    <w:rsid w:val="14693743"/>
    <w:rsid w:val="146A076C"/>
    <w:rsid w:val="146B3A96"/>
    <w:rsid w:val="146B5E1B"/>
    <w:rsid w:val="146F3F7F"/>
    <w:rsid w:val="14715242"/>
    <w:rsid w:val="14765A3B"/>
    <w:rsid w:val="14770E84"/>
    <w:rsid w:val="147A0550"/>
    <w:rsid w:val="147A35B0"/>
    <w:rsid w:val="147B6EE3"/>
    <w:rsid w:val="147E036A"/>
    <w:rsid w:val="147E054E"/>
    <w:rsid w:val="147E3FAC"/>
    <w:rsid w:val="148251B4"/>
    <w:rsid w:val="14835D63"/>
    <w:rsid w:val="1484690D"/>
    <w:rsid w:val="14854456"/>
    <w:rsid w:val="148608B9"/>
    <w:rsid w:val="14871BD7"/>
    <w:rsid w:val="148856AF"/>
    <w:rsid w:val="148A4A05"/>
    <w:rsid w:val="148B3CC7"/>
    <w:rsid w:val="148E04D6"/>
    <w:rsid w:val="148F0854"/>
    <w:rsid w:val="14902FD5"/>
    <w:rsid w:val="14905342"/>
    <w:rsid w:val="14950C9D"/>
    <w:rsid w:val="1496445A"/>
    <w:rsid w:val="14964A0C"/>
    <w:rsid w:val="14986C97"/>
    <w:rsid w:val="149B1454"/>
    <w:rsid w:val="149B1C83"/>
    <w:rsid w:val="149C621E"/>
    <w:rsid w:val="149E5272"/>
    <w:rsid w:val="149F164E"/>
    <w:rsid w:val="149F79A8"/>
    <w:rsid w:val="14A01B3D"/>
    <w:rsid w:val="14A0404D"/>
    <w:rsid w:val="14A16573"/>
    <w:rsid w:val="14A24C66"/>
    <w:rsid w:val="14A74173"/>
    <w:rsid w:val="14A86499"/>
    <w:rsid w:val="14A97649"/>
    <w:rsid w:val="14AA1F7D"/>
    <w:rsid w:val="14AB3A18"/>
    <w:rsid w:val="14AE358C"/>
    <w:rsid w:val="14AE589A"/>
    <w:rsid w:val="14B042DF"/>
    <w:rsid w:val="14B07528"/>
    <w:rsid w:val="14B07F07"/>
    <w:rsid w:val="14B2781E"/>
    <w:rsid w:val="14B568F4"/>
    <w:rsid w:val="14B62ACE"/>
    <w:rsid w:val="14BA00B8"/>
    <w:rsid w:val="14BB510F"/>
    <w:rsid w:val="14BD7B17"/>
    <w:rsid w:val="14BE1DEA"/>
    <w:rsid w:val="14BE2E92"/>
    <w:rsid w:val="14BE3E5E"/>
    <w:rsid w:val="14BF151B"/>
    <w:rsid w:val="14C15026"/>
    <w:rsid w:val="14C3392D"/>
    <w:rsid w:val="14C65A27"/>
    <w:rsid w:val="14C76527"/>
    <w:rsid w:val="14C90445"/>
    <w:rsid w:val="14C918D9"/>
    <w:rsid w:val="14CA742A"/>
    <w:rsid w:val="14CF7BF9"/>
    <w:rsid w:val="14D1119B"/>
    <w:rsid w:val="14D31AD7"/>
    <w:rsid w:val="14D61C74"/>
    <w:rsid w:val="14D85D9F"/>
    <w:rsid w:val="14D93CA0"/>
    <w:rsid w:val="14DA0A6B"/>
    <w:rsid w:val="14DA3468"/>
    <w:rsid w:val="14DC4A70"/>
    <w:rsid w:val="14DF1A98"/>
    <w:rsid w:val="14E138BB"/>
    <w:rsid w:val="14E14259"/>
    <w:rsid w:val="14E45CAE"/>
    <w:rsid w:val="14E523AA"/>
    <w:rsid w:val="14E54383"/>
    <w:rsid w:val="14E60BA0"/>
    <w:rsid w:val="14E679C7"/>
    <w:rsid w:val="14E77CE1"/>
    <w:rsid w:val="14E86660"/>
    <w:rsid w:val="14E9652D"/>
    <w:rsid w:val="14EB2A67"/>
    <w:rsid w:val="14EC1519"/>
    <w:rsid w:val="14EE6ABF"/>
    <w:rsid w:val="14F21965"/>
    <w:rsid w:val="14F35678"/>
    <w:rsid w:val="14F46B1C"/>
    <w:rsid w:val="14F67AAA"/>
    <w:rsid w:val="14F72D61"/>
    <w:rsid w:val="14F85F50"/>
    <w:rsid w:val="14F955A4"/>
    <w:rsid w:val="14FB0188"/>
    <w:rsid w:val="14FB55F5"/>
    <w:rsid w:val="14FC149D"/>
    <w:rsid w:val="14FD2797"/>
    <w:rsid w:val="14FD5F44"/>
    <w:rsid w:val="14FD60B9"/>
    <w:rsid w:val="14FE1217"/>
    <w:rsid w:val="15000581"/>
    <w:rsid w:val="150177A4"/>
    <w:rsid w:val="15017B0D"/>
    <w:rsid w:val="15096185"/>
    <w:rsid w:val="150B6B36"/>
    <w:rsid w:val="150D4539"/>
    <w:rsid w:val="150E4CE2"/>
    <w:rsid w:val="151238D3"/>
    <w:rsid w:val="151515A4"/>
    <w:rsid w:val="151576C1"/>
    <w:rsid w:val="151A1EE7"/>
    <w:rsid w:val="151A5D85"/>
    <w:rsid w:val="151E407C"/>
    <w:rsid w:val="15206439"/>
    <w:rsid w:val="15210702"/>
    <w:rsid w:val="1521480D"/>
    <w:rsid w:val="15216781"/>
    <w:rsid w:val="152653BF"/>
    <w:rsid w:val="15267B2B"/>
    <w:rsid w:val="152770C7"/>
    <w:rsid w:val="152D5571"/>
    <w:rsid w:val="152E56FB"/>
    <w:rsid w:val="153075B5"/>
    <w:rsid w:val="15316517"/>
    <w:rsid w:val="1533172E"/>
    <w:rsid w:val="15334FCB"/>
    <w:rsid w:val="15354FD9"/>
    <w:rsid w:val="1536710D"/>
    <w:rsid w:val="15383E2A"/>
    <w:rsid w:val="153914FD"/>
    <w:rsid w:val="15396F10"/>
    <w:rsid w:val="153A1515"/>
    <w:rsid w:val="153C38BA"/>
    <w:rsid w:val="153F594B"/>
    <w:rsid w:val="15416EFE"/>
    <w:rsid w:val="154206F3"/>
    <w:rsid w:val="154410BA"/>
    <w:rsid w:val="15457B19"/>
    <w:rsid w:val="15462403"/>
    <w:rsid w:val="15466446"/>
    <w:rsid w:val="15473A1A"/>
    <w:rsid w:val="154B00BB"/>
    <w:rsid w:val="154C4781"/>
    <w:rsid w:val="154F3E2D"/>
    <w:rsid w:val="155056A0"/>
    <w:rsid w:val="15511552"/>
    <w:rsid w:val="155158F3"/>
    <w:rsid w:val="155236D8"/>
    <w:rsid w:val="1553010C"/>
    <w:rsid w:val="15551C56"/>
    <w:rsid w:val="1555373C"/>
    <w:rsid w:val="155673F8"/>
    <w:rsid w:val="155872BD"/>
    <w:rsid w:val="155C5AD7"/>
    <w:rsid w:val="155C7993"/>
    <w:rsid w:val="155F2804"/>
    <w:rsid w:val="15614219"/>
    <w:rsid w:val="15624EB3"/>
    <w:rsid w:val="15624F0A"/>
    <w:rsid w:val="15643AFA"/>
    <w:rsid w:val="156574B3"/>
    <w:rsid w:val="15690C63"/>
    <w:rsid w:val="1569140F"/>
    <w:rsid w:val="15695771"/>
    <w:rsid w:val="156C77F2"/>
    <w:rsid w:val="1570281A"/>
    <w:rsid w:val="15712EA8"/>
    <w:rsid w:val="15731CA7"/>
    <w:rsid w:val="1573547A"/>
    <w:rsid w:val="15741272"/>
    <w:rsid w:val="157414EA"/>
    <w:rsid w:val="15746C23"/>
    <w:rsid w:val="157A6BD4"/>
    <w:rsid w:val="157B15F5"/>
    <w:rsid w:val="157C485F"/>
    <w:rsid w:val="157C5234"/>
    <w:rsid w:val="157E2E2D"/>
    <w:rsid w:val="158000B4"/>
    <w:rsid w:val="15816B55"/>
    <w:rsid w:val="1584002A"/>
    <w:rsid w:val="1584228C"/>
    <w:rsid w:val="15850C6B"/>
    <w:rsid w:val="15855CF9"/>
    <w:rsid w:val="158627DC"/>
    <w:rsid w:val="15872E4F"/>
    <w:rsid w:val="158742FF"/>
    <w:rsid w:val="15881800"/>
    <w:rsid w:val="15881B2B"/>
    <w:rsid w:val="158966D9"/>
    <w:rsid w:val="158B5A5A"/>
    <w:rsid w:val="158C3922"/>
    <w:rsid w:val="158D0526"/>
    <w:rsid w:val="158D1063"/>
    <w:rsid w:val="158D40A0"/>
    <w:rsid w:val="158E5CEA"/>
    <w:rsid w:val="158F2369"/>
    <w:rsid w:val="159247C9"/>
    <w:rsid w:val="15937D23"/>
    <w:rsid w:val="15952492"/>
    <w:rsid w:val="15954FB4"/>
    <w:rsid w:val="15981372"/>
    <w:rsid w:val="15992145"/>
    <w:rsid w:val="159A4FDC"/>
    <w:rsid w:val="159A57E4"/>
    <w:rsid w:val="159C367D"/>
    <w:rsid w:val="159D61E0"/>
    <w:rsid w:val="159D7240"/>
    <w:rsid w:val="15A1064D"/>
    <w:rsid w:val="15A17AE4"/>
    <w:rsid w:val="15A2451B"/>
    <w:rsid w:val="15A33201"/>
    <w:rsid w:val="15A42341"/>
    <w:rsid w:val="15A5599F"/>
    <w:rsid w:val="15AC0DD9"/>
    <w:rsid w:val="15AE0C2A"/>
    <w:rsid w:val="15AF3F84"/>
    <w:rsid w:val="15B003A2"/>
    <w:rsid w:val="15B04121"/>
    <w:rsid w:val="15B3515B"/>
    <w:rsid w:val="15B401D0"/>
    <w:rsid w:val="15B5523F"/>
    <w:rsid w:val="15B655F9"/>
    <w:rsid w:val="15BF3676"/>
    <w:rsid w:val="15C04AB6"/>
    <w:rsid w:val="15C0698D"/>
    <w:rsid w:val="15C1277F"/>
    <w:rsid w:val="15C22022"/>
    <w:rsid w:val="15C23CCC"/>
    <w:rsid w:val="15C26214"/>
    <w:rsid w:val="15C3000B"/>
    <w:rsid w:val="15C54441"/>
    <w:rsid w:val="15C60ADD"/>
    <w:rsid w:val="15CA6EDD"/>
    <w:rsid w:val="15CC4F36"/>
    <w:rsid w:val="15CD462E"/>
    <w:rsid w:val="15CF3492"/>
    <w:rsid w:val="15D10D39"/>
    <w:rsid w:val="15D331EB"/>
    <w:rsid w:val="15D62422"/>
    <w:rsid w:val="15D62959"/>
    <w:rsid w:val="15D93416"/>
    <w:rsid w:val="15D94EC3"/>
    <w:rsid w:val="15DC23F3"/>
    <w:rsid w:val="15DD37E1"/>
    <w:rsid w:val="15DE4B64"/>
    <w:rsid w:val="15E02F08"/>
    <w:rsid w:val="15E110F4"/>
    <w:rsid w:val="15E11353"/>
    <w:rsid w:val="15E5732A"/>
    <w:rsid w:val="15E6042D"/>
    <w:rsid w:val="15E65137"/>
    <w:rsid w:val="15E700A8"/>
    <w:rsid w:val="15EC0D43"/>
    <w:rsid w:val="15EC5DA9"/>
    <w:rsid w:val="15ED7DEC"/>
    <w:rsid w:val="15EE003C"/>
    <w:rsid w:val="15EE12C3"/>
    <w:rsid w:val="15F018C4"/>
    <w:rsid w:val="15F02AEA"/>
    <w:rsid w:val="15F23689"/>
    <w:rsid w:val="15F34733"/>
    <w:rsid w:val="15F64440"/>
    <w:rsid w:val="15F644F9"/>
    <w:rsid w:val="15F64A4A"/>
    <w:rsid w:val="15F90016"/>
    <w:rsid w:val="15FA0914"/>
    <w:rsid w:val="15FA2B09"/>
    <w:rsid w:val="15FA6822"/>
    <w:rsid w:val="15FB33BA"/>
    <w:rsid w:val="15FC09D5"/>
    <w:rsid w:val="15FD470B"/>
    <w:rsid w:val="15FE2869"/>
    <w:rsid w:val="15FE437A"/>
    <w:rsid w:val="15FF690D"/>
    <w:rsid w:val="160007B3"/>
    <w:rsid w:val="16000D11"/>
    <w:rsid w:val="16006079"/>
    <w:rsid w:val="16006317"/>
    <w:rsid w:val="1601037F"/>
    <w:rsid w:val="160143B0"/>
    <w:rsid w:val="160274F3"/>
    <w:rsid w:val="160371B0"/>
    <w:rsid w:val="160559AB"/>
    <w:rsid w:val="160712CB"/>
    <w:rsid w:val="16093D70"/>
    <w:rsid w:val="160B37AF"/>
    <w:rsid w:val="160B733A"/>
    <w:rsid w:val="160C7999"/>
    <w:rsid w:val="160D1961"/>
    <w:rsid w:val="160D3358"/>
    <w:rsid w:val="160D3A61"/>
    <w:rsid w:val="161021F0"/>
    <w:rsid w:val="161058C1"/>
    <w:rsid w:val="16121A33"/>
    <w:rsid w:val="16132FA7"/>
    <w:rsid w:val="16145B66"/>
    <w:rsid w:val="16151C1A"/>
    <w:rsid w:val="16185ED5"/>
    <w:rsid w:val="16190724"/>
    <w:rsid w:val="16191F9D"/>
    <w:rsid w:val="16193476"/>
    <w:rsid w:val="161A1CCC"/>
    <w:rsid w:val="161E0F83"/>
    <w:rsid w:val="161F4B64"/>
    <w:rsid w:val="16210BB1"/>
    <w:rsid w:val="1621557F"/>
    <w:rsid w:val="162255DD"/>
    <w:rsid w:val="16230EF3"/>
    <w:rsid w:val="16254EEC"/>
    <w:rsid w:val="162771E9"/>
    <w:rsid w:val="162A6E50"/>
    <w:rsid w:val="162B571B"/>
    <w:rsid w:val="162B5FFF"/>
    <w:rsid w:val="162F22EC"/>
    <w:rsid w:val="162F5087"/>
    <w:rsid w:val="163226D2"/>
    <w:rsid w:val="16337D42"/>
    <w:rsid w:val="16361E08"/>
    <w:rsid w:val="16391E8A"/>
    <w:rsid w:val="163D134F"/>
    <w:rsid w:val="163D4D42"/>
    <w:rsid w:val="164330ED"/>
    <w:rsid w:val="164604BB"/>
    <w:rsid w:val="16463BDB"/>
    <w:rsid w:val="164738EF"/>
    <w:rsid w:val="16486A10"/>
    <w:rsid w:val="16487C7C"/>
    <w:rsid w:val="164B2C55"/>
    <w:rsid w:val="164B45D7"/>
    <w:rsid w:val="164C7DF7"/>
    <w:rsid w:val="164D2292"/>
    <w:rsid w:val="164D4BA2"/>
    <w:rsid w:val="164E117C"/>
    <w:rsid w:val="164F4D3F"/>
    <w:rsid w:val="165255CC"/>
    <w:rsid w:val="165308CF"/>
    <w:rsid w:val="16546449"/>
    <w:rsid w:val="16561680"/>
    <w:rsid w:val="16562065"/>
    <w:rsid w:val="1656232F"/>
    <w:rsid w:val="1656767C"/>
    <w:rsid w:val="165703AC"/>
    <w:rsid w:val="16605300"/>
    <w:rsid w:val="16616D15"/>
    <w:rsid w:val="16617EA4"/>
    <w:rsid w:val="16622158"/>
    <w:rsid w:val="16647549"/>
    <w:rsid w:val="16672158"/>
    <w:rsid w:val="16676ECC"/>
    <w:rsid w:val="166E54B9"/>
    <w:rsid w:val="166F14C8"/>
    <w:rsid w:val="166F557D"/>
    <w:rsid w:val="1670568C"/>
    <w:rsid w:val="16716C87"/>
    <w:rsid w:val="1672232B"/>
    <w:rsid w:val="1672313D"/>
    <w:rsid w:val="16742FC9"/>
    <w:rsid w:val="16776F45"/>
    <w:rsid w:val="16796A15"/>
    <w:rsid w:val="167B5C8D"/>
    <w:rsid w:val="167C2F97"/>
    <w:rsid w:val="167C6D41"/>
    <w:rsid w:val="167E5249"/>
    <w:rsid w:val="16804D9C"/>
    <w:rsid w:val="1680541E"/>
    <w:rsid w:val="1682351F"/>
    <w:rsid w:val="16826DE7"/>
    <w:rsid w:val="1683729A"/>
    <w:rsid w:val="16842CBA"/>
    <w:rsid w:val="168563AC"/>
    <w:rsid w:val="16856F4D"/>
    <w:rsid w:val="168644AC"/>
    <w:rsid w:val="16872F7F"/>
    <w:rsid w:val="168736CE"/>
    <w:rsid w:val="168937DD"/>
    <w:rsid w:val="1689614E"/>
    <w:rsid w:val="168A04C4"/>
    <w:rsid w:val="168C77D7"/>
    <w:rsid w:val="168D1192"/>
    <w:rsid w:val="16907B05"/>
    <w:rsid w:val="169178D6"/>
    <w:rsid w:val="16922B96"/>
    <w:rsid w:val="16932D2A"/>
    <w:rsid w:val="1695517F"/>
    <w:rsid w:val="16961DCA"/>
    <w:rsid w:val="16975506"/>
    <w:rsid w:val="16982DFC"/>
    <w:rsid w:val="169A5946"/>
    <w:rsid w:val="169C7110"/>
    <w:rsid w:val="169F3740"/>
    <w:rsid w:val="16A10776"/>
    <w:rsid w:val="16A16F9D"/>
    <w:rsid w:val="16A31C07"/>
    <w:rsid w:val="16A34436"/>
    <w:rsid w:val="16A34CA9"/>
    <w:rsid w:val="16A81B0E"/>
    <w:rsid w:val="16A928C0"/>
    <w:rsid w:val="16AC4A75"/>
    <w:rsid w:val="16AD524A"/>
    <w:rsid w:val="16B01DE7"/>
    <w:rsid w:val="16B046B6"/>
    <w:rsid w:val="16B36E95"/>
    <w:rsid w:val="16B514AF"/>
    <w:rsid w:val="16B76116"/>
    <w:rsid w:val="16B831E5"/>
    <w:rsid w:val="16B93CDE"/>
    <w:rsid w:val="16B947B3"/>
    <w:rsid w:val="16BA2765"/>
    <w:rsid w:val="16BD2C3F"/>
    <w:rsid w:val="16BD6167"/>
    <w:rsid w:val="16BD730D"/>
    <w:rsid w:val="16C3060F"/>
    <w:rsid w:val="16C33F71"/>
    <w:rsid w:val="16C455C2"/>
    <w:rsid w:val="16C521E6"/>
    <w:rsid w:val="16C52A79"/>
    <w:rsid w:val="16C72565"/>
    <w:rsid w:val="16C941F5"/>
    <w:rsid w:val="16CA0DED"/>
    <w:rsid w:val="16CA6CD0"/>
    <w:rsid w:val="16CC072D"/>
    <w:rsid w:val="16D00A54"/>
    <w:rsid w:val="16D05671"/>
    <w:rsid w:val="16D26635"/>
    <w:rsid w:val="16D30B7D"/>
    <w:rsid w:val="16DA0865"/>
    <w:rsid w:val="16DB6414"/>
    <w:rsid w:val="16DF47E8"/>
    <w:rsid w:val="16E004BF"/>
    <w:rsid w:val="16E20967"/>
    <w:rsid w:val="16E21E59"/>
    <w:rsid w:val="16E34034"/>
    <w:rsid w:val="16E709F9"/>
    <w:rsid w:val="16E828AA"/>
    <w:rsid w:val="16EC5EF0"/>
    <w:rsid w:val="16EF565D"/>
    <w:rsid w:val="16EF7599"/>
    <w:rsid w:val="16F1669C"/>
    <w:rsid w:val="16F329AC"/>
    <w:rsid w:val="16F46D9E"/>
    <w:rsid w:val="16F61DA8"/>
    <w:rsid w:val="16F96EA1"/>
    <w:rsid w:val="16FA74B9"/>
    <w:rsid w:val="16FC4367"/>
    <w:rsid w:val="16FD06B6"/>
    <w:rsid w:val="16FF2241"/>
    <w:rsid w:val="17064174"/>
    <w:rsid w:val="17072B1C"/>
    <w:rsid w:val="17072E39"/>
    <w:rsid w:val="17073B1D"/>
    <w:rsid w:val="17083152"/>
    <w:rsid w:val="170C3F79"/>
    <w:rsid w:val="170E4DB0"/>
    <w:rsid w:val="17114543"/>
    <w:rsid w:val="17120A42"/>
    <w:rsid w:val="1713559A"/>
    <w:rsid w:val="1714574B"/>
    <w:rsid w:val="17172112"/>
    <w:rsid w:val="17190F42"/>
    <w:rsid w:val="17191F89"/>
    <w:rsid w:val="171A09F1"/>
    <w:rsid w:val="171A1E53"/>
    <w:rsid w:val="171A21FC"/>
    <w:rsid w:val="171C215A"/>
    <w:rsid w:val="171D4445"/>
    <w:rsid w:val="171D57E3"/>
    <w:rsid w:val="17224848"/>
    <w:rsid w:val="17231627"/>
    <w:rsid w:val="17235EEF"/>
    <w:rsid w:val="17235FB5"/>
    <w:rsid w:val="17255C3E"/>
    <w:rsid w:val="172700CA"/>
    <w:rsid w:val="17290751"/>
    <w:rsid w:val="172915B2"/>
    <w:rsid w:val="1729729F"/>
    <w:rsid w:val="172D4321"/>
    <w:rsid w:val="172F16EA"/>
    <w:rsid w:val="172F1DE8"/>
    <w:rsid w:val="17300D91"/>
    <w:rsid w:val="17304BF5"/>
    <w:rsid w:val="17330F0D"/>
    <w:rsid w:val="17391158"/>
    <w:rsid w:val="173A7496"/>
    <w:rsid w:val="173B000C"/>
    <w:rsid w:val="173B0AE5"/>
    <w:rsid w:val="173B1CFB"/>
    <w:rsid w:val="173C5775"/>
    <w:rsid w:val="173C5800"/>
    <w:rsid w:val="173D7733"/>
    <w:rsid w:val="173E68E4"/>
    <w:rsid w:val="173F41FC"/>
    <w:rsid w:val="17403FB1"/>
    <w:rsid w:val="17412EE3"/>
    <w:rsid w:val="174308B9"/>
    <w:rsid w:val="1743435E"/>
    <w:rsid w:val="17444FA1"/>
    <w:rsid w:val="17466B7D"/>
    <w:rsid w:val="17467592"/>
    <w:rsid w:val="17474511"/>
    <w:rsid w:val="174A023D"/>
    <w:rsid w:val="174A6FE7"/>
    <w:rsid w:val="174A7D0F"/>
    <w:rsid w:val="174B6FD7"/>
    <w:rsid w:val="174D4F6B"/>
    <w:rsid w:val="174E6A29"/>
    <w:rsid w:val="174F5799"/>
    <w:rsid w:val="174F6B08"/>
    <w:rsid w:val="17501055"/>
    <w:rsid w:val="17514460"/>
    <w:rsid w:val="17527686"/>
    <w:rsid w:val="17531CE8"/>
    <w:rsid w:val="17543989"/>
    <w:rsid w:val="17544BB4"/>
    <w:rsid w:val="17592D32"/>
    <w:rsid w:val="175B78B0"/>
    <w:rsid w:val="175C2C93"/>
    <w:rsid w:val="175C78BD"/>
    <w:rsid w:val="175E3E5B"/>
    <w:rsid w:val="175E7641"/>
    <w:rsid w:val="176307D6"/>
    <w:rsid w:val="176420F8"/>
    <w:rsid w:val="1766324E"/>
    <w:rsid w:val="17694A1E"/>
    <w:rsid w:val="1769788A"/>
    <w:rsid w:val="176B5DEF"/>
    <w:rsid w:val="176D3400"/>
    <w:rsid w:val="176D740B"/>
    <w:rsid w:val="176E199E"/>
    <w:rsid w:val="176F1EB8"/>
    <w:rsid w:val="17701F46"/>
    <w:rsid w:val="1771280D"/>
    <w:rsid w:val="177B5CD9"/>
    <w:rsid w:val="177C5700"/>
    <w:rsid w:val="177D7356"/>
    <w:rsid w:val="17803BCD"/>
    <w:rsid w:val="17840D2E"/>
    <w:rsid w:val="17852E94"/>
    <w:rsid w:val="17860398"/>
    <w:rsid w:val="17870EB6"/>
    <w:rsid w:val="17884AE4"/>
    <w:rsid w:val="178C44B9"/>
    <w:rsid w:val="178D416F"/>
    <w:rsid w:val="178E72E8"/>
    <w:rsid w:val="178F4900"/>
    <w:rsid w:val="17912582"/>
    <w:rsid w:val="17913FFE"/>
    <w:rsid w:val="17933AF6"/>
    <w:rsid w:val="1795572B"/>
    <w:rsid w:val="179739C2"/>
    <w:rsid w:val="179855A4"/>
    <w:rsid w:val="17993DCF"/>
    <w:rsid w:val="179A0952"/>
    <w:rsid w:val="179B2175"/>
    <w:rsid w:val="179E4D3F"/>
    <w:rsid w:val="17A32642"/>
    <w:rsid w:val="17A6626F"/>
    <w:rsid w:val="17A7593E"/>
    <w:rsid w:val="17A76A4F"/>
    <w:rsid w:val="17A80E6F"/>
    <w:rsid w:val="17AA64D0"/>
    <w:rsid w:val="17AC2D1F"/>
    <w:rsid w:val="17AF5D8F"/>
    <w:rsid w:val="17B0043E"/>
    <w:rsid w:val="17B07EA3"/>
    <w:rsid w:val="17B14758"/>
    <w:rsid w:val="17B16336"/>
    <w:rsid w:val="17B22684"/>
    <w:rsid w:val="17B30877"/>
    <w:rsid w:val="17B324DB"/>
    <w:rsid w:val="17B36222"/>
    <w:rsid w:val="17B36514"/>
    <w:rsid w:val="17B4679F"/>
    <w:rsid w:val="17B52C38"/>
    <w:rsid w:val="17B64D94"/>
    <w:rsid w:val="17BC230A"/>
    <w:rsid w:val="17BC2A90"/>
    <w:rsid w:val="17BC2D6B"/>
    <w:rsid w:val="17BD1587"/>
    <w:rsid w:val="17C05A3C"/>
    <w:rsid w:val="17C240E5"/>
    <w:rsid w:val="17C33062"/>
    <w:rsid w:val="17C50148"/>
    <w:rsid w:val="17C72C74"/>
    <w:rsid w:val="17C92BB9"/>
    <w:rsid w:val="17CB6465"/>
    <w:rsid w:val="17CC0A90"/>
    <w:rsid w:val="17CD1708"/>
    <w:rsid w:val="17CD3F49"/>
    <w:rsid w:val="17CE3DCD"/>
    <w:rsid w:val="17CF2B54"/>
    <w:rsid w:val="17D0671E"/>
    <w:rsid w:val="17D2109D"/>
    <w:rsid w:val="17D45A73"/>
    <w:rsid w:val="17D474E5"/>
    <w:rsid w:val="17D55F73"/>
    <w:rsid w:val="17D67173"/>
    <w:rsid w:val="17D8118F"/>
    <w:rsid w:val="17D82698"/>
    <w:rsid w:val="17D95E09"/>
    <w:rsid w:val="17DC3C56"/>
    <w:rsid w:val="17DD3883"/>
    <w:rsid w:val="17DE44F3"/>
    <w:rsid w:val="17DE7698"/>
    <w:rsid w:val="17DF19BF"/>
    <w:rsid w:val="17E31C03"/>
    <w:rsid w:val="17E46C93"/>
    <w:rsid w:val="17E72C2E"/>
    <w:rsid w:val="17E8130D"/>
    <w:rsid w:val="17E92B3C"/>
    <w:rsid w:val="17EA27B9"/>
    <w:rsid w:val="17EE1624"/>
    <w:rsid w:val="17EE173E"/>
    <w:rsid w:val="17EF0421"/>
    <w:rsid w:val="17F04994"/>
    <w:rsid w:val="17F15AF8"/>
    <w:rsid w:val="17F3029B"/>
    <w:rsid w:val="17F57DAA"/>
    <w:rsid w:val="17F77C8D"/>
    <w:rsid w:val="17F8014D"/>
    <w:rsid w:val="17F90767"/>
    <w:rsid w:val="17F96AEE"/>
    <w:rsid w:val="17FC0E0F"/>
    <w:rsid w:val="17FC442F"/>
    <w:rsid w:val="17FC67FE"/>
    <w:rsid w:val="17FE20A1"/>
    <w:rsid w:val="17FE3CA4"/>
    <w:rsid w:val="17FF4D76"/>
    <w:rsid w:val="18022E96"/>
    <w:rsid w:val="18024891"/>
    <w:rsid w:val="180344DB"/>
    <w:rsid w:val="180571EE"/>
    <w:rsid w:val="1806709D"/>
    <w:rsid w:val="18075278"/>
    <w:rsid w:val="18094F6F"/>
    <w:rsid w:val="180A42D6"/>
    <w:rsid w:val="180A79B6"/>
    <w:rsid w:val="180C0810"/>
    <w:rsid w:val="180C1EC2"/>
    <w:rsid w:val="180C5448"/>
    <w:rsid w:val="180D0EFE"/>
    <w:rsid w:val="181059BF"/>
    <w:rsid w:val="181124CF"/>
    <w:rsid w:val="18127507"/>
    <w:rsid w:val="18132B2C"/>
    <w:rsid w:val="18170AC6"/>
    <w:rsid w:val="18185664"/>
    <w:rsid w:val="18185D2A"/>
    <w:rsid w:val="181E26E3"/>
    <w:rsid w:val="181E5721"/>
    <w:rsid w:val="181F2D89"/>
    <w:rsid w:val="18206156"/>
    <w:rsid w:val="18215D03"/>
    <w:rsid w:val="1824195B"/>
    <w:rsid w:val="182424DA"/>
    <w:rsid w:val="182425F1"/>
    <w:rsid w:val="1825173B"/>
    <w:rsid w:val="182533D4"/>
    <w:rsid w:val="182632DF"/>
    <w:rsid w:val="18273EC2"/>
    <w:rsid w:val="18274CDE"/>
    <w:rsid w:val="182A16D9"/>
    <w:rsid w:val="183141AA"/>
    <w:rsid w:val="18322F12"/>
    <w:rsid w:val="1833299B"/>
    <w:rsid w:val="183459D7"/>
    <w:rsid w:val="18385FBF"/>
    <w:rsid w:val="183A4C46"/>
    <w:rsid w:val="183B63B9"/>
    <w:rsid w:val="183F12AB"/>
    <w:rsid w:val="18402E97"/>
    <w:rsid w:val="184067CB"/>
    <w:rsid w:val="18411D1F"/>
    <w:rsid w:val="184539A3"/>
    <w:rsid w:val="1845494C"/>
    <w:rsid w:val="18462426"/>
    <w:rsid w:val="1847240A"/>
    <w:rsid w:val="184A3CC0"/>
    <w:rsid w:val="184B35C4"/>
    <w:rsid w:val="184C1D51"/>
    <w:rsid w:val="184C60C2"/>
    <w:rsid w:val="184D5F1F"/>
    <w:rsid w:val="184F3A28"/>
    <w:rsid w:val="184F627F"/>
    <w:rsid w:val="1852116F"/>
    <w:rsid w:val="18523440"/>
    <w:rsid w:val="1855187B"/>
    <w:rsid w:val="185A511C"/>
    <w:rsid w:val="185B3FF6"/>
    <w:rsid w:val="185C21BE"/>
    <w:rsid w:val="185C43F8"/>
    <w:rsid w:val="185D5CD7"/>
    <w:rsid w:val="185D7290"/>
    <w:rsid w:val="185E6B4A"/>
    <w:rsid w:val="18610E3E"/>
    <w:rsid w:val="18622E2A"/>
    <w:rsid w:val="18665B04"/>
    <w:rsid w:val="1866685C"/>
    <w:rsid w:val="18677E78"/>
    <w:rsid w:val="186C32EA"/>
    <w:rsid w:val="186D7FDD"/>
    <w:rsid w:val="186F7A93"/>
    <w:rsid w:val="18723F5D"/>
    <w:rsid w:val="187271F1"/>
    <w:rsid w:val="18742E53"/>
    <w:rsid w:val="18777EDD"/>
    <w:rsid w:val="187A5223"/>
    <w:rsid w:val="187B3B8E"/>
    <w:rsid w:val="187B6506"/>
    <w:rsid w:val="187D3DE4"/>
    <w:rsid w:val="187D51EC"/>
    <w:rsid w:val="18806E7B"/>
    <w:rsid w:val="18822661"/>
    <w:rsid w:val="18825B05"/>
    <w:rsid w:val="1883161B"/>
    <w:rsid w:val="18841ED3"/>
    <w:rsid w:val="188452F1"/>
    <w:rsid w:val="188641CB"/>
    <w:rsid w:val="18865243"/>
    <w:rsid w:val="18871816"/>
    <w:rsid w:val="188976F9"/>
    <w:rsid w:val="188A1B0E"/>
    <w:rsid w:val="188B098C"/>
    <w:rsid w:val="18932BED"/>
    <w:rsid w:val="18933662"/>
    <w:rsid w:val="18936C99"/>
    <w:rsid w:val="18937E30"/>
    <w:rsid w:val="18946A39"/>
    <w:rsid w:val="18971B84"/>
    <w:rsid w:val="18984C61"/>
    <w:rsid w:val="189873CB"/>
    <w:rsid w:val="18A55E9F"/>
    <w:rsid w:val="18A67FE8"/>
    <w:rsid w:val="18A7213E"/>
    <w:rsid w:val="18A84293"/>
    <w:rsid w:val="18AA528C"/>
    <w:rsid w:val="18AB1740"/>
    <w:rsid w:val="18AD726B"/>
    <w:rsid w:val="18AF592B"/>
    <w:rsid w:val="18B02BDA"/>
    <w:rsid w:val="18B12F22"/>
    <w:rsid w:val="18B41001"/>
    <w:rsid w:val="18B72681"/>
    <w:rsid w:val="18B80F24"/>
    <w:rsid w:val="18B90741"/>
    <w:rsid w:val="18BB1203"/>
    <w:rsid w:val="18BC47EA"/>
    <w:rsid w:val="18BD513B"/>
    <w:rsid w:val="18BF3B93"/>
    <w:rsid w:val="18C22B52"/>
    <w:rsid w:val="18C30529"/>
    <w:rsid w:val="18C505DB"/>
    <w:rsid w:val="18C759CC"/>
    <w:rsid w:val="18C82A7B"/>
    <w:rsid w:val="18C95E8C"/>
    <w:rsid w:val="18CC31A0"/>
    <w:rsid w:val="18D059AF"/>
    <w:rsid w:val="18D0763E"/>
    <w:rsid w:val="18D30C38"/>
    <w:rsid w:val="18D31FF9"/>
    <w:rsid w:val="18D502D0"/>
    <w:rsid w:val="18DD33BF"/>
    <w:rsid w:val="18DE381C"/>
    <w:rsid w:val="18DF383A"/>
    <w:rsid w:val="18DF5E26"/>
    <w:rsid w:val="18E1503C"/>
    <w:rsid w:val="18E251A3"/>
    <w:rsid w:val="18E31092"/>
    <w:rsid w:val="18E347DB"/>
    <w:rsid w:val="18E66E1B"/>
    <w:rsid w:val="18E75E1E"/>
    <w:rsid w:val="18E842A2"/>
    <w:rsid w:val="18EA1E9C"/>
    <w:rsid w:val="18EE3DFA"/>
    <w:rsid w:val="18EF0092"/>
    <w:rsid w:val="18F5548F"/>
    <w:rsid w:val="18F76901"/>
    <w:rsid w:val="18F82803"/>
    <w:rsid w:val="18F839EE"/>
    <w:rsid w:val="18F862B1"/>
    <w:rsid w:val="18F8669D"/>
    <w:rsid w:val="18FA6291"/>
    <w:rsid w:val="18FB2DCA"/>
    <w:rsid w:val="18FB6E8F"/>
    <w:rsid w:val="18FD7FF3"/>
    <w:rsid w:val="19011F38"/>
    <w:rsid w:val="1901273D"/>
    <w:rsid w:val="1901474F"/>
    <w:rsid w:val="19047B34"/>
    <w:rsid w:val="190958ED"/>
    <w:rsid w:val="190A7325"/>
    <w:rsid w:val="191376E3"/>
    <w:rsid w:val="19156FE3"/>
    <w:rsid w:val="19171C9D"/>
    <w:rsid w:val="191B2857"/>
    <w:rsid w:val="191D0A29"/>
    <w:rsid w:val="19225B64"/>
    <w:rsid w:val="1923380A"/>
    <w:rsid w:val="19255D20"/>
    <w:rsid w:val="192760B0"/>
    <w:rsid w:val="19296ABB"/>
    <w:rsid w:val="192A6C6C"/>
    <w:rsid w:val="192B3DB3"/>
    <w:rsid w:val="192B5B71"/>
    <w:rsid w:val="192C3E63"/>
    <w:rsid w:val="193212E8"/>
    <w:rsid w:val="1932169C"/>
    <w:rsid w:val="19332DD2"/>
    <w:rsid w:val="19333D9E"/>
    <w:rsid w:val="19361AB5"/>
    <w:rsid w:val="19367C56"/>
    <w:rsid w:val="19381F34"/>
    <w:rsid w:val="19396F1B"/>
    <w:rsid w:val="19397704"/>
    <w:rsid w:val="193A3540"/>
    <w:rsid w:val="193B06F9"/>
    <w:rsid w:val="193C3398"/>
    <w:rsid w:val="193C57BB"/>
    <w:rsid w:val="193E6803"/>
    <w:rsid w:val="1940588D"/>
    <w:rsid w:val="194069C2"/>
    <w:rsid w:val="194262EA"/>
    <w:rsid w:val="194402AD"/>
    <w:rsid w:val="194441CF"/>
    <w:rsid w:val="19463A5E"/>
    <w:rsid w:val="1948438F"/>
    <w:rsid w:val="194C1155"/>
    <w:rsid w:val="194C3001"/>
    <w:rsid w:val="194C643F"/>
    <w:rsid w:val="194C6CB6"/>
    <w:rsid w:val="194D5872"/>
    <w:rsid w:val="194F4C91"/>
    <w:rsid w:val="194F7017"/>
    <w:rsid w:val="1950214C"/>
    <w:rsid w:val="19504FE6"/>
    <w:rsid w:val="19520CB5"/>
    <w:rsid w:val="19534D1E"/>
    <w:rsid w:val="19535C37"/>
    <w:rsid w:val="19541E34"/>
    <w:rsid w:val="1955372A"/>
    <w:rsid w:val="19563967"/>
    <w:rsid w:val="195B3597"/>
    <w:rsid w:val="195C7F6C"/>
    <w:rsid w:val="195D6648"/>
    <w:rsid w:val="195E001D"/>
    <w:rsid w:val="196020F0"/>
    <w:rsid w:val="19621801"/>
    <w:rsid w:val="19651239"/>
    <w:rsid w:val="19656994"/>
    <w:rsid w:val="1966359E"/>
    <w:rsid w:val="1966383A"/>
    <w:rsid w:val="19675279"/>
    <w:rsid w:val="1969570C"/>
    <w:rsid w:val="196B5733"/>
    <w:rsid w:val="196D43FC"/>
    <w:rsid w:val="196D7D25"/>
    <w:rsid w:val="196F7C58"/>
    <w:rsid w:val="197116C5"/>
    <w:rsid w:val="19731578"/>
    <w:rsid w:val="1974766C"/>
    <w:rsid w:val="19761266"/>
    <w:rsid w:val="197845B1"/>
    <w:rsid w:val="197A00C8"/>
    <w:rsid w:val="197A70C3"/>
    <w:rsid w:val="197F103C"/>
    <w:rsid w:val="19800732"/>
    <w:rsid w:val="19820F64"/>
    <w:rsid w:val="19833C39"/>
    <w:rsid w:val="19834A4F"/>
    <w:rsid w:val="19861B9B"/>
    <w:rsid w:val="19875A98"/>
    <w:rsid w:val="19884775"/>
    <w:rsid w:val="198971EB"/>
    <w:rsid w:val="198C4AC8"/>
    <w:rsid w:val="198C6011"/>
    <w:rsid w:val="198D073C"/>
    <w:rsid w:val="198D339C"/>
    <w:rsid w:val="198D5E9D"/>
    <w:rsid w:val="19900B43"/>
    <w:rsid w:val="199118EB"/>
    <w:rsid w:val="1993769A"/>
    <w:rsid w:val="1994215A"/>
    <w:rsid w:val="19945FA6"/>
    <w:rsid w:val="19981DF5"/>
    <w:rsid w:val="199911B9"/>
    <w:rsid w:val="19992A1D"/>
    <w:rsid w:val="199A09F9"/>
    <w:rsid w:val="199A7DC6"/>
    <w:rsid w:val="199F3CB5"/>
    <w:rsid w:val="19A02CEB"/>
    <w:rsid w:val="19A11B1F"/>
    <w:rsid w:val="19A20B0E"/>
    <w:rsid w:val="19A410C3"/>
    <w:rsid w:val="19A45A48"/>
    <w:rsid w:val="19A97BB1"/>
    <w:rsid w:val="19AA12D9"/>
    <w:rsid w:val="19AB0B2E"/>
    <w:rsid w:val="19AC33A0"/>
    <w:rsid w:val="19AD150A"/>
    <w:rsid w:val="19B21780"/>
    <w:rsid w:val="19B42599"/>
    <w:rsid w:val="19B84017"/>
    <w:rsid w:val="19B84314"/>
    <w:rsid w:val="19B90251"/>
    <w:rsid w:val="19BA0845"/>
    <w:rsid w:val="19BA6269"/>
    <w:rsid w:val="19BA7778"/>
    <w:rsid w:val="19BC011D"/>
    <w:rsid w:val="19BC149F"/>
    <w:rsid w:val="19BC6660"/>
    <w:rsid w:val="19BF0E68"/>
    <w:rsid w:val="19C03683"/>
    <w:rsid w:val="19C14F22"/>
    <w:rsid w:val="19C22B3A"/>
    <w:rsid w:val="19C323F6"/>
    <w:rsid w:val="19C7336A"/>
    <w:rsid w:val="19C922D6"/>
    <w:rsid w:val="19CD2D65"/>
    <w:rsid w:val="19D14616"/>
    <w:rsid w:val="19D257D1"/>
    <w:rsid w:val="19D25C04"/>
    <w:rsid w:val="19D3547A"/>
    <w:rsid w:val="19D42D1A"/>
    <w:rsid w:val="19D44BDE"/>
    <w:rsid w:val="19D678CD"/>
    <w:rsid w:val="19D71C1C"/>
    <w:rsid w:val="19D80A19"/>
    <w:rsid w:val="19DA1EF0"/>
    <w:rsid w:val="19DB02F6"/>
    <w:rsid w:val="19DF1AC1"/>
    <w:rsid w:val="19E049E8"/>
    <w:rsid w:val="19E14B43"/>
    <w:rsid w:val="19E2058F"/>
    <w:rsid w:val="19E379A7"/>
    <w:rsid w:val="19E407EB"/>
    <w:rsid w:val="19E56CB6"/>
    <w:rsid w:val="19E74666"/>
    <w:rsid w:val="19E858E9"/>
    <w:rsid w:val="19E96F1A"/>
    <w:rsid w:val="19E97C3A"/>
    <w:rsid w:val="19EA4AD5"/>
    <w:rsid w:val="19EB437E"/>
    <w:rsid w:val="19EF5A57"/>
    <w:rsid w:val="19F04BBA"/>
    <w:rsid w:val="19F10745"/>
    <w:rsid w:val="19F32A9E"/>
    <w:rsid w:val="19F53D0C"/>
    <w:rsid w:val="19F6133D"/>
    <w:rsid w:val="19F62A94"/>
    <w:rsid w:val="19F70AA1"/>
    <w:rsid w:val="19F76B8A"/>
    <w:rsid w:val="19FC7CE9"/>
    <w:rsid w:val="1A012A2A"/>
    <w:rsid w:val="1A012F02"/>
    <w:rsid w:val="1A097135"/>
    <w:rsid w:val="1A0B1BDC"/>
    <w:rsid w:val="1A0C02C1"/>
    <w:rsid w:val="1A0C2EE0"/>
    <w:rsid w:val="1A0D0E14"/>
    <w:rsid w:val="1A112FE8"/>
    <w:rsid w:val="1A114EDB"/>
    <w:rsid w:val="1A143C4D"/>
    <w:rsid w:val="1A1601BF"/>
    <w:rsid w:val="1A190195"/>
    <w:rsid w:val="1A190EDB"/>
    <w:rsid w:val="1A1A5034"/>
    <w:rsid w:val="1A1B77D7"/>
    <w:rsid w:val="1A1C0ACA"/>
    <w:rsid w:val="1A1C5337"/>
    <w:rsid w:val="1A201D87"/>
    <w:rsid w:val="1A202B33"/>
    <w:rsid w:val="1A22375E"/>
    <w:rsid w:val="1A227395"/>
    <w:rsid w:val="1A237759"/>
    <w:rsid w:val="1A245E17"/>
    <w:rsid w:val="1A2517C6"/>
    <w:rsid w:val="1A251C8F"/>
    <w:rsid w:val="1A2560DA"/>
    <w:rsid w:val="1A27152F"/>
    <w:rsid w:val="1A284E1C"/>
    <w:rsid w:val="1A28512B"/>
    <w:rsid w:val="1A2A2E09"/>
    <w:rsid w:val="1A2B7ABE"/>
    <w:rsid w:val="1A2C7B23"/>
    <w:rsid w:val="1A2D235A"/>
    <w:rsid w:val="1A2E1D7E"/>
    <w:rsid w:val="1A352F77"/>
    <w:rsid w:val="1A360279"/>
    <w:rsid w:val="1A3717A8"/>
    <w:rsid w:val="1A372431"/>
    <w:rsid w:val="1A372448"/>
    <w:rsid w:val="1A38500F"/>
    <w:rsid w:val="1A391511"/>
    <w:rsid w:val="1A3C0541"/>
    <w:rsid w:val="1A3D2AD8"/>
    <w:rsid w:val="1A3E3C11"/>
    <w:rsid w:val="1A3F53A1"/>
    <w:rsid w:val="1A40070D"/>
    <w:rsid w:val="1A414892"/>
    <w:rsid w:val="1A420ABC"/>
    <w:rsid w:val="1A430DA7"/>
    <w:rsid w:val="1A4752F0"/>
    <w:rsid w:val="1A48288F"/>
    <w:rsid w:val="1A495987"/>
    <w:rsid w:val="1A4B3C37"/>
    <w:rsid w:val="1A4E3139"/>
    <w:rsid w:val="1A4F597D"/>
    <w:rsid w:val="1A4F6E22"/>
    <w:rsid w:val="1A502348"/>
    <w:rsid w:val="1A515BF3"/>
    <w:rsid w:val="1A516A25"/>
    <w:rsid w:val="1A5374F2"/>
    <w:rsid w:val="1A541422"/>
    <w:rsid w:val="1A570379"/>
    <w:rsid w:val="1A5B027E"/>
    <w:rsid w:val="1A5B3F6D"/>
    <w:rsid w:val="1A5B5126"/>
    <w:rsid w:val="1A5C5751"/>
    <w:rsid w:val="1A5C7DC8"/>
    <w:rsid w:val="1A5E0E4F"/>
    <w:rsid w:val="1A635F66"/>
    <w:rsid w:val="1A64703A"/>
    <w:rsid w:val="1A6607C7"/>
    <w:rsid w:val="1A6632E5"/>
    <w:rsid w:val="1A664BC0"/>
    <w:rsid w:val="1A6B0369"/>
    <w:rsid w:val="1A6B273E"/>
    <w:rsid w:val="1A6B3219"/>
    <w:rsid w:val="1A6D1498"/>
    <w:rsid w:val="1A6E1DA6"/>
    <w:rsid w:val="1A6F65D5"/>
    <w:rsid w:val="1A703341"/>
    <w:rsid w:val="1A7160E2"/>
    <w:rsid w:val="1A720FA0"/>
    <w:rsid w:val="1A722702"/>
    <w:rsid w:val="1A737A8A"/>
    <w:rsid w:val="1A750484"/>
    <w:rsid w:val="1A762023"/>
    <w:rsid w:val="1A782E95"/>
    <w:rsid w:val="1A784BB1"/>
    <w:rsid w:val="1A786DE1"/>
    <w:rsid w:val="1A790623"/>
    <w:rsid w:val="1A7A719A"/>
    <w:rsid w:val="1A7C495F"/>
    <w:rsid w:val="1A7C57CE"/>
    <w:rsid w:val="1A7E6846"/>
    <w:rsid w:val="1A807610"/>
    <w:rsid w:val="1A816641"/>
    <w:rsid w:val="1A824CB4"/>
    <w:rsid w:val="1A831772"/>
    <w:rsid w:val="1A8319D8"/>
    <w:rsid w:val="1A840700"/>
    <w:rsid w:val="1A860DF2"/>
    <w:rsid w:val="1A86362A"/>
    <w:rsid w:val="1A8709C9"/>
    <w:rsid w:val="1A873050"/>
    <w:rsid w:val="1A876701"/>
    <w:rsid w:val="1A894C94"/>
    <w:rsid w:val="1A8A30E2"/>
    <w:rsid w:val="1A8B03B3"/>
    <w:rsid w:val="1A8B1B77"/>
    <w:rsid w:val="1A8F0796"/>
    <w:rsid w:val="1A8F1330"/>
    <w:rsid w:val="1A902242"/>
    <w:rsid w:val="1A911CD1"/>
    <w:rsid w:val="1A971711"/>
    <w:rsid w:val="1A9943D9"/>
    <w:rsid w:val="1A996052"/>
    <w:rsid w:val="1A9A473C"/>
    <w:rsid w:val="1A9A7CB0"/>
    <w:rsid w:val="1A9B5CB3"/>
    <w:rsid w:val="1A9C6E93"/>
    <w:rsid w:val="1A9D05E0"/>
    <w:rsid w:val="1A9D719A"/>
    <w:rsid w:val="1A9E09CC"/>
    <w:rsid w:val="1A9E0F46"/>
    <w:rsid w:val="1A9E6B15"/>
    <w:rsid w:val="1AA01BB8"/>
    <w:rsid w:val="1AA04754"/>
    <w:rsid w:val="1AA06AA1"/>
    <w:rsid w:val="1AA16A54"/>
    <w:rsid w:val="1AA170AB"/>
    <w:rsid w:val="1AA172A0"/>
    <w:rsid w:val="1AA3547B"/>
    <w:rsid w:val="1AA40885"/>
    <w:rsid w:val="1AA7269B"/>
    <w:rsid w:val="1AA77815"/>
    <w:rsid w:val="1AAA4E64"/>
    <w:rsid w:val="1AAA64D8"/>
    <w:rsid w:val="1AAB27FF"/>
    <w:rsid w:val="1AAC050D"/>
    <w:rsid w:val="1AAC206A"/>
    <w:rsid w:val="1AAD12E7"/>
    <w:rsid w:val="1AB068D3"/>
    <w:rsid w:val="1AB14C5A"/>
    <w:rsid w:val="1AB252AA"/>
    <w:rsid w:val="1AB256C7"/>
    <w:rsid w:val="1AB34CA0"/>
    <w:rsid w:val="1AB447D7"/>
    <w:rsid w:val="1AB53324"/>
    <w:rsid w:val="1AB63F09"/>
    <w:rsid w:val="1AB834D5"/>
    <w:rsid w:val="1AB85725"/>
    <w:rsid w:val="1ABB1F7E"/>
    <w:rsid w:val="1AC010EE"/>
    <w:rsid w:val="1AC131D3"/>
    <w:rsid w:val="1AC2206A"/>
    <w:rsid w:val="1AC25C40"/>
    <w:rsid w:val="1AC833B7"/>
    <w:rsid w:val="1AC96D56"/>
    <w:rsid w:val="1ACA0CA0"/>
    <w:rsid w:val="1ACA330D"/>
    <w:rsid w:val="1ACB5D28"/>
    <w:rsid w:val="1ACC5211"/>
    <w:rsid w:val="1ACC6DE4"/>
    <w:rsid w:val="1AD20A80"/>
    <w:rsid w:val="1AD30743"/>
    <w:rsid w:val="1AD509A9"/>
    <w:rsid w:val="1AD57827"/>
    <w:rsid w:val="1AD614C4"/>
    <w:rsid w:val="1AD61BE8"/>
    <w:rsid w:val="1AD64900"/>
    <w:rsid w:val="1AD75D7D"/>
    <w:rsid w:val="1ADB209A"/>
    <w:rsid w:val="1ADB3C12"/>
    <w:rsid w:val="1ADC31EC"/>
    <w:rsid w:val="1ADD5B8A"/>
    <w:rsid w:val="1ADD6886"/>
    <w:rsid w:val="1ADE33C9"/>
    <w:rsid w:val="1AE22305"/>
    <w:rsid w:val="1AE2686F"/>
    <w:rsid w:val="1AE4352A"/>
    <w:rsid w:val="1AE45AA6"/>
    <w:rsid w:val="1AE5226B"/>
    <w:rsid w:val="1AE65B73"/>
    <w:rsid w:val="1AE77782"/>
    <w:rsid w:val="1AE8153A"/>
    <w:rsid w:val="1AE8670E"/>
    <w:rsid w:val="1AE92C7C"/>
    <w:rsid w:val="1AEB203D"/>
    <w:rsid w:val="1AEC0797"/>
    <w:rsid w:val="1AEC1140"/>
    <w:rsid w:val="1AED0300"/>
    <w:rsid w:val="1AED3C5D"/>
    <w:rsid w:val="1AEF01EB"/>
    <w:rsid w:val="1AF05B10"/>
    <w:rsid w:val="1AF60EC3"/>
    <w:rsid w:val="1AF61794"/>
    <w:rsid w:val="1AF625B5"/>
    <w:rsid w:val="1AF62FCA"/>
    <w:rsid w:val="1AF9265A"/>
    <w:rsid w:val="1AFA7AA2"/>
    <w:rsid w:val="1B0079EA"/>
    <w:rsid w:val="1B012CAD"/>
    <w:rsid w:val="1B020332"/>
    <w:rsid w:val="1B044537"/>
    <w:rsid w:val="1B0660F3"/>
    <w:rsid w:val="1B0669AC"/>
    <w:rsid w:val="1B084E48"/>
    <w:rsid w:val="1B0943FB"/>
    <w:rsid w:val="1B0F0931"/>
    <w:rsid w:val="1B105440"/>
    <w:rsid w:val="1B1260AD"/>
    <w:rsid w:val="1B131A08"/>
    <w:rsid w:val="1B16070B"/>
    <w:rsid w:val="1B1767CE"/>
    <w:rsid w:val="1B180A8A"/>
    <w:rsid w:val="1B193F22"/>
    <w:rsid w:val="1B19741C"/>
    <w:rsid w:val="1B197996"/>
    <w:rsid w:val="1B1A33B7"/>
    <w:rsid w:val="1B1C2A85"/>
    <w:rsid w:val="1B1C4BAE"/>
    <w:rsid w:val="1B202F35"/>
    <w:rsid w:val="1B20743D"/>
    <w:rsid w:val="1B212259"/>
    <w:rsid w:val="1B2320BD"/>
    <w:rsid w:val="1B242E05"/>
    <w:rsid w:val="1B25134E"/>
    <w:rsid w:val="1B252FAC"/>
    <w:rsid w:val="1B276011"/>
    <w:rsid w:val="1B276A1C"/>
    <w:rsid w:val="1B29550E"/>
    <w:rsid w:val="1B295B8F"/>
    <w:rsid w:val="1B2A3C0C"/>
    <w:rsid w:val="1B2C0531"/>
    <w:rsid w:val="1B2C4721"/>
    <w:rsid w:val="1B2D1545"/>
    <w:rsid w:val="1B2D490C"/>
    <w:rsid w:val="1B304D69"/>
    <w:rsid w:val="1B33299A"/>
    <w:rsid w:val="1B337648"/>
    <w:rsid w:val="1B3416D6"/>
    <w:rsid w:val="1B341A97"/>
    <w:rsid w:val="1B34258C"/>
    <w:rsid w:val="1B3632C7"/>
    <w:rsid w:val="1B3721A4"/>
    <w:rsid w:val="1B3B24D2"/>
    <w:rsid w:val="1B3F1604"/>
    <w:rsid w:val="1B40742A"/>
    <w:rsid w:val="1B424911"/>
    <w:rsid w:val="1B4625D2"/>
    <w:rsid w:val="1B464E3D"/>
    <w:rsid w:val="1B485C9E"/>
    <w:rsid w:val="1B490F68"/>
    <w:rsid w:val="1B4D29A0"/>
    <w:rsid w:val="1B4D70DC"/>
    <w:rsid w:val="1B4E6979"/>
    <w:rsid w:val="1B5031B1"/>
    <w:rsid w:val="1B526BAF"/>
    <w:rsid w:val="1B5D5BF5"/>
    <w:rsid w:val="1B5D7C30"/>
    <w:rsid w:val="1B5E460C"/>
    <w:rsid w:val="1B5F60B7"/>
    <w:rsid w:val="1B605495"/>
    <w:rsid w:val="1B6061E3"/>
    <w:rsid w:val="1B6329B5"/>
    <w:rsid w:val="1B63657E"/>
    <w:rsid w:val="1B673139"/>
    <w:rsid w:val="1B6878D1"/>
    <w:rsid w:val="1B691522"/>
    <w:rsid w:val="1B6A3ABD"/>
    <w:rsid w:val="1B6A49AB"/>
    <w:rsid w:val="1B6D4F88"/>
    <w:rsid w:val="1B6F005C"/>
    <w:rsid w:val="1B7214C0"/>
    <w:rsid w:val="1B7269BE"/>
    <w:rsid w:val="1B737739"/>
    <w:rsid w:val="1B7A1254"/>
    <w:rsid w:val="1B7B28C3"/>
    <w:rsid w:val="1B7C013C"/>
    <w:rsid w:val="1B7C6C61"/>
    <w:rsid w:val="1B7C71E4"/>
    <w:rsid w:val="1B7D053A"/>
    <w:rsid w:val="1B7E67A3"/>
    <w:rsid w:val="1B7E6A50"/>
    <w:rsid w:val="1B8148A9"/>
    <w:rsid w:val="1B827F89"/>
    <w:rsid w:val="1B851163"/>
    <w:rsid w:val="1B85546B"/>
    <w:rsid w:val="1B857BA8"/>
    <w:rsid w:val="1B887194"/>
    <w:rsid w:val="1B897BDE"/>
    <w:rsid w:val="1B8A7FE1"/>
    <w:rsid w:val="1B8B625D"/>
    <w:rsid w:val="1B8C7709"/>
    <w:rsid w:val="1B8D3F58"/>
    <w:rsid w:val="1B8D7663"/>
    <w:rsid w:val="1B8E42B9"/>
    <w:rsid w:val="1B910C8C"/>
    <w:rsid w:val="1B921447"/>
    <w:rsid w:val="1B9239D0"/>
    <w:rsid w:val="1B942EFF"/>
    <w:rsid w:val="1B94472E"/>
    <w:rsid w:val="1B9A06A9"/>
    <w:rsid w:val="1B9C17FD"/>
    <w:rsid w:val="1B9C2858"/>
    <w:rsid w:val="1B9E4F2F"/>
    <w:rsid w:val="1B9E6984"/>
    <w:rsid w:val="1B9E6BF3"/>
    <w:rsid w:val="1BA130EE"/>
    <w:rsid w:val="1BA259F6"/>
    <w:rsid w:val="1BA37725"/>
    <w:rsid w:val="1BA378FE"/>
    <w:rsid w:val="1BA41B6F"/>
    <w:rsid w:val="1BA671DE"/>
    <w:rsid w:val="1BA74460"/>
    <w:rsid w:val="1BA8706B"/>
    <w:rsid w:val="1BA870CF"/>
    <w:rsid w:val="1BAC6A5D"/>
    <w:rsid w:val="1BAF6FE1"/>
    <w:rsid w:val="1BB15F9E"/>
    <w:rsid w:val="1BB26E5C"/>
    <w:rsid w:val="1BB871AE"/>
    <w:rsid w:val="1BBA7EB3"/>
    <w:rsid w:val="1BBC4B67"/>
    <w:rsid w:val="1BBD21DB"/>
    <w:rsid w:val="1BBE1A2F"/>
    <w:rsid w:val="1BBF3836"/>
    <w:rsid w:val="1BC028A4"/>
    <w:rsid w:val="1BC13844"/>
    <w:rsid w:val="1BC357C4"/>
    <w:rsid w:val="1BC44B9A"/>
    <w:rsid w:val="1BC51562"/>
    <w:rsid w:val="1BC77FFE"/>
    <w:rsid w:val="1BC824C3"/>
    <w:rsid w:val="1BC95054"/>
    <w:rsid w:val="1BCE4687"/>
    <w:rsid w:val="1BD05739"/>
    <w:rsid w:val="1BD05D52"/>
    <w:rsid w:val="1BD23F72"/>
    <w:rsid w:val="1BD32956"/>
    <w:rsid w:val="1BD35FF3"/>
    <w:rsid w:val="1BD6003F"/>
    <w:rsid w:val="1BD70746"/>
    <w:rsid w:val="1BDA024F"/>
    <w:rsid w:val="1BDA5DE8"/>
    <w:rsid w:val="1BDB3DCF"/>
    <w:rsid w:val="1BDC1D6D"/>
    <w:rsid w:val="1BDD3C8F"/>
    <w:rsid w:val="1BE05200"/>
    <w:rsid w:val="1BE11F3F"/>
    <w:rsid w:val="1BE253ED"/>
    <w:rsid w:val="1BE277CE"/>
    <w:rsid w:val="1BE54277"/>
    <w:rsid w:val="1BE54FCC"/>
    <w:rsid w:val="1BEC541F"/>
    <w:rsid w:val="1BED4698"/>
    <w:rsid w:val="1BEE0EAF"/>
    <w:rsid w:val="1BF024FF"/>
    <w:rsid w:val="1BF111C3"/>
    <w:rsid w:val="1BF34FAC"/>
    <w:rsid w:val="1BF80947"/>
    <w:rsid w:val="1BF835F2"/>
    <w:rsid w:val="1BFB19BF"/>
    <w:rsid w:val="1BFC36A1"/>
    <w:rsid w:val="1BFC6677"/>
    <w:rsid w:val="1BFE139D"/>
    <w:rsid w:val="1BFE1B4A"/>
    <w:rsid w:val="1BFE5583"/>
    <w:rsid w:val="1BFE6C84"/>
    <w:rsid w:val="1C017A09"/>
    <w:rsid w:val="1C02036C"/>
    <w:rsid w:val="1C030EAE"/>
    <w:rsid w:val="1C05183E"/>
    <w:rsid w:val="1C053F3B"/>
    <w:rsid w:val="1C070FC1"/>
    <w:rsid w:val="1C0950A0"/>
    <w:rsid w:val="1C096A1E"/>
    <w:rsid w:val="1C0B2073"/>
    <w:rsid w:val="1C0C4E67"/>
    <w:rsid w:val="1C0F6473"/>
    <w:rsid w:val="1C100C8D"/>
    <w:rsid w:val="1C1157CF"/>
    <w:rsid w:val="1C1511E1"/>
    <w:rsid w:val="1C1518C5"/>
    <w:rsid w:val="1C19707A"/>
    <w:rsid w:val="1C1A4CC7"/>
    <w:rsid w:val="1C1B3A66"/>
    <w:rsid w:val="1C1C5355"/>
    <w:rsid w:val="1C1E2E61"/>
    <w:rsid w:val="1C1E4A14"/>
    <w:rsid w:val="1C2032FF"/>
    <w:rsid w:val="1C2255BE"/>
    <w:rsid w:val="1C234CF4"/>
    <w:rsid w:val="1C240D95"/>
    <w:rsid w:val="1C24100B"/>
    <w:rsid w:val="1C245398"/>
    <w:rsid w:val="1C2613D7"/>
    <w:rsid w:val="1C263648"/>
    <w:rsid w:val="1C2761B4"/>
    <w:rsid w:val="1C2767C0"/>
    <w:rsid w:val="1C281F42"/>
    <w:rsid w:val="1C2C18EB"/>
    <w:rsid w:val="1C2D4CF3"/>
    <w:rsid w:val="1C2D6EB3"/>
    <w:rsid w:val="1C2F0C2B"/>
    <w:rsid w:val="1C304E85"/>
    <w:rsid w:val="1C321A71"/>
    <w:rsid w:val="1C3272E5"/>
    <w:rsid w:val="1C3317EA"/>
    <w:rsid w:val="1C354555"/>
    <w:rsid w:val="1C370A5D"/>
    <w:rsid w:val="1C3C6CAD"/>
    <w:rsid w:val="1C3E2487"/>
    <w:rsid w:val="1C3E73F4"/>
    <w:rsid w:val="1C3F10E8"/>
    <w:rsid w:val="1C3F68D0"/>
    <w:rsid w:val="1C404278"/>
    <w:rsid w:val="1C426C10"/>
    <w:rsid w:val="1C43095B"/>
    <w:rsid w:val="1C441784"/>
    <w:rsid w:val="1C44555D"/>
    <w:rsid w:val="1C457EF9"/>
    <w:rsid w:val="1C460FAE"/>
    <w:rsid w:val="1C462F1A"/>
    <w:rsid w:val="1C491231"/>
    <w:rsid w:val="1C4A1836"/>
    <w:rsid w:val="1C4A597E"/>
    <w:rsid w:val="1C4C13FB"/>
    <w:rsid w:val="1C4D3815"/>
    <w:rsid w:val="1C4D7F7A"/>
    <w:rsid w:val="1C4F3497"/>
    <w:rsid w:val="1C5179C3"/>
    <w:rsid w:val="1C530BD8"/>
    <w:rsid w:val="1C54257A"/>
    <w:rsid w:val="1C5A718B"/>
    <w:rsid w:val="1C5B77FD"/>
    <w:rsid w:val="1C5E007D"/>
    <w:rsid w:val="1C5F2F2E"/>
    <w:rsid w:val="1C603F21"/>
    <w:rsid w:val="1C61582F"/>
    <w:rsid w:val="1C646E22"/>
    <w:rsid w:val="1C647A90"/>
    <w:rsid w:val="1C665A38"/>
    <w:rsid w:val="1C6719F2"/>
    <w:rsid w:val="1C671B85"/>
    <w:rsid w:val="1C681121"/>
    <w:rsid w:val="1C6A6C2B"/>
    <w:rsid w:val="1C6B2F0D"/>
    <w:rsid w:val="1C6F1309"/>
    <w:rsid w:val="1C715D14"/>
    <w:rsid w:val="1C721753"/>
    <w:rsid w:val="1C730DF7"/>
    <w:rsid w:val="1C744F03"/>
    <w:rsid w:val="1C7516CB"/>
    <w:rsid w:val="1C7523ED"/>
    <w:rsid w:val="1C760CD7"/>
    <w:rsid w:val="1C7A5DCD"/>
    <w:rsid w:val="1C7A6F66"/>
    <w:rsid w:val="1C7A7CE5"/>
    <w:rsid w:val="1C7E2C3C"/>
    <w:rsid w:val="1C81223F"/>
    <w:rsid w:val="1C825EF7"/>
    <w:rsid w:val="1C846DBA"/>
    <w:rsid w:val="1C863D81"/>
    <w:rsid w:val="1C87541C"/>
    <w:rsid w:val="1C876925"/>
    <w:rsid w:val="1C8872B7"/>
    <w:rsid w:val="1C8A7AF6"/>
    <w:rsid w:val="1C8B2602"/>
    <w:rsid w:val="1C8C70B7"/>
    <w:rsid w:val="1C8D0F7E"/>
    <w:rsid w:val="1C8D6530"/>
    <w:rsid w:val="1C91171D"/>
    <w:rsid w:val="1C9233B3"/>
    <w:rsid w:val="1C9369B1"/>
    <w:rsid w:val="1C952B21"/>
    <w:rsid w:val="1C961820"/>
    <w:rsid w:val="1C965805"/>
    <w:rsid w:val="1C9727FB"/>
    <w:rsid w:val="1C97499B"/>
    <w:rsid w:val="1C97520E"/>
    <w:rsid w:val="1C99189F"/>
    <w:rsid w:val="1C9C42B6"/>
    <w:rsid w:val="1C9C782A"/>
    <w:rsid w:val="1C9D0823"/>
    <w:rsid w:val="1C9F62A8"/>
    <w:rsid w:val="1CA0672D"/>
    <w:rsid w:val="1CA10C70"/>
    <w:rsid w:val="1CA12B14"/>
    <w:rsid w:val="1CA12E22"/>
    <w:rsid w:val="1CA34AD6"/>
    <w:rsid w:val="1CA44126"/>
    <w:rsid w:val="1CA50F23"/>
    <w:rsid w:val="1CA56784"/>
    <w:rsid w:val="1CA571A0"/>
    <w:rsid w:val="1CA74527"/>
    <w:rsid w:val="1CA952C7"/>
    <w:rsid w:val="1CAC6471"/>
    <w:rsid w:val="1CAF0FB0"/>
    <w:rsid w:val="1CB25D81"/>
    <w:rsid w:val="1CB44D02"/>
    <w:rsid w:val="1CB54358"/>
    <w:rsid w:val="1CB832B2"/>
    <w:rsid w:val="1CBA23DF"/>
    <w:rsid w:val="1CBC42D1"/>
    <w:rsid w:val="1CBE034E"/>
    <w:rsid w:val="1CC03577"/>
    <w:rsid w:val="1CC14236"/>
    <w:rsid w:val="1CCB36BC"/>
    <w:rsid w:val="1CCC2EB7"/>
    <w:rsid w:val="1CD76E4E"/>
    <w:rsid w:val="1CD9479B"/>
    <w:rsid w:val="1CDA3BA3"/>
    <w:rsid w:val="1CDD075F"/>
    <w:rsid w:val="1CDE02FA"/>
    <w:rsid w:val="1CE23D87"/>
    <w:rsid w:val="1CE30506"/>
    <w:rsid w:val="1CEA3ECE"/>
    <w:rsid w:val="1CEB1748"/>
    <w:rsid w:val="1CEC46A5"/>
    <w:rsid w:val="1CEC745A"/>
    <w:rsid w:val="1CED7FBA"/>
    <w:rsid w:val="1CEF2AD9"/>
    <w:rsid w:val="1CEF5D12"/>
    <w:rsid w:val="1CF06240"/>
    <w:rsid w:val="1CF13ED7"/>
    <w:rsid w:val="1CF163E6"/>
    <w:rsid w:val="1CF32FBF"/>
    <w:rsid w:val="1CF354E0"/>
    <w:rsid w:val="1CF74187"/>
    <w:rsid w:val="1CF74CCE"/>
    <w:rsid w:val="1CF75C9A"/>
    <w:rsid w:val="1CF90895"/>
    <w:rsid w:val="1CF90CED"/>
    <w:rsid w:val="1CF90F0B"/>
    <w:rsid w:val="1CF95440"/>
    <w:rsid w:val="1CFA7F4C"/>
    <w:rsid w:val="1CFB23CF"/>
    <w:rsid w:val="1CFC25D1"/>
    <w:rsid w:val="1CFE502B"/>
    <w:rsid w:val="1D003C8F"/>
    <w:rsid w:val="1D0059A7"/>
    <w:rsid w:val="1D005BF2"/>
    <w:rsid w:val="1D006BA4"/>
    <w:rsid w:val="1D01724D"/>
    <w:rsid w:val="1D0258E5"/>
    <w:rsid w:val="1D04797C"/>
    <w:rsid w:val="1D05490B"/>
    <w:rsid w:val="1D0578AF"/>
    <w:rsid w:val="1D060BC0"/>
    <w:rsid w:val="1D072D29"/>
    <w:rsid w:val="1D073D2E"/>
    <w:rsid w:val="1D0818D6"/>
    <w:rsid w:val="1D090CD4"/>
    <w:rsid w:val="1D0D4BA4"/>
    <w:rsid w:val="1D0D5A59"/>
    <w:rsid w:val="1D0E764D"/>
    <w:rsid w:val="1D0E779D"/>
    <w:rsid w:val="1D10407D"/>
    <w:rsid w:val="1D121B9A"/>
    <w:rsid w:val="1D1403BB"/>
    <w:rsid w:val="1D150156"/>
    <w:rsid w:val="1D1B242E"/>
    <w:rsid w:val="1D1C5DA5"/>
    <w:rsid w:val="1D1D7600"/>
    <w:rsid w:val="1D1F0A6E"/>
    <w:rsid w:val="1D1F75D2"/>
    <w:rsid w:val="1D2128AD"/>
    <w:rsid w:val="1D220AE2"/>
    <w:rsid w:val="1D2222C5"/>
    <w:rsid w:val="1D2236F4"/>
    <w:rsid w:val="1D231561"/>
    <w:rsid w:val="1D241F25"/>
    <w:rsid w:val="1D243329"/>
    <w:rsid w:val="1D24600A"/>
    <w:rsid w:val="1D246726"/>
    <w:rsid w:val="1D282B75"/>
    <w:rsid w:val="1D2857C5"/>
    <w:rsid w:val="1D2A1F1E"/>
    <w:rsid w:val="1D2C21EC"/>
    <w:rsid w:val="1D2C2D81"/>
    <w:rsid w:val="1D301B1A"/>
    <w:rsid w:val="1D320C7B"/>
    <w:rsid w:val="1D335DB4"/>
    <w:rsid w:val="1D337541"/>
    <w:rsid w:val="1D353D8D"/>
    <w:rsid w:val="1D384E01"/>
    <w:rsid w:val="1D3A0F3E"/>
    <w:rsid w:val="1D3B4545"/>
    <w:rsid w:val="1D3C3BD2"/>
    <w:rsid w:val="1D3F4F81"/>
    <w:rsid w:val="1D3F5DBB"/>
    <w:rsid w:val="1D3F6D80"/>
    <w:rsid w:val="1D405C7C"/>
    <w:rsid w:val="1D411818"/>
    <w:rsid w:val="1D42094E"/>
    <w:rsid w:val="1D42524F"/>
    <w:rsid w:val="1D431DE6"/>
    <w:rsid w:val="1D436EBB"/>
    <w:rsid w:val="1D46189F"/>
    <w:rsid w:val="1D464027"/>
    <w:rsid w:val="1D48633F"/>
    <w:rsid w:val="1D494656"/>
    <w:rsid w:val="1D4969AA"/>
    <w:rsid w:val="1D4D3B77"/>
    <w:rsid w:val="1D4E646E"/>
    <w:rsid w:val="1D4F74D3"/>
    <w:rsid w:val="1D5107CF"/>
    <w:rsid w:val="1D517B6D"/>
    <w:rsid w:val="1D555069"/>
    <w:rsid w:val="1D56758A"/>
    <w:rsid w:val="1D572B4A"/>
    <w:rsid w:val="1D5759C7"/>
    <w:rsid w:val="1D575EA3"/>
    <w:rsid w:val="1D59446F"/>
    <w:rsid w:val="1D5A6C85"/>
    <w:rsid w:val="1D5B334B"/>
    <w:rsid w:val="1D5B6DB7"/>
    <w:rsid w:val="1D5D3338"/>
    <w:rsid w:val="1D5E433E"/>
    <w:rsid w:val="1D5E50D6"/>
    <w:rsid w:val="1D5F2EFF"/>
    <w:rsid w:val="1D5F3468"/>
    <w:rsid w:val="1D5F7FDC"/>
    <w:rsid w:val="1D60295C"/>
    <w:rsid w:val="1D611F75"/>
    <w:rsid w:val="1D635950"/>
    <w:rsid w:val="1D642EB3"/>
    <w:rsid w:val="1D66647E"/>
    <w:rsid w:val="1D693DB6"/>
    <w:rsid w:val="1D6A6AF6"/>
    <w:rsid w:val="1D6B1D40"/>
    <w:rsid w:val="1D6C208F"/>
    <w:rsid w:val="1D703EAE"/>
    <w:rsid w:val="1D705BD2"/>
    <w:rsid w:val="1D74201B"/>
    <w:rsid w:val="1D752981"/>
    <w:rsid w:val="1D7713B7"/>
    <w:rsid w:val="1D790B17"/>
    <w:rsid w:val="1D7C1AE1"/>
    <w:rsid w:val="1D7E233A"/>
    <w:rsid w:val="1D7E5AF6"/>
    <w:rsid w:val="1D7F146C"/>
    <w:rsid w:val="1D7F2F56"/>
    <w:rsid w:val="1D803324"/>
    <w:rsid w:val="1D806004"/>
    <w:rsid w:val="1D8248F2"/>
    <w:rsid w:val="1D83447F"/>
    <w:rsid w:val="1D836946"/>
    <w:rsid w:val="1D855361"/>
    <w:rsid w:val="1D8B177A"/>
    <w:rsid w:val="1D8B3ABD"/>
    <w:rsid w:val="1D8D05EB"/>
    <w:rsid w:val="1D8E2503"/>
    <w:rsid w:val="1D8F12D0"/>
    <w:rsid w:val="1D8F1D6E"/>
    <w:rsid w:val="1D924A3A"/>
    <w:rsid w:val="1D935AC6"/>
    <w:rsid w:val="1D9361D7"/>
    <w:rsid w:val="1D9461DE"/>
    <w:rsid w:val="1D973FBE"/>
    <w:rsid w:val="1D974148"/>
    <w:rsid w:val="1D994EE9"/>
    <w:rsid w:val="1D9A4205"/>
    <w:rsid w:val="1D9A7BC9"/>
    <w:rsid w:val="1D9D164B"/>
    <w:rsid w:val="1D9E02D3"/>
    <w:rsid w:val="1D9F2F6C"/>
    <w:rsid w:val="1D9F3964"/>
    <w:rsid w:val="1DA029A7"/>
    <w:rsid w:val="1DA07CAF"/>
    <w:rsid w:val="1DA13052"/>
    <w:rsid w:val="1DA208EA"/>
    <w:rsid w:val="1DA437D7"/>
    <w:rsid w:val="1DA5202F"/>
    <w:rsid w:val="1DA5587D"/>
    <w:rsid w:val="1DA57330"/>
    <w:rsid w:val="1DA63EF0"/>
    <w:rsid w:val="1DA73611"/>
    <w:rsid w:val="1DA73713"/>
    <w:rsid w:val="1DA73853"/>
    <w:rsid w:val="1DA74543"/>
    <w:rsid w:val="1DAA12B2"/>
    <w:rsid w:val="1DAB222F"/>
    <w:rsid w:val="1DAD6221"/>
    <w:rsid w:val="1DAE0A1C"/>
    <w:rsid w:val="1DB01806"/>
    <w:rsid w:val="1DB23503"/>
    <w:rsid w:val="1DB2498A"/>
    <w:rsid w:val="1DB37890"/>
    <w:rsid w:val="1DB7181B"/>
    <w:rsid w:val="1DB81D44"/>
    <w:rsid w:val="1DBB7C01"/>
    <w:rsid w:val="1DBC6348"/>
    <w:rsid w:val="1DBD2077"/>
    <w:rsid w:val="1DC0040A"/>
    <w:rsid w:val="1DC2540A"/>
    <w:rsid w:val="1DC40645"/>
    <w:rsid w:val="1DCC6AF6"/>
    <w:rsid w:val="1DCD46FD"/>
    <w:rsid w:val="1DCE1618"/>
    <w:rsid w:val="1DD16F7E"/>
    <w:rsid w:val="1DD25CF0"/>
    <w:rsid w:val="1DD266C8"/>
    <w:rsid w:val="1DD456CC"/>
    <w:rsid w:val="1DD575F3"/>
    <w:rsid w:val="1DD62B20"/>
    <w:rsid w:val="1DD90B97"/>
    <w:rsid w:val="1DDC63E4"/>
    <w:rsid w:val="1DDE1B54"/>
    <w:rsid w:val="1DDE2A69"/>
    <w:rsid w:val="1DE04689"/>
    <w:rsid w:val="1DE0539B"/>
    <w:rsid w:val="1DE1484B"/>
    <w:rsid w:val="1DE325C7"/>
    <w:rsid w:val="1DE34527"/>
    <w:rsid w:val="1DE42D85"/>
    <w:rsid w:val="1DE47007"/>
    <w:rsid w:val="1DE67861"/>
    <w:rsid w:val="1DE8663B"/>
    <w:rsid w:val="1DEA3316"/>
    <w:rsid w:val="1DEA70D0"/>
    <w:rsid w:val="1DEB3E2F"/>
    <w:rsid w:val="1DED7DC2"/>
    <w:rsid w:val="1DF03748"/>
    <w:rsid w:val="1DF05529"/>
    <w:rsid w:val="1DF202AC"/>
    <w:rsid w:val="1DF632C1"/>
    <w:rsid w:val="1DFD0D9F"/>
    <w:rsid w:val="1E01400B"/>
    <w:rsid w:val="1E023AF5"/>
    <w:rsid w:val="1E030535"/>
    <w:rsid w:val="1E046C23"/>
    <w:rsid w:val="1E0900D0"/>
    <w:rsid w:val="1E0A4FF6"/>
    <w:rsid w:val="1E0A506F"/>
    <w:rsid w:val="1E0E2512"/>
    <w:rsid w:val="1E10198E"/>
    <w:rsid w:val="1E116177"/>
    <w:rsid w:val="1E147FE4"/>
    <w:rsid w:val="1E1822C0"/>
    <w:rsid w:val="1E19602C"/>
    <w:rsid w:val="1E197F76"/>
    <w:rsid w:val="1E1A2150"/>
    <w:rsid w:val="1E1B6B61"/>
    <w:rsid w:val="1E1C33D6"/>
    <w:rsid w:val="1E1E0513"/>
    <w:rsid w:val="1E20279B"/>
    <w:rsid w:val="1E204987"/>
    <w:rsid w:val="1E21292D"/>
    <w:rsid w:val="1E295444"/>
    <w:rsid w:val="1E2A0850"/>
    <w:rsid w:val="1E2A2EAB"/>
    <w:rsid w:val="1E2A7ADB"/>
    <w:rsid w:val="1E2C0683"/>
    <w:rsid w:val="1E2C3560"/>
    <w:rsid w:val="1E30014D"/>
    <w:rsid w:val="1E301403"/>
    <w:rsid w:val="1E321C8A"/>
    <w:rsid w:val="1E330CB7"/>
    <w:rsid w:val="1E36458C"/>
    <w:rsid w:val="1E377F9E"/>
    <w:rsid w:val="1E3B000D"/>
    <w:rsid w:val="1E3B63A4"/>
    <w:rsid w:val="1E3B79D0"/>
    <w:rsid w:val="1E3E5296"/>
    <w:rsid w:val="1E3F129D"/>
    <w:rsid w:val="1E4449CD"/>
    <w:rsid w:val="1E445F1B"/>
    <w:rsid w:val="1E46468C"/>
    <w:rsid w:val="1E4816C1"/>
    <w:rsid w:val="1E4A03D5"/>
    <w:rsid w:val="1E4B4C91"/>
    <w:rsid w:val="1E4C294F"/>
    <w:rsid w:val="1E4E08CC"/>
    <w:rsid w:val="1E4E2197"/>
    <w:rsid w:val="1E4F19E4"/>
    <w:rsid w:val="1E50103A"/>
    <w:rsid w:val="1E553188"/>
    <w:rsid w:val="1E575537"/>
    <w:rsid w:val="1E585B5C"/>
    <w:rsid w:val="1E59558D"/>
    <w:rsid w:val="1E596270"/>
    <w:rsid w:val="1E596F13"/>
    <w:rsid w:val="1E5B674B"/>
    <w:rsid w:val="1E640947"/>
    <w:rsid w:val="1E642A95"/>
    <w:rsid w:val="1E647457"/>
    <w:rsid w:val="1E6609FD"/>
    <w:rsid w:val="1E6657FC"/>
    <w:rsid w:val="1E66591C"/>
    <w:rsid w:val="1E685412"/>
    <w:rsid w:val="1E69561A"/>
    <w:rsid w:val="1E6A3EB8"/>
    <w:rsid w:val="1E6B15C5"/>
    <w:rsid w:val="1E6C0B4F"/>
    <w:rsid w:val="1E6C4C19"/>
    <w:rsid w:val="1E6F31FF"/>
    <w:rsid w:val="1E7146C2"/>
    <w:rsid w:val="1E721115"/>
    <w:rsid w:val="1E74354C"/>
    <w:rsid w:val="1E7459AB"/>
    <w:rsid w:val="1E751F8A"/>
    <w:rsid w:val="1E7B2EEA"/>
    <w:rsid w:val="1E7D1FE4"/>
    <w:rsid w:val="1E7D6740"/>
    <w:rsid w:val="1E803914"/>
    <w:rsid w:val="1E806B13"/>
    <w:rsid w:val="1E810649"/>
    <w:rsid w:val="1E81212E"/>
    <w:rsid w:val="1E864F74"/>
    <w:rsid w:val="1E9044C6"/>
    <w:rsid w:val="1E9148D0"/>
    <w:rsid w:val="1E926117"/>
    <w:rsid w:val="1E9304B3"/>
    <w:rsid w:val="1E931FEB"/>
    <w:rsid w:val="1E932A13"/>
    <w:rsid w:val="1E9412BA"/>
    <w:rsid w:val="1E967145"/>
    <w:rsid w:val="1E972666"/>
    <w:rsid w:val="1E9849C1"/>
    <w:rsid w:val="1E997355"/>
    <w:rsid w:val="1E9C385C"/>
    <w:rsid w:val="1E9C5FA3"/>
    <w:rsid w:val="1E9F71B0"/>
    <w:rsid w:val="1EA0552A"/>
    <w:rsid w:val="1EA06A40"/>
    <w:rsid w:val="1EA350BB"/>
    <w:rsid w:val="1EA450AD"/>
    <w:rsid w:val="1EAA2584"/>
    <w:rsid w:val="1EAB10F6"/>
    <w:rsid w:val="1EAC0AED"/>
    <w:rsid w:val="1EAD3A4A"/>
    <w:rsid w:val="1EAF7A03"/>
    <w:rsid w:val="1EB10C0A"/>
    <w:rsid w:val="1EB465C9"/>
    <w:rsid w:val="1EB61DD8"/>
    <w:rsid w:val="1EB758DA"/>
    <w:rsid w:val="1EB82D6E"/>
    <w:rsid w:val="1EB917E3"/>
    <w:rsid w:val="1EBB0B2D"/>
    <w:rsid w:val="1EBC6A60"/>
    <w:rsid w:val="1EBE7519"/>
    <w:rsid w:val="1EC255AA"/>
    <w:rsid w:val="1EC37F2E"/>
    <w:rsid w:val="1EC40C94"/>
    <w:rsid w:val="1EC52543"/>
    <w:rsid w:val="1EC531C2"/>
    <w:rsid w:val="1EC57012"/>
    <w:rsid w:val="1EC6248A"/>
    <w:rsid w:val="1EC86D31"/>
    <w:rsid w:val="1EC95124"/>
    <w:rsid w:val="1EC968E0"/>
    <w:rsid w:val="1ECA7CA6"/>
    <w:rsid w:val="1ED04B8E"/>
    <w:rsid w:val="1ED05564"/>
    <w:rsid w:val="1ED120C1"/>
    <w:rsid w:val="1ED567D1"/>
    <w:rsid w:val="1ED64895"/>
    <w:rsid w:val="1ED845CF"/>
    <w:rsid w:val="1EDA519B"/>
    <w:rsid w:val="1EDA7A6B"/>
    <w:rsid w:val="1EDA7AC7"/>
    <w:rsid w:val="1EDB0A8F"/>
    <w:rsid w:val="1EDE6A45"/>
    <w:rsid w:val="1EDE6D9F"/>
    <w:rsid w:val="1EDF70F4"/>
    <w:rsid w:val="1EE1500D"/>
    <w:rsid w:val="1EE61A4B"/>
    <w:rsid w:val="1EE627F4"/>
    <w:rsid w:val="1EE80850"/>
    <w:rsid w:val="1EEA5373"/>
    <w:rsid w:val="1EEC2D88"/>
    <w:rsid w:val="1EEC3FE4"/>
    <w:rsid w:val="1EEE2412"/>
    <w:rsid w:val="1EF110AC"/>
    <w:rsid w:val="1EF12098"/>
    <w:rsid w:val="1EF337A8"/>
    <w:rsid w:val="1EF44EA7"/>
    <w:rsid w:val="1EF4790C"/>
    <w:rsid w:val="1EF56C8F"/>
    <w:rsid w:val="1EF83B09"/>
    <w:rsid w:val="1EF94D10"/>
    <w:rsid w:val="1EF97D03"/>
    <w:rsid w:val="1EFA6CB4"/>
    <w:rsid w:val="1EFA6DAA"/>
    <w:rsid w:val="1EFB3603"/>
    <w:rsid w:val="1EFC033F"/>
    <w:rsid w:val="1EFC61B7"/>
    <w:rsid w:val="1EFC64FC"/>
    <w:rsid w:val="1EFE10D5"/>
    <w:rsid w:val="1F000339"/>
    <w:rsid w:val="1F0028BD"/>
    <w:rsid w:val="1F035F52"/>
    <w:rsid w:val="1F06110A"/>
    <w:rsid w:val="1F071EC2"/>
    <w:rsid w:val="1F077F28"/>
    <w:rsid w:val="1F082868"/>
    <w:rsid w:val="1F09502C"/>
    <w:rsid w:val="1F0A0B59"/>
    <w:rsid w:val="1F0D0DFF"/>
    <w:rsid w:val="1F0E1708"/>
    <w:rsid w:val="1F103FC6"/>
    <w:rsid w:val="1F1263E1"/>
    <w:rsid w:val="1F14221A"/>
    <w:rsid w:val="1F14358F"/>
    <w:rsid w:val="1F154F94"/>
    <w:rsid w:val="1F157721"/>
    <w:rsid w:val="1F16124E"/>
    <w:rsid w:val="1F1713E2"/>
    <w:rsid w:val="1F186A24"/>
    <w:rsid w:val="1F1A2E76"/>
    <w:rsid w:val="1F1A3907"/>
    <w:rsid w:val="1F1A4D4E"/>
    <w:rsid w:val="1F1C0BC5"/>
    <w:rsid w:val="1F1D0E32"/>
    <w:rsid w:val="1F1E1B0B"/>
    <w:rsid w:val="1F2025F7"/>
    <w:rsid w:val="1F211D6E"/>
    <w:rsid w:val="1F223385"/>
    <w:rsid w:val="1F255242"/>
    <w:rsid w:val="1F2E0466"/>
    <w:rsid w:val="1F2F252D"/>
    <w:rsid w:val="1F301451"/>
    <w:rsid w:val="1F312E2C"/>
    <w:rsid w:val="1F344C85"/>
    <w:rsid w:val="1F347FCD"/>
    <w:rsid w:val="1F3529E8"/>
    <w:rsid w:val="1F37090C"/>
    <w:rsid w:val="1F374E9A"/>
    <w:rsid w:val="1F383B8F"/>
    <w:rsid w:val="1F3860D6"/>
    <w:rsid w:val="1F3971DF"/>
    <w:rsid w:val="1F3A1238"/>
    <w:rsid w:val="1F3A1B75"/>
    <w:rsid w:val="1F3A4238"/>
    <w:rsid w:val="1F3A566E"/>
    <w:rsid w:val="1F3A615A"/>
    <w:rsid w:val="1F3C579D"/>
    <w:rsid w:val="1F3D5B6D"/>
    <w:rsid w:val="1F3E0806"/>
    <w:rsid w:val="1F4068D7"/>
    <w:rsid w:val="1F417256"/>
    <w:rsid w:val="1F460AD6"/>
    <w:rsid w:val="1F46654F"/>
    <w:rsid w:val="1F48141B"/>
    <w:rsid w:val="1F492A14"/>
    <w:rsid w:val="1F4A7368"/>
    <w:rsid w:val="1F4C40AE"/>
    <w:rsid w:val="1F4C4AB2"/>
    <w:rsid w:val="1F4C5F22"/>
    <w:rsid w:val="1F4E0495"/>
    <w:rsid w:val="1F4E1D15"/>
    <w:rsid w:val="1F512278"/>
    <w:rsid w:val="1F551D34"/>
    <w:rsid w:val="1F55374C"/>
    <w:rsid w:val="1F5A7731"/>
    <w:rsid w:val="1F5A7F29"/>
    <w:rsid w:val="1F5B5843"/>
    <w:rsid w:val="1F5B5A19"/>
    <w:rsid w:val="1F606CBA"/>
    <w:rsid w:val="1F613FC9"/>
    <w:rsid w:val="1F617574"/>
    <w:rsid w:val="1F6350A6"/>
    <w:rsid w:val="1F652FA8"/>
    <w:rsid w:val="1F65417B"/>
    <w:rsid w:val="1F674A5A"/>
    <w:rsid w:val="1F677DBD"/>
    <w:rsid w:val="1F680E8D"/>
    <w:rsid w:val="1F681F2C"/>
    <w:rsid w:val="1F6E4876"/>
    <w:rsid w:val="1F703F4B"/>
    <w:rsid w:val="1F723B1B"/>
    <w:rsid w:val="1F730361"/>
    <w:rsid w:val="1F7378F4"/>
    <w:rsid w:val="1F757C88"/>
    <w:rsid w:val="1F7811AD"/>
    <w:rsid w:val="1F7A38AF"/>
    <w:rsid w:val="1F7C69F6"/>
    <w:rsid w:val="1F7C75C0"/>
    <w:rsid w:val="1F7E1C0A"/>
    <w:rsid w:val="1F7E2E0B"/>
    <w:rsid w:val="1F81321D"/>
    <w:rsid w:val="1F813A83"/>
    <w:rsid w:val="1F851C14"/>
    <w:rsid w:val="1F85314F"/>
    <w:rsid w:val="1F855E78"/>
    <w:rsid w:val="1F8603EB"/>
    <w:rsid w:val="1F8A07D8"/>
    <w:rsid w:val="1F8A2CBC"/>
    <w:rsid w:val="1F8A3D05"/>
    <w:rsid w:val="1F8B4142"/>
    <w:rsid w:val="1F910F1E"/>
    <w:rsid w:val="1F912CBE"/>
    <w:rsid w:val="1F940835"/>
    <w:rsid w:val="1F961FE7"/>
    <w:rsid w:val="1F9715E2"/>
    <w:rsid w:val="1F9811C4"/>
    <w:rsid w:val="1F98204D"/>
    <w:rsid w:val="1F98625F"/>
    <w:rsid w:val="1F992655"/>
    <w:rsid w:val="1F995E04"/>
    <w:rsid w:val="1F997DAF"/>
    <w:rsid w:val="1F9A2F4A"/>
    <w:rsid w:val="1F9B2103"/>
    <w:rsid w:val="1F9C2EE8"/>
    <w:rsid w:val="1F9C6361"/>
    <w:rsid w:val="1F9D4AE7"/>
    <w:rsid w:val="1F9D4B7C"/>
    <w:rsid w:val="1F9D6BD7"/>
    <w:rsid w:val="1F9F302D"/>
    <w:rsid w:val="1FA75FA9"/>
    <w:rsid w:val="1FA821B8"/>
    <w:rsid w:val="1FA86768"/>
    <w:rsid w:val="1FAE4503"/>
    <w:rsid w:val="1FB03787"/>
    <w:rsid w:val="1FB07D10"/>
    <w:rsid w:val="1FB125B4"/>
    <w:rsid w:val="1FB12D21"/>
    <w:rsid w:val="1FB16DF3"/>
    <w:rsid w:val="1FB43C5C"/>
    <w:rsid w:val="1FB51BD7"/>
    <w:rsid w:val="1FB52752"/>
    <w:rsid w:val="1FB70F33"/>
    <w:rsid w:val="1FB8561A"/>
    <w:rsid w:val="1FB92EB3"/>
    <w:rsid w:val="1FBC2AF1"/>
    <w:rsid w:val="1FBC5E30"/>
    <w:rsid w:val="1FBD21C5"/>
    <w:rsid w:val="1FBE2D99"/>
    <w:rsid w:val="1FBF1240"/>
    <w:rsid w:val="1FC03346"/>
    <w:rsid w:val="1FC252D0"/>
    <w:rsid w:val="1FC3027D"/>
    <w:rsid w:val="1FC32AA9"/>
    <w:rsid w:val="1FC55343"/>
    <w:rsid w:val="1FC5732A"/>
    <w:rsid w:val="1FC82DAA"/>
    <w:rsid w:val="1FCA266A"/>
    <w:rsid w:val="1FCE2A9E"/>
    <w:rsid w:val="1FCF4073"/>
    <w:rsid w:val="1FD1604F"/>
    <w:rsid w:val="1FD463CA"/>
    <w:rsid w:val="1FD53C64"/>
    <w:rsid w:val="1FDE22D7"/>
    <w:rsid w:val="1FDE4F43"/>
    <w:rsid w:val="1FE10288"/>
    <w:rsid w:val="1FE20A9E"/>
    <w:rsid w:val="1FE44802"/>
    <w:rsid w:val="1FE45E0A"/>
    <w:rsid w:val="1FE5397D"/>
    <w:rsid w:val="1FE53D2C"/>
    <w:rsid w:val="1FE57658"/>
    <w:rsid w:val="1FE86C27"/>
    <w:rsid w:val="1FEA051A"/>
    <w:rsid w:val="1FEA1040"/>
    <w:rsid w:val="1FEA35BD"/>
    <w:rsid w:val="1FEC7531"/>
    <w:rsid w:val="1FEE3E0B"/>
    <w:rsid w:val="1FEF3F7F"/>
    <w:rsid w:val="1FF15DE5"/>
    <w:rsid w:val="1FF2323D"/>
    <w:rsid w:val="1FF24994"/>
    <w:rsid w:val="1FF31FD1"/>
    <w:rsid w:val="1FF34C8A"/>
    <w:rsid w:val="1FF63A32"/>
    <w:rsid w:val="1FF74BDB"/>
    <w:rsid w:val="1FF75509"/>
    <w:rsid w:val="1FF84BDD"/>
    <w:rsid w:val="1FF87096"/>
    <w:rsid w:val="1FF93C6A"/>
    <w:rsid w:val="1FF944FB"/>
    <w:rsid w:val="1FFB4E31"/>
    <w:rsid w:val="1FFE0B15"/>
    <w:rsid w:val="1FFE400A"/>
    <w:rsid w:val="1FFF046A"/>
    <w:rsid w:val="1FFF6262"/>
    <w:rsid w:val="20003A44"/>
    <w:rsid w:val="2001507C"/>
    <w:rsid w:val="200370F2"/>
    <w:rsid w:val="2004603B"/>
    <w:rsid w:val="20056878"/>
    <w:rsid w:val="20076AF0"/>
    <w:rsid w:val="200867AD"/>
    <w:rsid w:val="200C499C"/>
    <w:rsid w:val="200D7087"/>
    <w:rsid w:val="200F5934"/>
    <w:rsid w:val="200F67F1"/>
    <w:rsid w:val="20135302"/>
    <w:rsid w:val="20144E58"/>
    <w:rsid w:val="20176421"/>
    <w:rsid w:val="201B1AE5"/>
    <w:rsid w:val="201C0510"/>
    <w:rsid w:val="201C3B6B"/>
    <w:rsid w:val="201C473C"/>
    <w:rsid w:val="201C6F85"/>
    <w:rsid w:val="201D4CC3"/>
    <w:rsid w:val="201E0AE8"/>
    <w:rsid w:val="20211D5F"/>
    <w:rsid w:val="202159AB"/>
    <w:rsid w:val="202166D4"/>
    <w:rsid w:val="202175A1"/>
    <w:rsid w:val="202515DA"/>
    <w:rsid w:val="20251C38"/>
    <w:rsid w:val="20276A3F"/>
    <w:rsid w:val="202A73F7"/>
    <w:rsid w:val="202C260A"/>
    <w:rsid w:val="202D3415"/>
    <w:rsid w:val="202D5A8F"/>
    <w:rsid w:val="202D79BE"/>
    <w:rsid w:val="202F0F7A"/>
    <w:rsid w:val="202F5682"/>
    <w:rsid w:val="20345C6B"/>
    <w:rsid w:val="203511DD"/>
    <w:rsid w:val="2036235B"/>
    <w:rsid w:val="2037401E"/>
    <w:rsid w:val="20374A94"/>
    <w:rsid w:val="20376EDB"/>
    <w:rsid w:val="203B09FB"/>
    <w:rsid w:val="203B223D"/>
    <w:rsid w:val="204025D6"/>
    <w:rsid w:val="20405BEE"/>
    <w:rsid w:val="20406BE0"/>
    <w:rsid w:val="20416777"/>
    <w:rsid w:val="2043202D"/>
    <w:rsid w:val="20433516"/>
    <w:rsid w:val="20436325"/>
    <w:rsid w:val="20442E5C"/>
    <w:rsid w:val="204476F1"/>
    <w:rsid w:val="20447A16"/>
    <w:rsid w:val="20480F69"/>
    <w:rsid w:val="204A4516"/>
    <w:rsid w:val="204B2607"/>
    <w:rsid w:val="204B74C7"/>
    <w:rsid w:val="204C1E73"/>
    <w:rsid w:val="204C3A61"/>
    <w:rsid w:val="20544F62"/>
    <w:rsid w:val="20555AF4"/>
    <w:rsid w:val="2056472A"/>
    <w:rsid w:val="20565BC0"/>
    <w:rsid w:val="2059499A"/>
    <w:rsid w:val="20597F4B"/>
    <w:rsid w:val="205A1469"/>
    <w:rsid w:val="205B3453"/>
    <w:rsid w:val="205E19B2"/>
    <w:rsid w:val="20600D1B"/>
    <w:rsid w:val="20607389"/>
    <w:rsid w:val="20611319"/>
    <w:rsid w:val="20622EA1"/>
    <w:rsid w:val="20634256"/>
    <w:rsid w:val="206363DF"/>
    <w:rsid w:val="20645A38"/>
    <w:rsid w:val="20647E69"/>
    <w:rsid w:val="20653266"/>
    <w:rsid w:val="20676BB2"/>
    <w:rsid w:val="20691892"/>
    <w:rsid w:val="20694F9A"/>
    <w:rsid w:val="206A06B4"/>
    <w:rsid w:val="206C48C9"/>
    <w:rsid w:val="206D53B5"/>
    <w:rsid w:val="206F3A9C"/>
    <w:rsid w:val="206F7705"/>
    <w:rsid w:val="206F7B45"/>
    <w:rsid w:val="206F7CEF"/>
    <w:rsid w:val="20706D56"/>
    <w:rsid w:val="20727F3D"/>
    <w:rsid w:val="20731885"/>
    <w:rsid w:val="207464F2"/>
    <w:rsid w:val="2074767B"/>
    <w:rsid w:val="20751A27"/>
    <w:rsid w:val="207611DC"/>
    <w:rsid w:val="20785C02"/>
    <w:rsid w:val="20787589"/>
    <w:rsid w:val="20796375"/>
    <w:rsid w:val="207B4790"/>
    <w:rsid w:val="207B6896"/>
    <w:rsid w:val="207C4A87"/>
    <w:rsid w:val="207E38EB"/>
    <w:rsid w:val="207E442E"/>
    <w:rsid w:val="207E73B3"/>
    <w:rsid w:val="207F6953"/>
    <w:rsid w:val="208153FC"/>
    <w:rsid w:val="20816B8D"/>
    <w:rsid w:val="20830C98"/>
    <w:rsid w:val="20833C58"/>
    <w:rsid w:val="20847CF8"/>
    <w:rsid w:val="20851305"/>
    <w:rsid w:val="208639BE"/>
    <w:rsid w:val="208865A8"/>
    <w:rsid w:val="20894CE9"/>
    <w:rsid w:val="208C4EF6"/>
    <w:rsid w:val="208D5FFD"/>
    <w:rsid w:val="208E436D"/>
    <w:rsid w:val="20906A6E"/>
    <w:rsid w:val="20906F20"/>
    <w:rsid w:val="20910214"/>
    <w:rsid w:val="20915876"/>
    <w:rsid w:val="209162C3"/>
    <w:rsid w:val="20931DE8"/>
    <w:rsid w:val="20940188"/>
    <w:rsid w:val="209430B2"/>
    <w:rsid w:val="209515CF"/>
    <w:rsid w:val="20961D63"/>
    <w:rsid w:val="20995794"/>
    <w:rsid w:val="20996C2B"/>
    <w:rsid w:val="209A06F1"/>
    <w:rsid w:val="209A0892"/>
    <w:rsid w:val="209F0C36"/>
    <w:rsid w:val="209F3A3C"/>
    <w:rsid w:val="20A01087"/>
    <w:rsid w:val="20A01D81"/>
    <w:rsid w:val="20A1195E"/>
    <w:rsid w:val="20A27365"/>
    <w:rsid w:val="20A45CC8"/>
    <w:rsid w:val="20A50508"/>
    <w:rsid w:val="20A56C07"/>
    <w:rsid w:val="20A579AB"/>
    <w:rsid w:val="20A61B78"/>
    <w:rsid w:val="20A9165B"/>
    <w:rsid w:val="20A91FB6"/>
    <w:rsid w:val="20A95D62"/>
    <w:rsid w:val="20A96266"/>
    <w:rsid w:val="20AB52E9"/>
    <w:rsid w:val="20AD767C"/>
    <w:rsid w:val="20AE64BD"/>
    <w:rsid w:val="20AF6DAE"/>
    <w:rsid w:val="20B539DB"/>
    <w:rsid w:val="20B72DB4"/>
    <w:rsid w:val="20B8017A"/>
    <w:rsid w:val="20B81965"/>
    <w:rsid w:val="20B82276"/>
    <w:rsid w:val="20BA2653"/>
    <w:rsid w:val="20BC3B79"/>
    <w:rsid w:val="20BE1283"/>
    <w:rsid w:val="20BF5B51"/>
    <w:rsid w:val="20C25529"/>
    <w:rsid w:val="20C40150"/>
    <w:rsid w:val="20C57062"/>
    <w:rsid w:val="20C60638"/>
    <w:rsid w:val="20C60956"/>
    <w:rsid w:val="20C622A4"/>
    <w:rsid w:val="20CA2CAC"/>
    <w:rsid w:val="20CB16BB"/>
    <w:rsid w:val="20CC31C1"/>
    <w:rsid w:val="20CC72B4"/>
    <w:rsid w:val="20CD176A"/>
    <w:rsid w:val="20CE59AA"/>
    <w:rsid w:val="20D01BDE"/>
    <w:rsid w:val="20D05A98"/>
    <w:rsid w:val="20D2163E"/>
    <w:rsid w:val="20D27ACF"/>
    <w:rsid w:val="20D618F4"/>
    <w:rsid w:val="20D70B48"/>
    <w:rsid w:val="20D71649"/>
    <w:rsid w:val="20D76503"/>
    <w:rsid w:val="20D979AB"/>
    <w:rsid w:val="20DF09A2"/>
    <w:rsid w:val="20DF7A06"/>
    <w:rsid w:val="20E112D4"/>
    <w:rsid w:val="20E15BC8"/>
    <w:rsid w:val="20E218DF"/>
    <w:rsid w:val="20E22306"/>
    <w:rsid w:val="20E37CF2"/>
    <w:rsid w:val="20E73306"/>
    <w:rsid w:val="20E93B91"/>
    <w:rsid w:val="20EC0195"/>
    <w:rsid w:val="20EC6A86"/>
    <w:rsid w:val="20EF1D9F"/>
    <w:rsid w:val="20F0031A"/>
    <w:rsid w:val="20F21B60"/>
    <w:rsid w:val="20F519CC"/>
    <w:rsid w:val="20F57922"/>
    <w:rsid w:val="20F66171"/>
    <w:rsid w:val="20F66E31"/>
    <w:rsid w:val="20F67456"/>
    <w:rsid w:val="20F75954"/>
    <w:rsid w:val="20F86970"/>
    <w:rsid w:val="20F87400"/>
    <w:rsid w:val="20FA265F"/>
    <w:rsid w:val="20FA47DC"/>
    <w:rsid w:val="20FB0571"/>
    <w:rsid w:val="20FB1779"/>
    <w:rsid w:val="20FB6FB4"/>
    <w:rsid w:val="20FB7750"/>
    <w:rsid w:val="20FE1AB4"/>
    <w:rsid w:val="20FE6536"/>
    <w:rsid w:val="2101334E"/>
    <w:rsid w:val="21013676"/>
    <w:rsid w:val="210360B8"/>
    <w:rsid w:val="21063C23"/>
    <w:rsid w:val="21090085"/>
    <w:rsid w:val="210A4C70"/>
    <w:rsid w:val="210D7B8D"/>
    <w:rsid w:val="210E5E5F"/>
    <w:rsid w:val="210E6696"/>
    <w:rsid w:val="210F2EFB"/>
    <w:rsid w:val="21117225"/>
    <w:rsid w:val="21133B70"/>
    <w:rsid w:val="21145FA3"/>
    <w:rsid w:val="21165480"/>
    <w:rsid w:val="211756B8"/>
    <w:rsid w:val="21182E01"/>
    <w:rsid w:val="21193D4D"/>
    <w:rsid w:val="21196691"/>
    <w:rsid w:val="211B7253"/>
    <w:rsid w:val="21214F66"/>
    <w:rsid w:val="212150E0"/>
    <w:rsid w:val="21237F1E"/>
    <w:rsid w:val="2125239A"/>
    <w:rsid w:val="21252E73"/>
    <w:rsid w:val="21253776"/>
    <w:rsid w:val="212B7936"/>
    <w:rsid w:val="212D4DE1"/>
    <w:rsid w:val="212D5FB2"/>
    <w:rsid w:val="21370939"/>
    <w:rsid w:val="21377E94"/>
    <w:rsid w:val="213A3313"/>
    <w:rsid w:val="213B1D15"/>
    <w:rsid w:val="213C3C3A"/>
    <w:rsid w:val="213E37F8"/>
    <w:rsid w:val="21402822"/>
    <w:rsid w:val="2141003A"/>
    <w:rsid w:val="21412A5D"/>
    <w:rsid w:val="21430909"/>
    <w:rsid w:val="21446B56"/>
    <w:rsid w:val="21454B24"/>
    <w:rsid w:val="21456B80"/>
    <w:rsid w:val="21462CA9"/>
    <w:rsid w:val="21472318"/>
    <w:rsid w:val="2148359B"/>
    <w:rsid w:val="214A0A47"/>
    <w:rsid w:val="214C564C"/>
    <w:rsid w:val="214D6143"/>
    <w:rsid w:val="21522A82"/>
    <w:rsid w:val="2153191B"/>
    <w:rsid w:val="215436A3"/>
    <w:rsid w:val="21556872"/>
    <w:rsid w:val="2156357D"/>
    <w:rsid w:val="215779BF"/>
    <w:rsid w:val="21582CF5"/>
    <w:rsid w:val="215914FE"/>
    <w:rsid w:val="215B011E"/>
    <w:rsid w:val="215B0449"/>
    <w:rsid w:val="215B1092"/>
    <w:rsid w:val="215C3D16"/>
    <w:rsid w:val="215D794A"/>
    <w:rsid w:val="21623DE1"/>
    <w:rsid w:val="21641FC7"/>
    <w:rsid w:val="2164414E"/>
    <w:rsid w:val="21672047"/>
    <w:rsid w:val="21685EFE"/>
    <w:rsid w:val="216A36A0"/>
    <w:rsid w:val="216A511C"/>
    <w:rsid w:val="216C6ED4"/>
    <w:rsid w:val="216D35CE"/>
    <w:rsid w:val="217317C9"/>
    <w:rsid w:val="21741EE7"/>
    <w:rsid w:val="21756634"/>
    <w:rsid w:val="217707C8"/>
    <w:rsid w:val="217C41DF"/>
    <w:rsid w:val="217C5105"/>
    <w:rsid w:val="217E4069"/>
    <w:rsid w:val="218012C4"/>
    <w:rsid w:val="21822F31"/>
    <w:rsid w:val="21825303"/>
    <w:rsid w:val="21836730"/>
    <w:rsid w:val="21841575"/>
    <w:rsid w:val="218515C7"/>
    <w:rsid w:val="21852967"/>
    <w:rsid w:val="2187412A"/>
    <w:rsid w:val="2189195A"/>
    <w:rsid w:val="21893666"/>
    <w:rsid w:val="218952AD"/>
    <w:rsid w:val="218B2E3A"/>
    <w:rsid w:val="218E33C6"/>
    <w:rsid w:val="2192522D"/>
    <w:rsid w:val="21931F99"/>
    <w:rsid w:val="21936E92"/>
    <w:rsid w:val="21941479"/>
    <w:rsid w:val="219724CD"/>
    <w:rsid w:val="219774C8"/>
    <w:rsid w:val="219A5F85"/>
    <w:rsid w:val="219C2D54"/>
    <w:rsid w:val="219C7AB5"/>
    <w:rsid w:val="21A14F69"/>
    <w:rsid w:val="21A33830"/>
    <w:rsid w:val="21A36559"/>
    <w:rsid w:val="21A41A40"/>
    <w:rsid w:val="21AA41B6"/>
    <w:rsid w:val="21AF4461"/>
    <w:rsid w:val="21B10848"/>
    <w:rsid w:val="21B346D1"/>
    <w:rsid w:val="21B65622"/>
    <w:rsid w:val="21B66C0A"/>
    <w:rsid w:val="21B74CAF"/>
    <w:rsid w:val="21B821BB"/>
    <w:rsid w:val="21B83CFD"/>
    <w:rsid w:val="21B8456C"/>
    <w:rsid w:val="21C0014A"/>
    <w:rsid w:val="21C02EB4"/>
    <w:rsid w:val="21C06FF7"/>
    <w:rsid w:val="21C129BD"/>
    <w:rsid w:val="21C32346"/>
    <w:rsid w:val="21CB45A0"/>
    <w:rsid w:val="21CC3ED6"/>
    <w:rsid w:val="21CD53CE"/>
    <w:rsid w:val="21CE17AC"/>
    <w:rsid w:val="21CF58D5"/>
    <w:rsid w:val="21D075B1"/>
    <w:rsid w:val="21D25724"/>
    <w:rsid w:val="21D27402"/>
    <w:rsid w:val="21D410EB"/>
    <w:rsid w:val="21D44E0D"/>
    <w:rsid w:val="21D601CF"/>
    <w:rsid w:val="21D8771C"/>
    <w:rsid w:val="21D9463E"/>
    <w:rsid w:val="21D97623"/>
    <w:rsid w:val="21DB3B41"/>
    <w:rsid w:val="21DB5D9E"/>
    <w:rsid w:val="21DE54BE"/>
    <w:rsid w:val="21DE645C"/>
    <w:rsid w:val="21E465DA"/>
    <w:rsid w:val="21E470BE"/>
    <w:rsid w:val="21E930AB"/>
    <w:rsid w:val="21EA6F9C"/>
    <w:rsid w:val="21EB501D"/>
    <w:rsid w:val="21ED15EC"/>
    <w:rsid w:val="21ED3598"/>
    <w:rsid w:val="21EE5D01"/>
    <w:rsid w:val="21F22FF2"/>
    <w:rsid w:val="21F23E16"/>
    <w:rsid w:val="21F32BF7"/>
    <w:rsid w:val="21F359F6"/>
    <w:rsid w:val="21F440EA"/>
    <w:rsid w:val="21F63F78"/>
    <w:rsid w:val="21F64CB8"/>
    <w:rsid w:val="21F77958"/>
    <w:rsid w:val="21F82BEE"/>
    <w:rsid w:val="21F9493B"/>
    <w:rsid w:val="21FA06CB"/>
    <w:rsid w:val="21FA60BE"/>
    <w:rsid w:val="21FD3254"/>
    <w:rsid w:val="22072C8B"/>
    <w:rsid w:val="220B64AC"/>
    <w:rsid w:val="221244AE"/>
    <w:rsid w:val="221418C4"/>
    <w:rsid w:val="221461B8"/>
    <w:rsid w:val="221A3E4C"/>
    <w:rsid w:val="221D4DC8"/>
    <w:rsid w:val="221E47C0"/>
    <w:rsid w:val="222037AA"/>
    <w:rsid w:val="22221453"/>
    <w:rsid w:val="22222766"/>
    <w:rsid w:val="22225C62"/>
    <w:rsid w:val="222627D2"/>
    <w:rsid w:val="22283B3E"/>
    <w:rsid w:val="222866F1"/>
    <w:rsid w:val="22292C31"/>
    <w:rsid w:val="222D67EA"/>
    <w:rsid w:val="222E73FE"/>
    <w:rsid w:val="22320FBE"/>
    <w:rsid w:val="223217DB"/>
    <w:rsid w:val="223274A8"/>
    <w:rsid w:val="22341610"/>
    <w:rsid w:val="22363FBC"/>
    <w:rsid w:val="223641A9"/>
    <w:rsid w:val="223802A8"/>
    <w:rsid w:val="223806B4"/>
    <w:rsid w:val="223914B3"/>
    <w:rsid w:val="22397D58"/>
    <w:rsid w:val="223B36E6"/>
    <w:rsid w:val="22405826"/>
    <w:rsid w:val="22407C85"/>
    <w:rsid w:val="224140CB"/>
    <w:rsid w:val="22421992"/>
    <w:rsid w:val="22443FCE"/>
    <w:rsid w:val="224475D2"/>
    <w:rsid w:val="224653FA"/>
    <w:rsid w:val="224744F7"/>
    <w:rsid w:val="2248546A"/>
    <w:rsid w:val="224A19E4"/>
    <w:rsid w:val="224C33D7"/>
    <w:rsid w:val="224E157C"/>
    <w:rsid w:val="225035BE"/>
    <w:rsid w:val="225050CE"/>
    <w:rsid w:val="22531DCB"/>
    <w:rsid w:val="225421FA"/>
    <w:rsid w:val="22544FCB"/>
    <w:rsid w:val="225739D3"/>
    <w:rsid w:val="22575799"/>
    <w:rsid w:val="22584394"/>
    <w:rsid w:val="22587AFC"/>
    <w:rsid w:val="225944BD"/>
    <w:rsid w:val="225A05D5"/>
    <w:rsid w:val="225A406F"/>
    <w:rsid w:val="225B0FFC"/>
    <w:rsid w:val="225B36BE"/>
    <w:rsid w:val="225D62AE"/>
    <w:rsid w:val="225F3957"/>
    <w:rsid w:val="225F3E96"/>
    <w:rsid w:val="225F4291"/>
    <w:rsid w:val="225F4D69"/>
    <w:rsid w:val="226108E8"/>
    <w:rsid w:val="2261488A"/>
    <w:rsid w:val="22631CF8"/>
    <w:rsid w:val="226358FE"/>
    <w:rsid w:val="2264295D"/>
    <w:rsid w:val="22644BCD"/>
    <w:rsid w:val="22685170"/>
    <w:rsid w:val="22687179"/>
    <w:rsid w:val="226919BA"/>
    <w:rsid w:val="226A348D"/>
    <w:rsid w:val="226B3136"/>
    <w:rsid w:val="226D48A1"/>
    <w:rsid w:val="226D5048"/>
    <w:rsid w:val="226E1DEE"/>
    <w:rsid w:val="226E62F7"/>
    <w:rsid w:val="226F31D5"/>
    <w:rsid w:val="227041AF"/>
    <w:rsid w:val="22713E38"/>
    <w:rsid w:val="22730CF7"/>
    <w:rsid w:val="22737536"/>
    <w:rsid w:val="2274412E"/>
    <w:rsid w:val="2274789F"/>
    <w:rsid w:val="22773EA5"/>
    <w:rsid w:val="22780F7B"/>
    <w:rsid w:val="22781061"/>
    <w:rsid w:val="22786A2A"/>
    <w:rsid w:val="227979D9"/>
    <w:rsid w:val="227A612D"/>
    <w:rsid w:val="227D26ED"/>
    <w:rsid w:val="227D5226"/>
    <w:rsid w:val="227E4097"/>
    <w:rsid w:val="22805175"/>
    <w:rsid w:val="22806DE5"/>
    <w:rsid w:val="2282329C"/>
    <w:rsid w:val="22824D1F"/>
    <w:rsid w:val="22843BA8"/>
    <w:rsid w:val="22847F0B"/>
    <w:rsid w:val="228504BA"/>
    <w:rsid w:val="22856930"/>
    <w:rsid w:val="22867D6D"/>
    <w:rsid w:val="2287051A"/>
    <w:rsid w:val="228E4985"/>
    <w:rsid w:val="22903DDE"/>
    <w:rsid w:val="22947D2F"/>
    <w:rsid w:val="22965498"/>
    <w:rsid w:val="22973112"/>
    <w:rsid w:val="22974D4E"/>
    <w:rsid w:val="22996EC0"/>
    <w:rsid w:val="22997BD3"/>
    <w:rsid w:val="229B3A94"/>
    <w:rsid w:val="229D0135"/>
    <w:rsid w:val="229D45C2"/>
    <w:rsid w:val="229D59AB"/>
    <w:rsid w:val="229F095F"/>
    <w:rsid w:val="22A17BD1"/>
    <w:rsid w:val="22A23E4B"/>
    <w:rsid w:val="22A35271"/>
    <w:rsid w:val="22A50C56"/>
    <w:rsid w:val="22A66017"/>
    <w:rsid w:val="22A73B1A"/>
    <w:rsid w:val="22A95078"/>
    <w:rsid w:val="22A97CB5"/>
    <w:rsid w:val="22AA7CB8"/>
    <w:rsid w:val="22AB310A"/>
    <w:rsid w:val="22AC1DB8"/>
    <w:rsid w:val="22AC376B"/>
    <w:rsid w:val="22AF03DE"/>
    <w:rsid w:val="22B05083"/>
    <w:rsid w:val="22B11BF8"/>
    <w:rsid w:val="22B1477A"/>
    <w:rsid w:val="22B23DF0"/>
    <w:rsid w:val="22B250FA"/>
    <w:rsid w:val="22B27484"/>
    <w:rsid w:val="22B323F6"/>
    <w:rsid w:val="22B35A77"/>
    <w:rsid w:val="22B361D2"/>
    <w:rsid w:val="22B62540"/>
    <w:rsid w:val="22B74704"/>
    <w:rsid w:val="22B754A8"/>
    <w:rsid w:val="22B859F5"/>
    <w:rsid w:val="22BE09A7"/>
    <w:rsid w:val="22C04F06"/>
    <w:rsid w:val="22C4034D"/>
    <w:rsid w:val="22C77FB1"/>
    <w:rsid w:val="22C832A4"/>
    <w:rsid w:val="22C9754D"/>
    <w:rsid w:val="22CA2094"/>
    <w:rsid w:val="22CE6328"/>
    <w:rsid w:val="22D160BE"/>
    <w:rsid w:val="22D228EB"/>
    <w:rsid w:val="22D3189D"/>
    <w:rsid w:val="22D33F94"/>
    <w:rsid w:val="22D54CD0"/>
    <w:rsid w:val="22D551EC"/>
    <w:rsid w:val="22D60A6B"/>
    <w:rsid w:val="22D71AFB"/>
    <w:rsid w:val="22DC594F"/>
    <w:rsid w:val="22DC623D"/>
    <w:rsid w:val="22DF4EF7"/>
    <w:rsid w:val="22E25E38"/>
    <w:rsid w:val="22E2724B"/>
    <w:rsid w:val="22E67D7B"/>
    <w:rsid w:val="22E83687"/>
    <w:rsid w:val="22E86279"/>
    <w:rsid w:val="22EB0268"/>
    <w:rsid w:val="22EC2DD5"/>
    <w:rsid w:val="22ED65C7"/>
    <w:rsid w:val="22ED7F37"/>
    <w:rsid w:val="22F13A25"/>
    <w:rsid w:val="22F442D6"/>
    <w:rsid w:val="22F520E8"/>
    <w:rsid w:val="22F566FB"/>
    <w:rsid w:val="22F634FC"/>
    <w:rsid w:val="22F92955"/>
    <w:rsid w:val="22FB6088"/>
    <w:rsid w:val="22FB6FCF"/>
    <w:rsid w:val="22FF2839"/>
    <w:rsid w:val="2301741A"/>
    <w:rsid w:val="2304003C"/>
    <w:rsid w:val="23057A46"/>
    <w:rsid w:val="23070F99"/>
    <w:rsid w:val="2308275C"/>
    <w:rsid w:val="230900A0"/>
    <w:rsid w:val="230A7E17"/>
    <w:rsid w:val="230C1DD8"/>
    <w:rsid w:val="2310181B"/>
    <w:rsid w:val="231105CB"/>
    <w:rsid w:val="23115012"/>
    <w:rsid w:val="23172BA2"/>
    <w:rsid w:val="23184206"/>
    <w:rsid w:val="231969B6"/>
    <w:rsid w:val="23196F39"/>
    <w:rsid w:val="231B5BF4"/>
    <w:rsid w:val="231C0DB4"/>
    <w:rsid w:val="231D30EA"/>
    <w:rsid w:val="231D6BB5"/>
    <w:rsid w:val="231D78DD"/>
    <w:rsid w:val="231E7533"/>
    <w:rsid w:val="23202DCE"/>
    <w:rsid w:val="232304AA"/>
    <w:rsid w:val="2326034B"/>
    <w:rsid w:val="23260A7B"/>
    <w:rsid w:val="232672FD"/>
    <w:rsid w:val="232929A2"/>
    <w:rsid w:val="232A09D7"/>
    <w:rsid w:val="232B137B"/>
    <w:rsid w:val="232F42E1"/>
    <w:rsid w:val="23347E4D"/>
    <w:rsid w:val="2335010C"/>
    <w:rsid w:val="2335132E"/>
    <w:rsid w:val="2335707C"/>
    <w:rsid w:val="233808F9"/>
    <w:rsid w:val="233A4EFC"/>
    <w:rsid w:val="233D6836"/>
    <w:rsid w:val="23402D50"/>
    <w:rsid w:val="234079E2"/>
    <w:rsid w:val="234103DF"/>
    <w:rsid w:val="234541FE"/>
    <w:rsid w:val="23473DB6"/>
    <w:rsid w:val="234754AA"/>
    <w:rsid w:val="23487BB4"/>
    <w:rsid w:val="23496340"/>
    <w:rsid w:val="234A04DA"/>
    <w:rsid w:val="234A0824"/>
    <w:rsid w:val="234A1EAC"/>
    <w:rsid w:val="234A3223"/>
    <w:rsid w:val="234D1E3D"/>
    <w:rsid w:val="234D6027"/>
    <w:rsid w:val="234E3F87"/>
    <w:rsid w:val="234E6F05"/>
    <w:rsid w:val="2351306C"/>
    <w:rsid w:val="23515BE1"/>
    <w:rsid w:val="235500CF"/>
    <w:rsid w:val="23552C71"/>
    <w:rsid w:val="235557EB"/>
    <w:rsid w:val="2356546D"/>
    <w:rsid w:val="23595143"/>
    <w:rsid w:val="23596BA7"/>
    <w:rsid w:val="235C6E2A"/>
    <w:rsid w:val="235E0EC4"/>
    <w:rsid w:val="236150F6"/>
    <w:rsid w:val="23617633"/>
    <w:rsid w:val="2362653F"/>
    <w:rsid w:val="23647B13"/>
    <w:rsid w:val="23654E0C"/>
    <w:rsid w:val="236745D3"/>
    <w:rsid w:val="236862A1"/>
    <w:rsid w:val="236B4719"/>
    <w:rsid w:val="236B4AD9"/>
    <w:rsid w:val="236C52FD"/>
    <w:rsid w:val="236D0FBC"/>
    <w:rsid w:val="236F655A"/>
    <w:rsid w:val="2371558B"/>
    <w:rsid w:val="23725051"/>
    <w:rsid w:val="23727F77"/>
    <w:rsid w:val="2373749F"/>
    <w:rsid w:val="23770FDF"/>
    <w:rsid w:val="237827E3"/>
    <w:rsid w:val="23811EB4"/>
    <w:rsid w:val="23816247"/>
    <w:rsid w:val="2381748A"/>
    <w:rsid w:val="23860129"/>
    <w:rsid w:val="2386427F"/>
    <w:rsid w:val="238737C4"/>
    <w:rsid w:val="23881DC5"/>
    <w:rsid w:val="23883C37"/>
    <w:rsid w:val="238863D6"/>
    <w:rsid w:val="238A1548"/>
    <w:rsid w:val="238B5940"/>
    <w:rsid w:val="238C41D6"/>
    <w:rsid w:val="238D7B55"/>
    <w:rsid w:val="23920990"/>
    <w:rsid w:val="239228E4"/>
    <w:rsid w:val="23945498"/>
    <w:rsid w:val="23953DB9"/>
    <w:rsid w:val="2395553C"/>
    <w:rsid w:val="23965357"/>
    <w:rsid w:val="23975B35"/>
    <w:rsid w:val="239A1F3C"/>
    <w:rsid w:val="239B115D"/>
    <w:rsid w:val="239B589B"/>
    <w:rsid w:val="23A0194E"/>
    <w:rsid w:val="23A0680F"/>
    <w:rsid w:val="23A2032C"/>
    <w:rsid w:val="23A21AD0"/>
    <w:rsid w:val="23A31A61"/>
    <w:rsid w:val="23A42702"/>
    <w:rsid w:val="23A51F35"/>
    <w:rsid w:val="23A73259"/>
    <w:rsid w:val="23AD661F"/>
    <w:rsid w:val="23AE234E"/>
    <w:rsid w:val="23B217A7"/>
    <w:rsid w:val="23B364A5"/>
    <w:rsid w:val="23B40CEB"/>
    <w:rsid w:val="23B75ED7"/>
    <w:rsid w:val="23B96616"/>
    <w:rsid w:val="23BA02F1"/>
    <w:rsid w:val="23BA059D"/>
    <w:rsid w:val="23BC3287"/>
    <w:rsid w:val="23BC59C0"/>
    <w:rsid w:val="23BF2AA9"/>
    <w:rsid w:val="23C031BD"/>
    <w:rsid w:val="23C2649C"/>
    <w:rsid w:val="23C27052"/>
    <w:rsid w:val="23C45A94"/>
    <w:rsid w:val="23C63AB3"/>
    <w:rsid w:val="23C82784"/>
    <w:rsid w:val="23C84298"/>
    <w:rsid w:val="23C87730"/>
    <w:rsid w:val="23C92721"/>
    <w:rsid w:val="23CA48EC"/>
    <w:rsid w:val="23CC6604"/>
    <w:rsid w:val="23CD037A"/>
    <w:rsid w:val="23CD48E0"/>
    <w:rsid w:val="23CD6627"/>
    <w:rsid w:val="23CE141B"/>
    <w:rsid w:val="23CF3EAE"/>
    <w:rsid w:val="23D013A6"/>
    <w:rsid w:val="23D444B0"/>
    <w:rsid w:val="23D624B7"/>
    <w:rsid w:val="23D63BE2"/>
    <w:rsid w:val="23D84EAF"/>
    <w:rsid w:val="23D92492"/>
    <w:rsid w:val="23DB2AE8"/>
    <w:rsid w:val="23DC495B"/>
    <w:rsid w:val="23E05F7F"/>
    <w:rsid w:val="23E275B4"/>
    <w:rsid w:val="23E3727B"/>
    <w:rsid w:val="23E53280"/>
    <w:rsid w:val="23E56A31"/>
    <w:rsid w:val="23E8508B"/>
    <w:rsid w:val="23E95A4F"/>
    <w:rsid w:val="23E97E4F"/>
    <w:rsid w:val="23EA0204"/>
    <w:rsid w:val="23ED72D5"/>
    <w:rsid w:val="23EE0371"/>
    <w:rsid w:val="23EF153E"/>
    <w:rsid w:val="23F230B3"/>
    <w:rsid w:val="23F30D39"/>
    <w:rsid w:val="23F40F44"/>
    <w:rsid w:val="23F52CE7"/>
    <w:rsid w:val="23F5508C"/>
    <w:rsid w:val="23F622C5"/>
    <w:rsid w:val="23F71D92"/>
    <w:rsid w:val="23F843BB"/>
    <w:rsid w:val="23F87DA9"/>
    <w:rsid w:val="23FD67F4"/>
    <w:rsid w:val="23FD7FFC"/>
    <w:rsid w:val="23FF614F"/>
    <w:rsid w:val="24005781"/>
    <w:rsid w:val="240058B5"/>
    <w:rsid w:val="24065739"/>
    <w:rsid w:val="24073E18"/>
    <w:rsid w:val="2408226D"/>
    <w:rsid w:val="24083EAA"/>
    <w:rsid w:val="2408754A"/>
    <w:rsid w:val="240D2167"/>
    <w:rsid w:val="240E3FFA"/>
    <w:rsid w:val="240F0D66"/>
    <w:rsid w:val="240F241B"/>
    <w:rsid w:val="240F37D8"/>
    <w:rsid w:val="24101549"/>
    <w:rsid w:val="24111A86"/>
    <w:rsid w:val="241256E0"/>
    <w:rsid w:val="241348FD"/>
    <w:rsid w:val="241546C0"/>
    <w:rsid w:val="2417603E"/>
    <w:rsid w:val="24186092"/>
    <w:rsid w:val="24197129"/>
    <w:rsid w:val="241B1EE2"/>
    <w:rsid w:val="241C737E"/>
    <w:rsid w:val="241F5F5D"/>
    <w:rsid w:val="2421077D"/>
    <w:rsid w:val="24214BF6"/>
    <w:rsid w:val="242924FE"/>
    <w:rsid w:val="24292E75"/>
    <w:rsid w:val="242A3EA8"/>
    <w:rsid w:val="242D2087"/>
    <w:rsid w:val="242D38E2"/>
    <w:rsid w:val="242E29FA"/>
    <w:rsid w:val="242F65FD"/>
    <w:rsid w:val="24305ACD"/>
    <w:rsid w:val="24307010"/>
    <w:rsid w:val="24315317"/>
    <w:rsid w:val="243232A5"/>
    <w:rsid w:val="24390C16"/>
    <w:rsid w:val="243950D1"/>
    <w:rsid w:val="24396ABC"/>
    <w:rsid w:val="243A3DA9"/>
    <w:rsid w:val="243B2AC5"/>
    <w:rsid w:val="243C5C35"/>
    <w:rsid w:val="243E5245"/>
    <w:rsid w:val="24403A40"/>
    <w:rsid w:val="24406ACD"/>
    <w:rsid w:val="24436319"/>
    <w:rsid w:val="24451F11"/>
    <w:rsid w:val="24481129"/>
    <w:rsid w:val="2448353A"/>
    <w:rsid w:val="244B277B"/>
    <w:rsid w:val="244C40BE"/>
    <w:rsid w:val="244C471C"/>
    <w:rsid w:val="244D1340"/>
    <w:rsid w:val="244D2751"/>
    <w:rsid w:val="244D74B9"/>
    <w:rsid w:val="244E6CDD"/>
    <w:rsid w:val="244E7D47"/>
    <w:rsid w:val="24504E35"/>
    <w:rsid w:val="245150DF"/>
    <w:rsid w:val="245302A4"/>
    <w:rsid w:val="24535557"/>
    <w:rsid w:val="24536801"/>
    <w:rsid w:val="24540E36"/>
    <w:rsid w:val="24545566"/>
    <w:rsid w:val="24554AC9"/>
    <w:rsid w:val="24556281"/>
    <w:rsid w:val="24574307"/>
    <w:rsid w:val="24580E41"/>
    <w:rsid w:val="24585679"/>
    <w:rsid w:val="2458707D"/>
    <w:rsid w:val="245929EB"/>
    <w:rsid w:val="24595320"/>
    <w:rsid w:val="245A017A"/>
    <w:rsid w:val="245D0EAA"/>
    <w:rsid w:val="245F17E9"/>
    <w:rsid w:val="245F1D99"/>
    <w:rsid w:val="24605E9D"/>
    <w:rsid w:val="246151A3"/>
    <w:rsid w:val="246241B4"/>
    <w:rsid w:val="24647583"/>
    <w:rsid w:val="24657DC7"/>
    <w:rsid w:val="24667D19"/>
    <w:rsid w:val="246A120D"/>
    <w:rsid w:val="246C173B"/>
    <w:rsid w:val="246E363A"/>
    <w:rsid w:val="247233C9"/>
    <w:rsid w:val="24731DCB"/>
    <w:rsid w:val="24735DCB"/>
    <w:rsid w:val="24737EFB"/>
    <w:rsid w:val="2474208B"/>
    <w:rsid w:val="24755969"/>
    <w:rsid w:val="2475781B"/>
    <w:rsid w:val="247D2FFF"/>
    <w:rsid w:val="247E7694"/>
    <w:rsid w:val="247F0BDB"/>
    <w:rsid w:val="248015E5"/>
    <w:rsid w:val="24810D51"/>
    <w:rsid w:val="2482508B"/>
    <w:rsid w:val="24827D5B"/>
    <w:rsid w:val="24845732"/>
    <w:rsid w:val="248505D5"/>
    <w:rsid w:val="24851FD6"/>
    <w:rsid w:val="24861BAF"/>
    <w:rsid w:val="24867B9C"/>
    <w:rsid w:val="248724A3"/>
    <w:rsid w:val="24876E0C"/>
    <w:rsid w:val="248865D7"/>
    <w:rsid w:val="24911BC9"/>
    <w:rsid w:val="2493132B"/>
    <w:rsid w:val="24946D01"/>
    <w:rsid w:val="249533DD"/>
    <w:rsid w:val="24963412"/>
    <w:rsid w:val="24963CA9"/>
    <w:rsid w:val="249661CA"/>
    <w:rsid w:val="249911A1"/>
    <w:rsid w:val="249A31B6"/>
    <w:rsid w:val="249B7386"/>
    <w:rsid w:val="249F7D02"/>
    <w:rsid w:val="24A01D4B"/>
    <w:rsid w:val="24A02E14"/>
    <w:rsid w:val="24A05EF9"/>
    <w:rsid w:val="24A31F87"/>
    <w:rsid w:val="24AE1102"/>
    <w:rsid w:val="24AE2398"/>
    <w:rsid w:val="24AF0F1A"/>
    <w:rsid w:val="24B068B6"/>
    <w:rsid w:val="24B11BA7"/>
    <w:rsid w:val="24B263D5"/>
    <w:rsid w:val="24B36575"/>
    <w:rsid w:val="24B467CC"/>
    <w:rsid w:val="24B75ED6"/>
    <w:rsid w:val="24B85D94"/>
    <w:rsid w:val="24BA28DC"/>
    <w:rsid w:val="24BA5E09"/>
    <w:rsid w:val="24BF0E6F"/>
    <w:rsid w:val="24C17704"/>
    <w:rsid w:val="24C31776"/>
    <w:rsid w:val="24C44529"/>
    <w:rsid w:val="24C453E8"/>
    <w:rsid w:val="24C70712"/>
    <w:rsid w:val="24C712C8"/>
    <w:rsid w:val="24C803E0"/>
    <w:rsid w:val="24CA1D85"/>
    <w:rsid w:val="24CB1955"/>
    <w:rsid w:val="24CB6C6D"/>
    <w:rsid w:val="24CD222C"/>
    <w:rsid w:val="24CD6E94"/>
    <w:rsid w:val="24CE5CFD"/>
    <w:rsid w:val="24CF391F"/>
    <w:rsid w:val="24CF6218"/>
    <w:rsid w:val="24D1329D"/>
    <w:rsid w:val="24D1413B"/>
    <w:rsid w:val="24D14835"/>
    <w:rsid w:val="24D20831"/>
    <w:rsid w:val="24D252F0"/>
    <w:rsid w:val="24D52843"/>
    <w:rsid w:val="24D71679"/>
    <w:rsid w:val="24D71A8A"/>
    <w:rsid w:val="24DA0673"/>
    <w:rsid w:val="24DA3620"/>
    <w:rsid w:val="24DB4403"/>
    <w:rsid w:val="24DC2B52"/>
    <w:rsid w:val="24DC2FA4"/>
    <w:rsid w:val="24DD22D8"/>
    <w:rsid w:val="24DE2691"/>
    <w:rsid w:val="24DE6855"/>
    <w:rsid w:val="24DE75EA"/>
    <w:rsid w:val="24E05CC7"/>
    <w:rsid w:val="24E172D0"/>
    <w:rsid w:val="24E17CD2"/>
    <w:rsid w:val="24E71592"/>
    <w:rsid w:val="24E730F8"/>
    <w:rsid w:val="24E74160"/>
    <w:rsid w:val="24E80EFF"/>
    <w:rsid w:val="24E835DF"/>
    <w:rsid w:val="24ED1994"/>
    <w:rsid w:val="24ED299A"/>
    <w:rsid w:val="24F0377B"/>
    <w:rsid w:val="24F148CB"/>
    <w:rsid w:val="24F26CEA"/>
    <w:rsid w:val="24F301F2"/>
    <w:rsid w:val="24F3500A"/>
    <w:rsid w:val="24F46D72"/>
    <w:rsid w:val="24F8287A"/>
    <w:rsid w:val="24F97B6D"/>
    <w:rsid w:val="24FC5D5C"/>
    <w:rsid w:val="24FC7746"/>
    <w:rsid w:val="24FD4331"/>
    <w:rsid w:val="25010893"/>
    <w:rsid w:val="25033C15"/>
    <w:rsid w:val="25040B51"/>
    <w:rsid w:val="25046BDA"/>
    <w:rsid w:val="25053DA0"/>
    <w:rsid w:val="250549B9"/>
    <w:rsid w:val="2505544C"/>
    <w:rsid w:val="2507081B"/>
    <w:rsid w:val="25071EFF"/>
    <w:rsid w:val="25093A9F"/>
    <w:rsid w:val="250B0B37"/>
    <w:rsid w:val="250F2314"/>
    <w:rsid w:val="250F60A0"/>
    <w:rsid w:val="2511639A"/>
    <w:rsid w:val="2512213B"/>
    <w:rsid w:val="2512468F"/>
    <w:rsid w:val="251648E6"/>
    <w:rsid w:val="2517151E"/>
    <w:rsid w:val="25186B04"/>
    <w:rsid w:val="251C125D"/>
    <w:rsid w:val="251C3DF9"/>
    <w:rsid w:val="251D4338"/>
    <w:rsid w:val="251E3A14"/>
    <w:rsid w:val="2520208A"/>
    <w:rsid w:val="252020F9"/>
    <w:rsid w:val="2521134D"/>
    <w:rsid w:val="25240B22"/>
    <w:rsid w:val="25243AC8"/>
    <w:rsid w:val="25245023"/>
    <w:rsid w:val="25264C7E"/>
    <w:rsid w:val="252A220D"/>
    <w:rsid w:val="25307B52"/>
    <w:rsid w:val="253220D9"/>
    <w:rsid w:val="253275BA"/>
    <w:rsid w:val="253278ED"/>
    <w:rsid w:val="253445A5"/>
    <w:rsid w:val="253474ED"/>
    <w:rsid w:val="253508DA"/>
    <w:rsid w:val="25364AFB"/>
    <w:rsid w:val="2537410B"/>
    <w:rsid w:val="25392F58"/>
    <w:rsid w:val="253B0689"/>
    <w:rsid w:val="253B6CC0"/>
    <w:rsid w:val="253C7561"/>
    <w:rsid w:val="253F49F2"/>
    <w:rsid w:val="25453A71"/>
    <w:rsid w:val="25465A9E"/>
    <w:rsid w:val="2548152C"/>
    <w:rsid w:val="2549063A"/>
    <w:rsid w:val="254C6CB7"/>
    <w:rsid w:val="254D1E2D"/>
    <w:rsid w:val="254E7270"/>
    <w:rsid w:val="254F42EA"/>
    <w:rsid w:val="25514251"/>
    <w:rsid w:val="2551456B"/>
    <w:rsid w:val="25521998"/>
    <w:rsid w:val="25531DEB"/>
    <w:rsid w:val="255456D2"/>
    <w:rsid w:val="25552F04"/>
    <w:rsid w:val="25561585"/>
    <w:rsid w:val="25572810"/>
    <w:rsid w:val="255A10FD"/>
    <w:rsid w:val="255A55FB"/>
    <w:rsid w:val="255C5A6E"/>
    <w:rsid w:val="255D07B7"/>
    <w:rsid w:val="255E210D"/>
    <w:rsid w:val="255F25C3"/>
    <w:rsid w:val="255F2AE5"/>
    <w:rsid w:val="255F3B4E"/>
    <w:rsid w:val="25616942"/>
    <w:rsid w:val="256659AD"/>
    <w:rsid w:val="25667408"/>
    <w:rsid w:val="256736BF"/>
    <w:rsid w:val="25674FE2"/>
    <w:rsid w:val="2568288C"/>
    <w:rsid w:val="256A5920"/>
    <w:rsid w:val="256B4F15"/>
    <w:rsid w:val="256C7124"/>
    <w:rsid w:val="256E3A73"/>
    <w:rsid w:val="256E693D"/>
    <w:rsid w:val="256F3291"/>
    <w:rsid w:val="2571233B"/>
    <w:rsid w:val="2571578C"/>
    <w:rsid w:val="25730763"/>
    <w:rsid w:val="257412FF"/>
    <w:rsid w:val="25743BEC"/>
    <w:rsid w:val="25755652"/>
    <w:rsid w:val="25755CC4"/>
    <w:rsid w:val="257713BE"/>
    <w:rsid w:val="257761EF"/>
    <w:rsid w:val="25782616"/>
    <w:rsid w:val="257A36F3"/>
    <w:rsid w:val="257A3F8E"/>
    <w:rsid w:val="257D536F"/>
    <w:rsid w:val="257D6054"/>
    <w:rsid w:val="257E1B05"/>
    <w:rsid w:val="257F1343"/>
    <w:rsid w:val="25800D74"/>
    <w:rsid w:val="25811E1D"/>
    <w:rsid w:val="25830D1D"/>
    <w:rsid w:val="2585535F"/>
    <w:rsid w:val="25861B53"/>
    <w:rsid w:val="258645E3"/>
    <w:rsid w:val="25866598"/>
    <w:rsid w:val="258858B1"/>
    <w:rsid w:val="2588724F"/>
    <w:rsid w:val="258A0640"/>
    <w:rsid w:val="258A15BD"/>
    <w:rsid w:val="258D73AE"/>
    <w:rsid w:val="258E6A9E"/>
    <w:rsid w:val="2591316B"/>
    <w:rsid w:val="25934423"/>
    <w:rsid w:val="2593605F"/>
    <w:rsid w:val="259508D8"/>
    <w:rsid w:val="25956471"/>
    <w:rsid w:val="2597456E"/>
    <w:rsid w:val="25993FE6"/>
    <w:rsid w:val="259A2A09"/>
    <w:rsid w:val="259C3054"/>
    <w:rsid w:val="259D36E5"/>
    <w:rsid w:val="259E0221"/>
    <w:rsid w:val="259E4E1A"/>
    <w:rsid w:val="259E5E0C"/>
    <w:rsid w:val="25A14DB2"/>
    <w:rsid w:val="25A406A5"/>
    <w:rsid w:val="25A413B9"/>
    <w:rsid w:val="25A55EA5"/>
    <w:rsid w:val="25A7388C"/>
    <w:rsid w:val="25A74AB1"/>
    <w:rsid w:val="25AA6FC4"/>
    <w:rsid w:val="25AA7E8D"/>
    <w:rsid w:val="25AB0CF7"/>
    <w:rsid w:val="25AC0893"/>
    <w:rsid w:val="25B32FDF"/>
    <w:rsid w:val="25B430B5"/>
    <w:rsid w:val="25B9276E"/>
    <w:rsid w:val="25B94E52"/>
    <w:rsid w:val="25B967DF"/>
    <w:rsid w:val="25B96A5D"/>
    <w:rsid w:val="25B97315"/>
    <w:rsid w:val="25BA7F53"/>
    <w:rsid w:val="25BA7FC7"/>
    <w:rsid w:val="25BD4B07"/>
    <w:rsid w:val="25BE2CE6"/>
    <w:rsid w:val="25BF1C12"/>
    <w:rsid w:val="25BF434C"/>
    <w:rsid w:val="25BF59CC"/>
    <w:rsid w:val="25C04CF4"/>
    <w:rsid w:val="25C4380B"/>
    <w:rsid w:val="25C902AA"/>
    <w:rsid w:val="25C90E4A"/>
    <w:rsid w:val="25CA0375"/>
    <w:rsid w:val="25CA2017"/>
    <w:rsid w:val="25CC68E3"/>
    <w:rsid w:val="25CE0E2F"/>
    <w:rsid w:val="25CF48A7"/>
    <w:rsid w:val="25CF7968"/>
    <w:rsid w:val="25CF7A8A"/>
    <w:rsid w:val="25D00356"/>
    <w:rsid w:val="25D00DD3"/>
    <w:rsid w:val="25D106A0"/>
    <w:rsid w:val="25D12D1F"/>
    <w:rsid w:val="25D12E8E"/>
    <w:rsid w:val="25D32E55"/>
    <w:rsid w:val="25D5640A"/>
    <w:rsid w:val="25D74807"/>
    <w:rsid w:val="25D90EFA"/>
    <w:rsid w:val="25DA0A46"/>
    <w:rsid w:val="25DB74D7"/>
    <w:rsid w:val="25DD1186"/>
    <w:rsid w:val="25DF7F93"/>
    <w:rsid w:val="25E272A1"/>
    <w:rsid w:val="25E325D9"/>
    <w:rsid w:val="25E4261F"/>
    <w:rsid w:val="25EC1F90"/>
    <w:rsid w:val="25EC3779"/>
    <w:rsid w:val="25ED7C7C"/>
    <w:rsid w:val="25EF10DE"/>
    <w:rsid w:val="25EF182B"/>
    <w:rsid w:val="25F278CF"/>
    <w:rsid w:val="25F3732F"/>
    <w:rsid w:val="25F60FCB"/>
    <w:rsid w:val="25F66957"/>
    <w:rsid w:val="25F74939"/>
    <w:rsid w:val="25FB4748"/>
    <w:rsid w:val="25FB5200"/>
    <w:rsid w:val="25FC6086"/>
    <w:rsid w:val="25FF3A27"/>
    <w:rsid w:val="260036DD"/>
    <w:rsid w:val="26012304"/>
    <w:rsid w:val="260339F1"/>
    <w:rsid w:val="2606026A"/>
    <w:rsid w:val="26073B49"/>
    <w:rsid w:val="260872D8"/>
    <w:rsid w:val="26094C91"/>
    <w:rsid w:val="260C7651"/>
    <w:rsid w:val="260D2867"/>
    <w:rsid w:val="260D7C7A"/>
    <w:rsid w:val="260E08FB"/>
    <w:rsid w:val="260E4B4D"/>
    <w:rsid w:val="260F23AB"/>
    <w:rsid w:val="260F5191"/>
    <w:rsid w:val="26105EC8"/>
    <w:rsid w:val="261115EA"/>
    <w:rsid w:val="26134F5E"/>
    <w:rsid w:val="26142760"/>
    <w:rsid w:val="2614408B"/>
    <w:rsid w:val="2616435D"/>
    <w:rsid w:val="26167F79"/>
    <w:rsid w:val="26183A88"/>
    <w:rsid w:val="26184094"/>
    <w:rsid w:val="261D2631"/>
    <w:rsid w:val="261F1753"/>
    <w:rsid w:val="262339DB"/>
    <w:rsid w:val="26277C77"/>
    <w:rsid w:val="26280144"/>
    <w:rsid w:val="262A137A"/>
    <w:rsid w:val="262A32EC"/>
    <w:rsid w:val="262B449A"/>
    <w:rsid w:val="262B5349"/>
    <w:rsid w:val="262B5814"/>
    <w:rsid w:val="262E7516"/>
    <w:rsid w:val="26304374"/>
    <w:rsid w:val="263430FA"/>
    <w:rsid w:val="26356A24"/>
    <w:rsid w:val="26373161"/>
    <w:rsid w:val="26386A2A"/>
    <w:rsid w:val="263876C4"/>
    <w:rsid w:val="26396A65"/>
    <w:rsid w:val="263B36E7"/>
    <w:rsid w:val="263E400A"/>
    <w:rsid w:val="263E6603"/>
    <w:rsid w:val="264255E9"/>
    <w:rsid w:val="264445E4"/>
    <w:rsid w:val="26471EF9"/>
    <w:rsid w:val="26495EC7"/>
    <w:rsid w:val="264A3B2B"/>
    <w:rsid w:val="264B6653"/>
    <w:rsid w:val="264C1D36"/>
    <w:rsid w:val="264C3EA6"/>
    <w:rsid w:val="264C461C"/>
    <w:rsid w:val="265267CE"/>
    <w:rsid w:val="2655475E"/>
    <w:rsid w:val="265859B2"/>
    <w:rsid w:val="2659063A"/>
    <w:rsid w:val="2659617C"/>
    <w:rsid w:val="265B1CC4"/>
    <w:rsid w:val="265D768C"/>
    <w:rsid w:val="265E268B"/>
    <w:rsid w:val="265F263F"/>
    <w:rsid w:val="26600C0E"/>
    <w:rsid w:val="26605E44"/>
    <w:rsid w:val="2660799A"/>
    <w:rsid w:val="26610779"/>
    <w:rsid w:val="2663724B"/>
    <w:rsid w:val="26644CC6"/>
    <w:rsid w:val="26645255"/>
    <w:rsid w:val="26655DC6"/>
    <w:rsid w:val="26662183"/>
    <w:rsid w:val="26672899"/>
    <w:rsid w:val="26674C49"/>
    <w:rsid w:val="2668294B"/>
    <w:rsid w:val="266943A7"/>
    <w:rsid w:val="266A2505"/>
    <w:rsid w:val="266B49FE"/>
    <w:rsid w:val="266C4AEB"/>
    <w:rsid w:val="266C70D5"/>
    <w:rsid w:val="266E3787"/>
    <w:rsid w:val="26741DFA"/>
    <w:rsid w:val="26754ED7"/>
    <w:rsid w:val="2676276E"/>
    <w:rsid w:val="2679785B"/>
    <w:rsid w:val="267B5BE1"/>
    <w:rsid w:val="267C50C4"/>
    <w:rsid w:val="267D6F85"/>
    <w:rsid w:val="267E53B3"/>
    <w:rsid w:val="267E6EE0"/>
    <w:rsid w:val="267F0654"/>
    <w:rsid w:val="26807B3F"/>
    <w:rsid w:val="26810117"/>
    <w:rsid w:val="26814AC3"/>
    <w:rsid w:val="26826BCA"/>
    <w:rsid w:val="26843381"/>
    <w:rsid w:val="26846325"/>
    <w:rsid w:val="2688476C"/>
    <w:rsid w:val="268B2B3F"/>
    <w:rsid w:val="268B50F5"/>
    <w:rsid w:val="268D1055"/>
    <w:rsid w:val="268D52A1"/>
    <w:rsid w:val="268D602B"/>
    <w:rsid w:val="268E7117"/>
    <w:rsid w:val="268F4A54"/>
    <w:rsid w:val="268F71D8"/>
    <w:rsid w:val="268F7733"/>
    <w:rsid w:val="2690229D"/>
    <w:rsid w:val="269046B8"/>
    <w:rsid w:val="26906F41"/>
    <w:rsid w:val="269102CA"/>
    <w:rsid w:val="26914DFF"/>
    <w:rsid w:val="26936E74"/>
    <w:rsid w:val="269568B7"/>
    <w:rsid w:val="26962EF6"/>
    <w:rsid w:val="26991298"/>
    <w:rsid w:val="26991C18"/>
    <w:rsid w:val="269A0099"/>
    <w:rsid w:val="269C4EEB"/>
    <w:rsid w:val="269F5361"/>
    <w:rsid w:val="26A23DF0"/>
    <w:rsid w:val="26A3747B"/>
    <w:rsid w:val="26A4119D"/>
    <w:rsid w:val="26A67DFA"/>
    <w:rsid w:val="26A814BE"/>
    <w:rsid w:val="26A9532C"/>
    <w:rsid w:val="26A977CC"/>
    <w:rsid w:val="26AB0A6C"/>
    <w:rsid w:val="26AD1672"/>
    <w:rsid w:val="26AF3DC6"/>
    <w:rsid w:val="26AF47F7"/>
    <w:rsid w:val="26B00650"/>
    <w:rsid w:val="26B22C64"/>
    <w:rsid w:val="26B307E8"/>
    <w:rsid w:val="26B333CB"/>
    <w:rsid w:val="26B720CA"/>
    <w:rsid w:val="26BC34E0"/>
    <w:rsid w:val="26BC5E08"/>
    <w:rsid w:val="26BE01C0"/>
    <w:rsid w:val="26BE0B1B"/>
    <w:rsid w:val="26BE7226"/>
    <w:rsid w:val="26BF4E15"/>
    <w:rsid w:val="26C107B7"/>
    <w:rsid w:val="26C71277"/>
    <w:rsid w:val="26C9152C"/>
    <w:rsid w:val="26CD43BF"/>
    <w:rsid w:val="26CF35B8"/>
    <w:rsid w:val="26D10BCB"/>
    <w:rsid w:val="26D14318"/>
    <w:rsid w:val="26D2431D"/>
    <w:rsid w:val="26D32C60"/>
    <w:rsid w:val="26D530F8"/>
    <w:rsid w:val="26D70A1C"/>
    <w:rsid w:val="26D73127"/>
    <w:rsid w:val="26D739EE"/>
    <w:rsid w:val="26DB37AE"/>
    <w:rsid w:val="26DB6194"/>
    <w:rsid w:val="26DC0A1F"/>
    <w:rsid w:val="26DD5936"/>
    <w:rsid w:val="26DE68E5"/>
    <w:rsid w:val="26E00594"/>
    <w:rsid w:val="26E220D3"/>
    <w:rsid w:val="26E27415"/>
    <w:rsid w:val="26E418D2"/>
    <w:rsid w:val="26E666A8"/>
    <w:rsid w:val="26E82A13"/>
    <w:rsid w:val="26E86FAA"/>
    <w:rsid w:val="26EA1AE3"/>
    <w:rsid w:val="26EE6267"/>
    <w:rsid w:val="26F30036"/>
    <w:rsid w:val="26F47C37"/>
    <w:rsid w:val="26F673A1"/>
    <w:rsid w:val="26F74AC2"/>
    <w:rsid w:val="26F801E2"/>
    <w:rsid w:val="270038F7"/>
    <w:rsid w:val="27013C22"/>
    <w:rsid w:val="27023BE5"/>
    <w:rsid w:val="27035883"/>
    <w:rsid w:val="27053D6B"/>
    <w:rsid w:val="27081718"/>
    <w:rsid w:val="270919BB"/>
    <w:rsid w:val="270A0BB5"/>
    <w:rsid w:val="270A2A08"/>
    <w:rsid w:val="270A7D8C"/>
    <w:rsid w:val="270C56EC"/>
    <w:rsid w:val="270F4792"/>
    <w:rsid w:val="27124137"/>
    <w:rsid w:val="271273B0"/>
    <w:rsid w:val="27140853"/>
    <w:rsid w:val="27143D6B"/>
    <w:rsid w:val="27143E49"/>
    <w:rsid w:val="27145497"/>
    <w:rsid w:val="27153AA7"/>
    <w:rsid w:val="27166BE5"/>
    <w:rsid w:val="27183DFE"/>
    <w:rsid w:val="2719438B"/>
    <w:rsid w:val="271B2B72"/>
    <w:rsid w:val="271E2ED2"/>
    <w:rsid w:val="271F7034"/>
    <w:rsid w:val="27200AE7"/>
    <w:rsid w:val="272057F3"/>
    <w:rsid w:val="27226981"/>
    <w:rsid w:val="27237C47"/>
    <w:rsid w:val="272555DE"/>
    <w:rsid w:val="2725696A"/>
    <w:rsid w:val="27270A91"/>
    <w:rsid w:val="27271601"/>
    <w:rsid w:val="27271F95"/>
    <w:rsid w:val="27290578"/>
    <w:rsid w:val="27297ED8"/>
    <w:rsid w:val="272E72F7"/>
    <w:rsid w:val="272F5CB1"/>
    <w:rsid w:val="272F6F55"/>
    <w:rsid w:val="27302256"/>
    <w:rsid w:val="273230B9"/>
    <w:rsid w:val="27323EE7"/>
    <w:rsid w:val="27331D72"/>
    <w:rsid w:val="2736342A"/>
    <w:rsid w:val="27363D8C"/>
    <w:rsid w:val="27367B45"/>
    <w:rsid w:val="27367EBF"/>
    <w:rsid w:val="27383021"/>
    <w:rsid w:val="273943F8"/>
    <w:rsid w:val="273A5864"/>
    <w:rsid w:val="273B3B4B"/>
    <w:rsid w:val="273C6091"/>
    <w:rsid w:val="273D7CF7"/>
    <w:rsid w:val="273F6415"/>
    <w:rsid w:val="27426F34"/>
    <w:rsid w:val="27430C34"/>
    <w:rsid w:val="2743212B"/>
    <w:rsid w:val="274356CD"/>
    <w:rsid w:val="27446FEA"/>
    <w:rsid w:val="27452162"/>
    <w:rsid w:val="27470EF2"/>
    <w:rsid w:val="274A6046"/>
    <w:rsid w:val="274C204D"/>
    <w:rsid w:val="274C3553"/>
    <w:rsid w:val="274C67F3"/>
    <w:rsid w:val="274E5799"/>
    <w:rsid w:val="274E6760"/>
    <w:rsid w:val="274E7E89"/>
    <w:rsid w:val="274F092E"/>
    <w:rsid w:val="274F70AB"/>
    <w:rsid w:val="2750503C"/>
    <w:rsid w:val="27522B91"/>
    <w:rsid w:val="2752427A"/>
    <w:rsid w:val="27524935"/>
    <w:rsid w:val="2754293F"/>
    <w:rsid w:val="275456E0"/>
    <w:rsid w:val="27551CBA"/>
    <w:rsid w:val="27580199"/>
    <w:rsid w:val="27583214"/>
    <w:rsid w:val="275A481A"/>
    <w:rsid w:val="275D1968"/>
    <w:rsid w:val="275F2589"/>
    <w:rsid w:val="275F700F"/>
    <w:rsid w:val="2761050B"/>
    <w:rsid w:val="27611443"/>
    <w:rsid w:val="2762712A"/>
    <w:rsid w:val="27647F24"/>
    <w:rsid w:val="27651850"/>
    <w:rsid w:val="27656035"/>
    <w:rsid w:val="27663943"/>
    <w:rsid w:val="27671792"/>
    <w:rsid w:val="2767312B"/>
    <w:rsid w:val="276946C1"/>
    <w:rsid w:val="27696C31"/>
    <w:rsid w:val="276B48DC"/>
    <w:rsid w:val="27711114"/>
    <w:rsid w:val="27730430"/>
    <w:rsid w:val="27774EEC"/>
    <w:rsid w:val="277755F3"/>
    <w:rsid w:val="277843A1"/>
    <w:rsid w:val="277B4A7E"/>
    <w:rsid w:val="277C5543"/>
    <w:rsid w:val="277C7709"/>
    <w:rsid w:val="277E30C4"/>
    <w:rsid w:val="277F0641"/>
    <w:rsid w:val="277F3B3C"/>
    <w:rsid w:val="277F58C6"/>
    <w:rsid w:val="2780009A"/>
    <w:rsid w:val="27803D9B"/>
    <w:rsid w:val="27805253"/>
    <w:rsid w:val="27810B88"/>
    <w:rsid w:val="27833B58"/>
    <w:rsid w:val="27883216"/>
    <w:rsid w:val="2789664A"/>
    <w:rsid w:val="278B0772"/>
    <w:rsid w:val="278E3D38"/>
    <w:rsid w:val="278F19B7"/>
    <w:rsid w:val="27930338"/>
    <w:rsid w:val="27971697"/>
    <w:rsid w:val="27976F46"/>
    <w:rsid w:val="279A1580"/>
    <w:rsid w:val="279C307B"/>
    <w:rsid w:val="279E073A"/>
    <w:rsid w:val="279F0C4F"/>
    <w:rsid w:val="27A10EE7"/>
    <w:rsid w:val="27A2234A"/>
    <w:rsid w:val="27A312AC"/>
    <w:rsid w:val="27A46DCD"/>
    <w:rsid w:val="27A72EE0"/>
    <w:rsid w:val="27A930BD"/>
    <w:rsid w:val="27A95FBC"/>
    <w:rsid w:val="27AA4661"/>
    <w:rsid w:val="27AB4985"/>
    <w:rsid w:val="27AC0188"/>
    <w:rsid w:val="27AC1105"/>
    <w:rsid w:val="27AC3037"/>
    <w:rsid w:val="27AC6FA9"/>
    <w:rsid w:val="27AE7E7C"/>
    <w:rsid w:val="27AF7C4E"/>
    <w:rsid w:val="27B17DC6"/>
    <w:rsid w:val="27B343A8"/>
    <w:rsid w:val="27B52385"/>
    <w:rsid w:val="27B641D6"/>
    <w:rsid w:val="27B66EFE"/>
    <w:rsid w:val="27B719D6"/>
    <w:rsid w:val="27B73DF6"/>
    <w:rsid w:val="27B77B3B"/>
    <w:rsid w:val="27B905C1"/>
    <w:rsid w:val="27B92B46"/>
    <w:rsid w:val="27B930BA"/>
    <w:rsid w:val="27BC5697"/>
    <w:rsid w:val="27BE5428"/>
    <w:rsid w:val="27BE58DC"/>
    <w:rsid w:val="27C0752E"/>
    <w:rsid w:val="27C2078B"/>
    <w:rsid w:val="27C51C12"/>
    <w:rsid w:val="27C54E8F"/>
    <w:rsid w:val="27C75996"/>
    <w:rsid w:val="27C8393D"/>
    <w:rsid w:val="27D54362"/>
    <w:rsid w:val="27D60A8C"/>
    <w:rsid w:val="27D624C3"/>
    <w:rsid w:val="27D80CFF"/>
    <w:rsid w:val="27D83604"/>
    <w:rsid w:val="27D87820"/>
    <w:rsid w:val="27DC6122"/>
    <w:rsid w:val="27DE6610"/>
    <w:rsid w:val="27E0175F"/>
    <w:rsid w:val="27E23196"/>
    <w:rsid w:val="27E62598"/>
    <w:rsid w:val="27E63A36"/>
    <w:rsid w:val="27E65623"/>
    <w:rsid w:val="27EB6C64"/>
    <w:rsid w:val="27EC1A49"/>
    <w:rsid w:val="27EC41EE"/>
    <w:rsid w:val="27F25017"/>
    <w:rsid w:val="27F61397"/>
    <w:rsid w:val="27F656DC"/>
    <w:rsid w:val="27F6734A"/>
    <w:rsid w:val="27F8463F"/>
    <w:rsid w:val="27F97770"/>
    <w:rsid w:val="27FD25A4"/>
    <w:rsid w:val="27FD36E2"/>
    <w:rsid w:val="28004D12"/>
    <w:rsid w:val="280076D0"/>
    <w:rsid w:val="28014EC1"/>
    <w:rsid w:val="280336D7"/>
    <w:rsid w:val="28053645"/>
    <w:rsid w:val="2808529D"/>
    <w:rsid w:val="280B434C"/>
    <w:rsid w:val="280B48E6"/>
    <w:rsid w:val="280D46A9"/>
    <w:rsid w:val="280D67F7"/>
    <w:rsid w:val="280E7D23"/>
    <w:rsid w:val="280F0564"/>
    <w:rsid w:val="28105492"/>
    <w:rsid w:val="28111EF6"/>
    <w:rsid w:val="28113493"/>
    <w:rsid w:val="28116007"/>
    <w:rsid w:val="2812527D"/>
    <w:rsid w:val="2815313B"/>
    <w:rsid w:val="28155F4C"/>
    <w:rsid w:val="28161842"/>
    <w:rsid w:val="281669E5"/>
    <w:rsid w:val="28177EB8"/>
    <w:rsid w:val="28193886"/>
    <w:rsid w:val="281D43DB"/>
    <w:rsid w:val="281D63D9"/>
    <w:rsid w:val="28213252"/>
    <w:rsid w:val="28215E2C"/>
    <w:rsid w:val="28252389"/>
    <w:rsid w:val="28253D6F"/>
    <w:rsid w:val="282630DE"/>
    <w:rsid w:val="282D0016"/>
    <w:rsid w:val="282F28AA"/>
    <w:rsid w:val="28310E79"/>
    <w:rsid w:val="28341FF6"/>
    <w:rsid w:val="28365CF8"/>
    <w:rsid w:val="2836677B"/>
    <w:rsid w:val="283926FC"/>
    <w:rsid w:val="283B70DE"/>
    <w:rsid w:val="283C564D"/>
    <w:rsid w:val="283D5EB3"/>
    <w:rsid w:val="284017A6"/>
    <w:rsid w:val="28403A74"/>
    <w:rsid w:val="284067CC"/>
    <w:rsid w:val="28457DD6"/>
    <w:rsid w:val="28462449"/>
    <w:rsid w:val="28470835"/>
    <w:rsid w:val="2847427B"/>
    <w:rsid w:val="284916DF"/>
    <w:rsid w:val="284B5AA6"/>
    <w:rsid w:val="284C6E0C"/>
    <w:rsid w:val="284D1179"/>
    <w:rsid w:val="28560548"/>
    <w:rsid w:val="28572A59"/>
    <w:rsid w:val="285C191E"/>
    <w:rsid w:val="285E1491"/>
    <w:rsid w:val="285E581B"/>
    <w:rsid w:val="285E754F"/>
    <w:rsid w:val="28621854"/>
    <w:rsid w:val="286230BC"/>
    <w:rsid w:val="28630A6F"/>
    <w:rsid w:val="28633D71"/>
    <w:rsid w:val="28662AB0"/>
    <w:rsid w:val="28685141"/>
    <w:rsid w:val="28686943"/>
    <w:rsid w:val="286A6678"/>
    <w:rsid w:val="286F77D6"/>
    <w:rsid w:val="28713772"/>
    <w:rsid w:val="28720428"/>
    <w:rsid w:val="28742E36"/>
    <w:rsid w:val="28770E62"/>
    <w:rsid w:val="287A1CBE"/>
    <w:rsid w:val="287F083B"/>
    <w:rsid w:val="287F2808"/>
    <w:rsid w:val="287F2822"/>
    <w:rsid w:val="287F6DF5"/>
    <w:rsid w:val="28806B32"/>
    <w:rsid w:val="288146C3"/>
    <w:rsid w:val="2887331D"/>
    <w:rsid w:val="2889362E"/>
    <w:rsid w:val="288976F2"/>
    <w:rsid w:val="288B5ECF"/>
    <w:rsid w:val="288B7E0D"/>
    <w:rsid w:val="288C4426"/>
    <w:rsid w:val="288D0100"/>
    <w:rsid w:val="288D0254"/>
    <w:rsid w:val="28907C5A"/>
    <w:rsid w:val="28932468"/>
    <w:rsid w:val="289334E3"/>
    <w:rsid w:val="28934406"/>
    <w:rsid w:val="28935CB8"/>
    <w:rsid w:val="28936F95"/>
    <w:rsid w:val="2894018E"/>
    <w:rsid w:val="28943575"/>
    <w:rsid w:val="289456A4"/>
    <w:rsid w:val="289909C1"/>
    <w:rsid w:val="289B4003"/>
    <w:rsid w:val="289C2F4C"/>
    <w:rsid w:val="289C77BA"/>
    <w:rsid w:val="28A224C0"/>
    <w:rsid w:val="28A4012A"/>
    <w:rsid w:val="28A4096E"/>
    <w:rsid w:val="28A464A1"/>
    <w:rsid w:val="28A51515"/>
    <w:rsid w:val="28A60304"/>
    <w:rsid w:val="28A638CE"/>
    <w:rsid w:val="28A67EB8"/>
    <w:rsid w:val="28A845CB"/>
    <w:rsid w:val="28A94323"/>
    <w:rsid w:val="28AA35D2"/>
    <w:rsid w:val="28AD7817"/>
    <w:rsid w:val="28B24255"/>
    <w:rsid w:val="28B30FF3"/>
    <w:rsid w:val="28B526E4"/>
    <w:rsid w:val="28B87DB3"/>
    <w:rsid w:val="28B90D5D"/>
    <w:rsid w:val="28BA3331"/>
    <w:rsid w:val="28BD25D6"/>
    <w:rsid w:val="28BD3088"/>
    <w:rsid w:val="28BD3D46"/>
    <w:rsid w:val="28BD6055"/>
    <w:rsid w:val="28C059E0"/>
    <w:rsid w:val="28C139CA"/>
    <w:rsid w:val="28C13F1D"/>
    <w:rsid w:val="28C27047"/>
    <w:rsid w:val="28C43B5D"/>
    <w:rsid w:val="28C554DA"/>
    <w:rsid w:val="28C72796"/>
    <w:rsid w:val="28C75359"/>
    <w:rsid w:val="28C82593"/>
    <w:rsid w:val="28CD0A7B"/>
    <w:rsid w:val="28CE6BEF"/>
    <w:rsid w:val="28D10CA1"/>
    <w:rsid w:val="28D22440"/>
    <w:rsid w:val="28D27832"/>
    <w:rsid w:val="28D313AA"/>
    <w:rsid w:val="28D51CAF"/>
    <w:rsid w:val="28D717E1"/>
    <w:rsid w:val="28DB3FA8"/>
    <w:rsid w:val="28DB4AE0"/>
    <w:rsid w:val="28E01F40"/>
    <w:rsid w:val="28E17111"/>
    <w:rsid w:val="28E56890"/>
    <w:rsid w:val="28E86671"/>
    <w:rsid w:val="28E91BA7"/>
    <w:rsid w:val="28EB540C"/>
    <w:rsid w:val="28EB6AF1"/>
    <w:rsid w:val="28EC1656"/>
    <w:rsid w:val="28EE3E74"/>
    <w:rsid w:val="28EE4EEE"/>
    <w:rsid w:val="28F029FD"/>
    <w:rsid w:val="28F05CC7"/>
    <w:rsid w:val="28F05E3B"/>
    <w:rsid w:val="28F06BA3"/>
    <w:rsid w:val="28F2073F"/>
    <w:rsid w:val="28F25788"/>
    <w:rsid w:val="28F4253C"/>
    <w:rsid w:val="28F45EE4"/>
    <w:rsid w:val="28F5044D"/>
    <w:rsid w:val="28F73FBF"/>
    <w:rsid w:val="28F82D09"/>
    <w:rsid w:val="28FD73C1"/>
    <w:rsid w:val="28FF1A5A"/>
    <w:rsid w:val="28FF3873"/>
    <w:rsid w:val="29015215"/>
    <w:rsid w:val="29026DF5"/>
    <w:rsid w:val="290319F5"/>
    <w:rsid w:val="29031B50"/>
    <w:rsid w:val="290536AA"/>
    <w:rsid w:val="29061F39"/>
    <w:rsid w:val="2906328C"/>
    <w:rsid w:val="29071529"/>
    <w:rsid w:val="29074838"/>
    <w:rsid w:val="29084242"/>
    <w:rsid w:val="290B1B0A"/>
    <w:rsid w:val="290B38A6"/>
    <w:rsid w:val="290C6DEC"/>
    <w:rsid w:val="290D14AA"/>
    <w:rsid w:val="290D3327"/>
    <w:rsid w:val="290F36B8"/>
    <w:rsid w:val="29111698"/>
    <w:rsid w:val="291224A3"/>
    <w:rsid w:val="2912555B"/>
    <w:rsid w:val="291324E5"/>
    <w:rsid w:val="291349D5"/>
    <w:rsid w:val="29137248"/>
    <w:rsid w:val="2914214F"/>
    <w:rsid w:val="29163413"/>
    <w:rsid w:val="2917660C"/>
    <w:rsid w:val="29187F11"/>
    <w:rsid w:val="291E2FD3"/>
    <w:rsid w:val="29215FA5"/>
    <w:rsid w:val="29232F2F"/>
    <w:rsid w:val="29234FFD"/>
    <w:rsid w:val="29236119"/>
    <w:rsid w:val="29252FBF"/>
    <w:rsid w:val="29263CF4"/>
    <w:rsid w:val="29273670"/>
    <w:rsid w:val="29273995"/>
    <w:rsid w:val="29275140"/>
    <w:rsid w:val="292B3E4D"/>
    <w:rsid w:val="292B7C71"/>
    <w:rsid w:val="29321DA1"/>
    <w:rsid w:val="29326F62"/>
    <w:rsid w:val="2935023F"/>
    <w:rsid w:val="293626F5"/>
    <w:rsid w:val="2937043D"/>
    <w:rsid w:val="29395A2C"/>
    <w:rsid w:val="293E32A6"/>
    <w:rsid w:val="293E3F1B"/>
    <w:rsid w:val="293E67E5"/>
    <w:rsid w:val="293F76A0"/>
    <w:rsid w:val="29432298"/>
    <w:rsid w:val="29434752"/>
    <w:rsid w:val="29437215"/>
    <w:rsid w:val="29445941"/>
    <w:rsid w:val="29453A74"/>
    <w:rsid w:val="29470D42"/>
    <w:rsid w:val="29474E32"/>
    <w:rsid w:val="29483636"/>
    <w:rsid w:val="294B2B8F"/>
    <w:rsid w:val="294B5A6D"/>
    <w:rsid w:val="294C482C"/>
    <w:rsid w:val="294D7C0D"/>
    <w:rsid w:val="294E58AE"/>
    <w:rsid w:val="29511E96"/>
    <w:rsid w:val="29514E97"/>
    <w:rsid w:val="29520F93"/>
    <w:rsid w:val="29530330"/>
    <w:rsid w:val="29541187"/>
    <w:rsid w:val="29545465"/>
    <w:rsid w:val="2955418D"/>
    <w:rsid w:val="295C36A5"/>
    <w:rsid w:val="295C5D35"/>
    <w:rsid w:val="295D0B4B"/>
    <w:rsid w:val="295D0B8A"/>
    <w:rsid w:val="295D0C72"/>
    <w:rsid w:val="295E2837"/>
    <w:rsid w:val="2961412B"/>
    <w:rsid w:val="2962193A"/>
    <w:rsid w:val="29631E9B"/>
    <w:rsid w:val="2963578B"/>
    <w:rsid w:val="296617ED"/>
    <w:rsid w:val="296A07DD"/>
    <w:rsid w:val="296B0BEE"/>
    <w:rsid w:val="296E3261"/>
    <w:rsid w:val="297202E8"/>
    <w:rsid w:val="297228A0"/>
    <w:rsid w:val="29737A04"/>
    <w:rsid w:val="29766175"/>
    <w:rsid w:val="297665AB"/>
    <w:rsid w:val="29782335"/>
    <w:rsid w:val="297A767F"/>
    <w:rsid w:val="297B69EF"/>
    <w:rsid w:val="297F3C2B"/>
    <w:rsid w:val="29813FA3"/>
    <w:rsid w:val="29817CC9"/>
    <w:rsid w:val="298452CA"/>
    <w:rsid w:val="29845822"/>
    <w:rsid w:val="298B18A4"/>
    <w:rsid w:val="298B61D7"/>
    <w:rsid w:val="298C2FB9"/>
    <w:rsid w:val="298C3FCC"/>
    <w:rsid w:val="298C5002"/>
    <w:rsid w:val="298C7FAA"/>
    <w:rsid w:val="298D63DC"/>
    <w:rsid w:val="298F40E9"/>
    <w:rsid w:val="29904F6D"/>
    <w:rsid w:val="29917BF9"/>
    <w:rsid w:val="299233DE"/>
    <w:rsid w:val="299579BA"/>
    <w:rsid w:val="2997704A"/>
    <w:rsid w:val="299953D1"/>
    <w:rsid w:val="299A14AF"/>
    <w:rsid w:val="299B231C"/>
    <w:rsid w:val="299B338C"/>
    <w:rsid w:val="299B451D"/>
    <w:rsid w:val="299B75D3"/>
    <w:rsid w:val="29A10249"/>
    <w:rsid w:val="29A11736"/>
    <w:rsid w:val="29A16B2D"/>
    <w:rsid w:val="29A17934"/>
    <w:rsid w:val="29A25105"/>
    <w:rsid w:val="29A42AC3"/>
    <w:rsid w:val="29A549A0"/>
    <w:rsid w:val="29A7720F"/>
    <w:rsid w:val="29A77891"/>
    <w:rsid w:val="29A81592"/>
    <w:rsid w:val="29AA02D9"/>
    <w:rsid w:val="29AC1101"/>
    <w:rsid w:val="29AD3F5E"/>
    <w:rsid w:val="29AD7D47"/>
    <w:rsid w:val="29AE2EEA"/>
    <w:rsid w:val="29AE77D4"/>
    <w:rsid w:val="29B15C71"/>
    <w:rsid w:val="29B22817"/>
    <w:rsid w:val="29B34C06"/>
    <w:rsid w:val="29B356BC"/>
    <w:rsid w:val="29B44510"/>
    <w:rsid w:val="29B47511"/>
    <w:rsid w:val="29B957AD"/>
    <w:rsid w:val="29B97215"/>
    <w:rsid w:val="29BA692C"/>
    <w:rsid w:val="29BB6986"/>
    <w:rsid w:val="29BC5109"/>
    <w:rsid w:val="29BC6835"/>
    <w:rsid w:val="29C044A1"/>
    <w:rsid w:val="29C2542F"/>
    <w:rsid w:val="29C321E1"/>
    <w:rsid w:val="29C63C96"/>
    <w:rsid w:val="29C676B0"/>
    <w:rsid w:val="29C759F9"/>
    <w:rsid w:val="29C83B34"/>
    <w:rsid w:val="29CD086E"/>
    <w:rsid w:val="29CD0E83"/>
    <w:rsid w:val="29CD5A2E"/>
    <w:rsid w:val="29CD7A5E"/>
    <w:rsid w:val="29CE0102"/>
    <w:rsid w:val="29CE4BF4"/>
    <w:rsid w:val="29CF1A86"/>
    <w:rsid w:val="29CF301F"/>
    <w:rsid w:val="29D11BA9"/>
    <w:rsid w:val="29D30B01"/>
    <w:rsid w:val="29D346AB"/>
    <w:rsid w:val="29D351E2"/>
    <w:rsid w:val="29D36D5C"/>
    <w:rsid w:val="29D4082B"/>
    <w:rsid w:val="29D53F69"/>
    <w:rsid w:val="29D80F5F"/>
    <w:rsid w:val="29D95C21"/>
    <w:rsid w:val="29DA7EA7"/>
    <w:rsid w:val="29DC5C75"/>
    <w:rsid w:val="29DE0214"/>
    <w:rsid w:val="29DF4AC6"/>
    <w:rsid w:val="29E30552"/>
    <w:rsid w:val="29E36CDA"/>
    <w:rsid w:val="29E376D4"/>
    <w:rsid w:val="29E47D54"/>
    <w:rsid w:val="29E5345C"/>
    <w:rsid w:val="29E654E5"/>
    <w:rsid w:val="29E67549"/>
    <w:rsid w:val="29E679D4"/>
    <w:rsid w:val="29E757A8"/>
    <w:rsid w:val="29E772D4"/>
    <w:rsid w:val="29E77B07"/>
    <w:rsid w:val="29E958CA"/>
    <w:rsid w:val="29EA1F77"/>
    <w:rsid w:val="29EA3ECF"/>
    <w:rsid w:val="29EA614B"/>
    <w:rsid w:val="29EA7661"/>
    <w:rsid w:val="29F1335F"/>
    <w:rsid w:val="29F14C93"/>
    <w:rsid w:val="29F27207"/>
    <w:rsid w:val="29F76A7A"/>
    <w:rsid w:val="29F83206"/>
    <w:rsid w:val="29F94BB1"/>
    <w:rsid w:val="29F953AF"/>
    <w:rsid w:val="29FA5ADD"/>
    <w:rsid w:val="29FC4556"/>
    <w:rsid w:val="29FC4E36"/>
    <w:rsid w:val="29FF5269"/>
    <w:rsid w:val="2A00156C"/>
    <w:rsid w:val="2A0019F1"/>
    <w:rsid w:val="2A032EB2"/>
    <w:rsid w:val="2A0338DB"/>
    <w:rsid w:val="2A072DB1"/>
    <w:rsid w:val="2A0969A8"/>
    <w:rsid w:val="2A097C1E"/>
    <w:rsid w:val="2A0D243A"/>
    <w:rsid w:val="2A107FE2"/>
    <w:rsid w:val="2A131590"/>
    <w:rsid w:val="2A16290F"/>
    <w:rsid w:val="2A1717FF"/>
    <w:rsid w:val="2A184B28"/>
    <w:rsid w:val="2A1A2071"/>
    <w:rsid w:val="2A1C2579"/>
    <w:rsid w:val="2A1F1328"/>
    <w:rsid w:val="2A1F1C48"/>
    <w:rsid w:val="2A20148C"/>
    <w:rsid w:val="2A213B6E"/>
    <w:rsid w:val="2A22276E"/>
    <w:rsid w:val="2A222AB7"/>
    <w:rsid w:val="2A240770"/>
    <w:rsid w:val="2A24748B"/>
    <w:rsid w:val="2A2550D4"/>
    <w:rsid w:val="2A282E62"/>
    <w:rsid w:val="2A28683A"/>
    <w:rsid w:val="2A2968FE"/>
    <w:rsid w:val="2A2C2223"/>
    <w:rsid w:val="2A2D0B18"/>
    <w:rsid w:val="2A2E08CD"/>
    <w:rsid w:val="2A304DD2"/>
    <w:rsid w:val="2A315FD3"/>
    <w:rsid w:val="2A317D62"/>
    <w:rsid w:val="2A332B67"/>
    <w:rsid w:val="2A34358B"/>
    <w:rsid w:val="2A36462B"/>
    <w:rsid w:val="2A385C65"/>
    <w:rsid w:val="2A3A1213"/>
    <w:rsid w:val="2A3D62A7"/>
    <w:rsid w:val="2A411980"/>
    <w:rsid w:val="2A455F66"/>
    <w:rsid w:val="2A4D7D89"/>
    <w:rsid w:val="2A5028B1"/>
    <w:rsid w:val="2A542FCE"/>
    <w:rsid w:val="2A545503"/>
    <w:rsid w:val="2A5714EA"/>
    <w:rsid w:val="2A574550"/>
    <w:rsid w:val="2A58399A"/>
    <w:rsid w:val="2A584359"/>
    <w:rsid w:val="2A5B3238"/>
    <w:rsid w:val="2A5E4CDA"/>
    <w:rsid w:val="2A621CD8"/>
    <w:rsid w:val="2A63625D"/>
    <w:rsid w:val="2A6404CB"/>
    <w:rsid w:val="2A642C2A"/>
    <w:rsid w:val="2A647B11"/>
    <w:rsid w:val="2A661C61"/>
    <w:rsid w:val="2A663E8C"/>
    <w:rsid w:val="2A6A210B"/>
    <w:rsid w:val="2A6A60C3"/>
    <w:rsid w:val="2A6C10DB"/>
    <w:rsid w:val="2A6D082F"/>
    <w:rsid w:val="2A6D1E68"/>
    <w:rsid w:val="2A6F116D"/>
    <w:rsid w:val="2A700089"/>
    <w:rsid w:val="2A707873"/>
    <w:rsid w:val="2A7115BE"/>
    <w:rsid w:val="2A712803"/>
    <w:rsid w:val="2A734B5E"/>
    <w:rsid w:val="2A744951"/>
    <w:rsid w:val="2A7477B6"/>
    <w:rsid w:val="2A750898"/>
    <w:rsid w:val="2A784009"/>
    <w:rsid w:val="2A7863E5"/>
    <w:rsid w:val="2A7C3049"/>
    <w:rsid w:val="2A7C46EE"/>
    <w:rsid w:val="2A7D1F36"/>
    <w:rsid w:val="2A7D6863"/>
    <w:rsid w:val="2A7E3130"/>
    <w:rsid w:val="2A7F714E"/>
    <w:rsid w:val="2A8153D8"/>
    <w:rsid w:val="2A843BC3"/>
    <w:rsid w:val="2A8A1199"/>
    <w:rsid w:val="2A8A4BBC"/>
    <w:rsid w:val="2A8B3A8E"/>
    <w:rsid w:val="2A8C3CD8"/>
    <w:rsid w:val="2A8C4360"/>
    <w:rsid w:val="2A8F3184"/>
    <w:rsid w:val="2A901039"/>
    <w:rsid w:val="2A9012E8"/>
    <w:rsid w:val="2A944071"/>
    <w:rsid w:val="2A9455A4"/>
    <w:rsid w:val="2A972969"/>
    <w:rsid w:val="2A976001"/>
    <w:rsid w:val="2A977308"/>
    <w:rsid w:val="2A9806C0"/>
    <w:rsid w:val="2A981883"/>
    <w:rsid w:val="2A99232E"/>
    <w:rsid w:val="2A9942E4"/>
    <w:rsid w:val="2A9B3C85"/>
    <w:rsid w:val="2A9B42DC"/>
    <w:rsid w:val="2A9F7C2F"/>
    <w:rsid w:val="2AA04B66"/>
    <w:rsid w:val="2AA242B5"/>
    <w:rsid w:val="2AA2762C"/>
    <w:rsid w:val="2AA55E78"/>
    <w:rsid w:val="2AA57337"/>
    <w:rsid w:val="2AA573A2"/>
    <w:rsid w:val="2AA7330C"/>
    <w:rsid w:val="2AA80A24"/>
    <w:rsid w:val="2AA8555C"/>
    <w:rsid w:val="2AAA1387"/>
    <w:rsid w:val="2AAA54BB"/>
    <w:rsid w:val="2AAE0B15"/>
    <w:rsid w:val="2AAE2A67"/>
    <w:rsid w:val="2AB027EE"/>
    <w:rsid w:val="2AB037E6"/>
    <w:rsid w:val="2AB058EE"/>
    <w:rsid w:val="2AB22080"/>
    <w:rsid w:val="2AB5036B"/>
    <w:rsid w:val="2AB60454"/>
    <w:rsid w:val="2AB956CC"/>
    <w:rsid w:val="2ABE29ED"/>
    <w:rsid w:val="2ABF2C66"/>
    <w:rsid w:val="2AC044DC"/>
    <w:rsid w:val="2AC07345"/>
    <w:rsid w:val="2AC106F9"/>
    <w:rsid w:val="2AC55EF6"/>
    <w:rsid w:val="2AC6381D"/>
    <w:rsid w:val="2AC87158"/>
    <w:rsid w:val="2AC94F20"/>
    <w:rsid w:val="2ACB080A"/>
    <w:rsid w:val="2ACD53F7"/>
    <w:rsid w:val="2AD12957"/>
    <w:rsid w:val="2AD2103F"/>
    <w:rsid w:val="2AD243CC"/>
    <w:rsid w:val="2AD53C83"/>
    <w:rsid w:val="2AD77614"/>
    <w:rsid w:val="2AD779BF"/>
    <w:rsid w:val="2AD80930"/>
    <w:rsid w:val="2AD82DD8"/>
    <w:rsid w:val="2AD856C7"/>
    <w:rsid w:val="2AD92CEC"/>
    <w:rsid w:val="2AE15428"/>
    <w:rsid w:val="2AE225CE"/>
    <w:rsid w:val="2AE249A1"/>
    <w:rsid w:val="2AE3436B"/>
    <w:rsid w:val="2AE46641"/>
    <w:rsid w:val="2AE50E61"/>
    <w:rsid w:val="2AE553B3"/>
    <w:rsid w:val="2AE57267"/>
    <w:rsid w:val="2AE622CC"/>
    <w:rsid w:val="2AE62EDE"/>
    <w:rsid w:val="2AE8203C"/>
    <w:rsid w:val="2AE97B31"/>
    <w:rsid w:val="2AF04E41"/>
    <w:rsid w:val="2AF37A74"/>
    <w:rsid w:val="2AF51A08"/>
    <w:rsid w:val="2AF52D18"/>
    <w:rsid w:val="2AF718B0"/>
    <w:rsid w:val="2AF871F0"/>
    <w:rsid w:val="2AFB6EDF"/>
    <w:rsid w:val="2AFC0D4E"/>
    <w:rsid w:val="2AFC2C48"/>
    <w:rsid w:val="2AFD2D91"/>
    <w:rsid w:val="2AFE3864"/>
    <w:rsid w:val="2AFE4662"/>
    <w:rsid w:val="2AFF65FD"/>
    <w:rsid w:val="2AFF738D"/>
    <w:rsid w:val="2B025F1E"/>
    <w:rsid w:val="2B026B40"/>
    <w:rsid w:val="2B060EEE"/>
    <w:rsid w:val="2B071846"/>
    <w:rsid w:val="2B080CD8"/>
    <w:rsid w:val="2B087035"/>
    <w:rsid w:val="2B096CF7"/>
    <w:rsid w:val="2B0B003C"/>
    <w:rsid w:val="2B0B78A0"/>
    <w:rsid w:val="2B0C5779"/>
    <w:rsid w:val="2B0E2A56"/>
    <w:rsid w:val="2B102B9D"/>
    <w:rsid w:val="2B1231C6"/>
    <w:rsid w:val="2B1424AF"/>
    <w:rsid w:val="2B152FBD"/>
    <w:rsid w:val="2B1537C6"/>
    <w:rsid w:val="2B155504"/>
    <w:rsid w:val="2B180B7F"/>
    <w:rsid w:val="2B180D2B"/>
    <w:rsid w:val="2B1E1239"/>
    <w:rsid w:val="2B2205F7"/>
    <w:rsid w:val="2B223C7C"/>
    <w:rsid w:val="2B2663CE"/>
    <w:rsid w:val="2B274015"/>
    <w:rsid w:val="2B274DDB"/>
    <w:rsid w:val="2B28657B"/>
    <w:rsid w:val="2B294446"/>
    <w:rsid w:val="2B2A13DE"/>
    <w:rsid w:val="2B2B4CB2"/>
    <w:rsid w:val="2B2B6272"/>
    <w:rsid w:val="2B2D11FD"/>
    <w:rsid w:val="2B2D4CD0"/>
    <w:rsid w:val="2B2E3025"/>
    <w:rsid w:val="2B2E3C66"/>
    <w:rsid w:val="2B2E63FD"/>
    <w:rsid w:val="2B2F16B6"/>
    <w:rsid w:val="2B2F216E"/>
    <w:rsid w:val="2B2F3E3D"/>
    <w:rsid w:val="2B2F5161"/>
    <w:rsid w:val="2B2F5586"/>
    <w:rsid w:val="2B343B78"/>
    <w:rsid w:val="2B350412"/>
    <w:rsid w:val="2B35458B"/>
    <w:rsid w:val="2B37415D"/>
    <w:rsid w:val="2B3A3A6E"/>
    <w:rsid w:val="2B3B6EC0"/>
    <w:rsid w:val="2B3B7D20"/>
    <w:rsid w:val="2B3D0E77"/>
    <w:rsid w:val="2B3D2213"/>
    <w:rsid w:val="2B402B99"/>
    <w:rsid w:val="2B415593"/>
    <w:rsid w:val="2B42646B"/>
    <w:rsid w:val="2B430339"/>
    <w:rsid w:val="2B43775C"/>
    <w:rsid w:val="2B455777"/>
    <w:rsid w:val="2B4C3D57"/>
    <w:rsid w:val="2B4E7D44"/>
    <w:rsid w:val="2B511968"/>
    <w:rsid w:val="2B52583A"/>
    <w:rsid w:val="2B5627D6"/>
    <w:rsid w:val="2B562F16"/>
    <w:rsid w:val="2B5812E8"/>
    <w:rsid w:val="2B5826F9"/>
    <w:rsid w:val="2B59347F"/>
    <w:rsid w:val="2B593ADC"/>
    <w:rsid w:val="2B5C2A63"/>
    <w:rsid w:val="2B5C65A9"/>
    <w:rsid w:val="2B5F55B8"/>
    <w:rsid w:val="2B5F5CC6"/>
    <w:rsid w:val="2B611E60"/>
    <w:rsid w:val="2B68183C"/>
    <w:rsid w:val="2B691E22"/>
    <w:rsid w:val="2B693415"/>
    <w:rsid w:val="2B696E8D"/>
    <w:rsid w:val="2B6A1A2D"/>
    <w:rsid w:val="2B6E2FAC"/>
    <w:rsid w:val="2B6F1812"/>
    <w:rsid w:val="2B7005AC"/>
    <w:rsid w:val="2B7206E7"/>
    <w:rsid w:val="2B74010E"/>
    <w:rsid w:val="2B745E18"/>
    <w:rsid w:val="2B764405"/>
    <w:rsid w:val="2B7C211F"/>
    <w:rsid w:val="2B7D3C87"/>
    <w:rsid w:val="2B7D43CA"/>
    <w:rsid w:val="2B7F082E"/>
    <w:rsid w:val="2B814A90"/>
    <w:rsid w:val="2B836175"/>
    <w:rsid w:val="2B85751E"/>
    <w:rsid w:val="2B857D0E"/>
    <w:rsid w:val="2B8A0366"/>
    <w:rsid w:val="2B8B3658"/>
    <w:rsid w:val="2B8C2D34"/>
    <w:rsid w:val="2B8C33BD"/>
    <w:rsid w:val="2B8E15BE"/>
    <w:rsid w:val="2B9129B2"/>
    <w:rsid w:val="2B921B02"/>
    <w:rsid w:val="2B936098"/>
    <w:rsid w:val="2B957127"/>
    <w:rsid w:val="2B965AEC"/>
    <w:rsid w:val="2B966A7B"/>
    <w:rsid w:val="2B967EF4"/>
    <w:rsid w:val="2B990B74"/>
    <w:rsid w:val="2B9978AD"/>
    <w:rsid w:val="2B9C1DE1"/>
    <w:rsid w:val="2B9D06FA"/>
    <w:rsid w:val="2B9E36D8"/>
    <w:rsid w:val="2BA04F97"/>
    <w:rsid w:val="2BAA405F"/>
    <w:rsid w:val="2BAB0099"/>
    <w:rsid w:val="2BAB11BF"/>
    <w:rsid w:val="2BAC0625"/>
    <w:rsid w:val="2BAC0941"/>
    <w:rsid w:val="2BAC1FCB"/>
    <w:rsid w:val="2BAC2A63"/>
    <w:rsid w:val="2BB262C8"/>
    <w:rsid w:val="2BB31996"/>
    <w:rsid w:val="2BB6333B"/>
    <w:rsid w:val="2BB65408"/>
    <w:rsid w:val="2BB74687"/>
    <w:rsid w:val="2BB7722C"/>
    <w:rsid w:val="2BB840AE"/>
    <w:rsid w:val="2BB91BB7"/>
    <w:rsid w:val="2BB968A1"/>
    <w:rsid w:val="2BBA1F74"/>
    <w:rsid w:val="2BBD4B61"/>
    <w:rsid w:val="2BBF036A"/>
    <w:rsid w:val="2BBF47AB"/>
    <w:rsid w:val="2BBF5A6F"/>
    <w:rsid w:val="2BC039ED"/>
    <w:rsid w:val="2BC47385"/>
    <w:rsid w:val="2BC50AE3"/>
    <w:rsid w:val="2BC62F19"/>
    <w:rsid w:val="2BC76921"/>
    <w:rsid w:val="2BC85DA1"/>
    <w:rsid w:val="2BC906F1"/>
    <w:rsid w:val="2BCB38CC"/>
    <w:rsid w:val="2BCC39DA"/>
    <w:rsid w:val="2BCE5408"/>
    <w:rsid w:val="2BCF5102"/>
    <w:rsid w:val="2BCF54E4"/>
    <w:rsid w:val="2BCF58F2"/>
    <w:rsid w:val="2BD007B8"/>
    <w:rsid w:val="2BD0706A"/>
    <w:rsid w:val="2BD23E76"/>
    <w:rsid w:val="2BD37C06"/>
    <w:rsid w:val="2BD400B9"/>
    <w:rsid w:val="2BD54FE9"/>
    <w:rsid w:val="2BDA71BB"/>
    <w:rsid w:val="2BDB2E7E"/>
    <w:rsid w:val="2BDF3FB3"/>
    <w:rsid w:val="2BDF6F56"/>
    <w:rsid w:val="2BE030E7"/>
    <w:rsid w:val="2BE1569E"/>
    <w:rsid w:val="2BE626C0"/>
    <w:rsid w:val="2BE85220"/>
    <w:rsid w:val="2BEA26D1"/>
    <w:rsid w:val="2BEA3439"/>
    <w:rsid w:val="2BEE6DCE"/>
    <w:rsid w:val="2BEF6EB9"/>
    <w:rsid w:val="2BF03729"/>
    <w:rsid w:val="2BF16E95"/>
    <w:rsid w:val="2BF204B9"/>
    <w:rsid w:val="2BF2331A"/>
    <w:rsid w:val="2BF4252E"/>
    <w:rsid w:val="2BF452D3"/>
    <w:rsid w:val="2BF47AD8"/>
    <w:rsid w:val="2BFB5F22"/>
    <w:rsid w:val="2BFC7C58"/>
    <w:rsid w:val="2BFD6F0B"/>
    <w:rsid w:val="2BFE08E9"/>
    <w:rsid w:val="2BFE3CDC"/>
    <w:rsid w:val="2BFF221C"/>
    <w:rsid w:val="2BFF4EF5"/>
    <w:rsid w:val="2C017132"/>
    <w:rsid w:val="2C01776B"/>
    <w:rsid w:val="2C024CCE"/>
    <w:rsid w:val="2C07273A"/>
    <w:rsid w:val="2C073939"/>
    <w:rsid w:val="2C0749E8"/>
    <w:rsid w:val="2C0806ED"/>
    <w:rsid w:val="2C0B5ED1"/>
    <w:rsid w:val="2C0B64B0"/>
    <w:rsid w:val="2C0D0B77"/>
    <w:rsid w:val="2C0D3E2E"/>
    <w:rsid w:val="2C0D6492"/>
    <w:rsid w:val="2C101979"/>
    <w:rsid w:val="2C102B38"/>
    <w:rsid w:val="2C102D08"/>
    <w:rsid w:val="2C1122F4"/>
    <w:rsid w:val="2C121699"/>
    <w:rsid w:val="2C1A3C07"/>
    <w:rsid w:val="2C1B2984"/>
    <w:rsid w:val="2C1C70AF"/>
    <w:rsid w:val="2C231156"/>
    <w:rsid w:val="2C23193B"/>
    <w:rsid w:val="2C236FC3"/>
    <w:rsid w:val="2C272EC6"/>
    <w:rsid w:val="2C277D9A"/>
    <w:rsid w:val="2C2911A1"/>
    <w:rsid w:val="2C2920E5"/>
    <w:rsid w:val="2C2B28FB"/>
    <w:rsid w:val="2C2C4859"/>
    <w:rsid w:val="2C2E60A5"/>
    <w:rsid w:val="2C304D30"/>
    <w:rsid w:val="2C322D03"/>
    <w:rsid w:val="2C336675"/>
    <w:rsid w:val="2C350CC8"/>
    <w:rsid w:val="2C364A1C"/>
    <w:rsid w:val="2C364AFE"/>
    <w:rsid w:val="2C371FA5"/>
    <w:rsid w:val="2C3837FE"/>
    <w:rsid w:val="2C391563"/>
    <w:rsid w:val="2C392119"/>
    <w:rsid w:val="2C3A3306"/>
    <w:rsid w:val="2C3B0C66"/>
    <w:rsid w:val="2C3B0F6F"/>
    <w:rsid w:val="2C3B55E6"/>
    <w:rsid w:val="2C3C0446"/>
    <w:rsid w:val="2C3D0F87"/>
    <w:rsid w:val="2C3D3158"/>
    <w:rsid w:val="2C3D7097"/>
    <w:rsid w:val="2C4049F5"/>
    <w:rsid w:val="2C4064A4"/>
    <w:rsid w:val="2C431652"/>
    <w:rsid w:val="2C43218F"/>
    <w:rsid w:val="2C435524"/>
    <w:rsid w:val="2C442609"/>
    <w:rsid w:val="2C464B97"/>
    <w:rsid w:val="2C477F4C"/>
    <w:rsid w:val="2C4B2F07"/>
    <w:rsid w:val="2C4E6FB4"/>
    <w:rsid w:val="2C4F6829"/>
    <w:rsid w:val="2C4F7314"/>
    <w:rsid w:val="2C513BD8"/>
    <w:rsid w:val="2C5244CE"/>
    <w:rsid w:val="2C526849"/>
    <w:rsid w:val="2C555860"/>
    <w:rsid w:val="2C55721E"/>
    <w:rsid w:val="2C575DAE"/>
    <w:rsid w:val="2C58293A"/>
    <w:rsid w:val="2C591E27"/>
    <w:rsid w:val="2C593A17"/>
    <w:rsid w:val="2C5C15C7"/>
    <w:rsid w:val="2C5C5FED"/>
    <w:rsid w:val="2C621D68"/>
    <w:rsid w:val="2C622D19"/>
    <w:rsid w:val="2C622DA7"/>
    <w:rsid w:val="2C631BB9"/>
    <w:rsid w:val="2C645127"/>
    <w:rsid w:val="2C663C30"/>
    <w:rsid w:val="2C67253E"/>
    <w:rsid w:val="2C6773DE"/>
    <w:rsid w:val="2C684E5D"/>
    <w:rsid w:val="2C695B94"/>
    <w:rsid w:val="2C6C18E9"/>
    <w:rsid w:val="2C6C5C42"/>
    <w:rsid w:val="2C6F2E8C"/>
    <w:rsid w:val="2C6F55E2"/>
    <w:rsid w:val="2C73629B"/>
    <w:rsid w:val="2C754AE5"/>
    <w:rsid w:val="2C7800AE"/>
    <w:rsid w:val="2C785430"/>
    <w:rsid w:val="2C7923D5"/>
    <w:rsid w:val="2C7B67A8"/>
    <w:rsid w:val="2C7E5603"/>
    <w:rsid w:val="2C8062D3"/>
    <w:rsid w:val="2C822189"/>
    <w:rsid w:val="2C8C7189"/>
    <w:rsid w:val="2C9207BB"/>
    <w:rsid w:val="2C936304"/>
    <w:rsid w:val="2C9609B0"/>
    <w:rsid w:val="2C96613D"/>
    <w:rsid w:val="2C96631D"/>
    <w:rsid w:val="2C985F7B"/>
    <w:rsid w:val="2C997551"/>
    <w:rsid w:val="2C9A045E"/>
    <w:rsid w:val="2C9C0AC0"/>
    <w:rsid w:val="2C9D3B16"/>
    <w:rsid w:val="2CA13037"/>
    <w:rsid w:val="2CA20827"/>
    <w:rsid w:val="2CA32E34"/>
    <w:rsid w:val="2CA56316"/>
    <w:rsid w:val="2CA85EF8"/>
    <w:rsid w:val="2CA976AB"/>
    <w:rsid w:val="2CAA5F25"/>
    <w:rsid w:val="2CAB1889"/>
    <w:rsid w:val="2CAC0591"/>
    <w:rsid w:val="2CAC3E00"/>
    <w:rsid w:val="2CAC7883"/>
    <w:rsid w:val="2CAD59EE"/>
    <w:rsid w:val="2CAF62E6"/>
    <w:rsid w:val="2CB074E0"/>
    <w:rsid w:val="2CB10140"/>
    <w:rsid w:val="2CB1482A"/>
    <w:rsid w:val="2CB25E09"/>
    <w:rsid w:val="2CB35A38"/>
    <w:rsid w:val="2CB42277"/>
    <w:rsid w:val="2CB42B78"/>
    <w:rsid w:val="2CB45B93"/>
    <w:rsid w:val="2CB50114"/>
    <w:rsid w:val="2CB61DAF"/>
    <w:rsid w:val="2CB775EF"/>
    <w:rsid w:val="2CBB1DB5"/>
    <w:rsid w:val="2CC049ED"/>
    <w:rsid w:val="2CC445B2"/>
    <w:rsid w:val="2CC6365F"/>
    <w:rsid w:val="2CC66305"/>
    <w:rsid w:val="2CC71BE5"/>
    <w:rsid w:val="2CC72A60"/>
    <w:rsid w:val="2CC857F4"/>
    <w:rsid w:val="2CCA35A6"/>
    <w:rsid w:val="2CCC2209"/>
    <w:rsid w:val="2CCC2250"/>
    <w:rsid w:val="2CCD4621"/>
    <w:rsid w:val="2CCF24DC"/>
    <w:rsid w:val="2CD01EBE"/>
    <w:rsid w:val="2CD27359"/>
    <w:rsid w:val="2CD50C70"/>
    <w:rsid w:val="2CDA74E1"/>
    <w:rsid w:val="2CDD2F07"/>
    <w:rsid w:val="2CDD73EA"/>
    <w:rsid w:val="2CDF370C"/>
    <w:rsid w:val="2CE07D6D"/>
    <w:rsid w:val="2CE212CB"/>
    <w:rsid w:val="2CE2208B"/>
    <w:rsid w:val="2CE45D0B"/>
    <w:rsid w:val="2CE466E6"/>
    <w:rsid w:val="2CE52802"/>
    <w:rsid w:val="2CE659E3"/>
    <w:rsid w:val="2CE67026"/>
    <w:rsid w:val="2CEC0288"/>
    <w:rsid w:val="2CED0BAF"/>
    <w:rsid w:val="2CEE192E"/>
    <w:rsid w:val="2CF363C7"/>
    <w:rsid w:val="2CF44FDB"/>
    <w:rsid w:val="2CF52E24"/>
    <w:rsid w:val="2CF56A70"/>
    <w:rsid w:val="2CFC62F6"/>
    <w:rsid w:val="2CFC6498"/>
    <w:rsid w:val="2CFF7711"/>
    <w:rsid w:val="2CFF7C62"/>
    <w:rsid w:val="2D016A12"/>
    <w:rsid w:val="2D0205C7"/>
    <w:rsid w:val="2D0208C9"/>
    <w:rsid w:val="2D027C8A"/>
    <w:rsid w:val="2D030223"/>
    <w:rsid w:val="2D0342C9"/>
    <w:rsid w:val="2D051B72"/>
    <w:rsid w:val="2D07276D"/>
    <w:rsid w:val="2D0A68E7"/>
    <w:rsid w:val="2D0B41A7"/>
    <w:rsid w:val="2D0D3408"/>
    <w:rsid w:val="2D0D79CD"/>
    <w:rsid w:val="2D0E153D"/>
    <w:rsid w:val="2D0E550C"/>
    <w:rsid w:val="2D0E68E1"/>
    <w:rsid w:val="2D13020D"/>
    <w:rsid w:val="2D137C9F"/>
    <w:rsid w:val="2D141FA3"/>
    <w:rsid w:val="2D1477EF"/>
    <w:rsid w:val="2D150FAB"/>
    <w:rsid w:val="2D1520FE"/>
    <w:rsid w:val="2D16207E"/>
    <w:rsid w:val="2D19237F"/>
    <w:rsid w:val="2D1A6D2B"/>
    <w:rsid w:val="2D1C0CA6"/>
    <w:rsid w:val="2D1C2C87"/>
    <w:rsid w:val="2D1D0F11"/>
    <w:rsid w:val="2D1D66C2"/>
    <w:rsid w:val="2D1F015D"/>
    <w:rsid w:val="2D201ACF"/>
    <w:rsid w:val="2D212917"/>
    <w:rsid w:val="2D213040"/>
    <w:rsid w:val="2D2442C0"/>
    <w:rsid w:val="2D244BA7"/>
    <w:rsid w:val="2D246847"/>
    <w:rsid w:val="2D247214"/>
    <w:rsid w:val="2D263764"/>
    <w:rsid w:val="2D2A449B"/>
    <w:rsid w:val="2D2A76D0"/>
    <w:rsid w:val="2D2B135F"/>
    <w:rsid w:val="2D2D2AC4"/>
    <w:rsid w:val="2D317D6D"/>
    <w:rsid w:val="2D330CE8"/>
    <w:rsid w:val="2D341647"/>
    <w:rsid w:val="2D341692"/>
    <w:rsid w:val="2D357594"/>
    <w:rsid w:val="2D39767A"/>
    <w:rsid w:val="2D3A33A5"/>
    <w:rsid w:val="2D3C783D"/>
    <w:rsid w:val="2D414143"/>
    <w:rsid w:val="2D417B87"/>
    <w:rsid w:val="2D420D8A"/>
    <w:rsid w:val="2D43494A"/>
    <w:rsid w:val="2D442B47"/>
    <w:rsid w:val="2D451439"/>
    <w:rsid w:val="2D45223C"/>
    <w:rsid w:val="2D455D9A"/>
    <w:rsid w:val="2D490850"/>
    <w:rsid w:val="2D4A1F59"/>
    <w:rsid w:val="2D4A25AF"/>
    <w:rsid w:val="2D4C6D98"/>
    <w:rsid w:val="2D4D5EE9"/>
    <w:rsid w:val="2D4E6986"/>
    <w:rsid w:val="2D4F412B"/>
    <w:rsid w:val="2D5101D5"/>
    <w:rsid w:val="2D514988"/>
    <w:rsid w:val="2D520F15"/>
    <w:rsid w:val="2D526381"/>
    <w:rsid w:val="2D530405"/>
    <w:rsid w:val="2D534F89"/>
    <w:rsid w:val="2D537623"/>
    <w:rsid w:val="2D540795"/>
    <w:rsid w:val="2D571400"/>
    <w:rsid w:val="2D576240"/>
    <w:rsid w:val="2D590580"/>
    <w:rsid w:val="2D5E3760"/>
    <w:rsid w:val="2D616922"/>
    <w:rsid w:val="2D630B99"/>
    <w:rsid w:val="2D63369E"/>
    <w:rsid w:val="2D6447E5"/>
    <w:rsid w:val="2D664A82"/>
    <w:rsid w:val="2D673422"/>
    <w:rsid w:val="2D680FE2"/>
    <w:rsid w:val="2D693076"/>
    <w:rsid w:val="2D6C1064"/>
    <w:rsid w:val="2D6D2D90"/>
    <w:rsid w:val="2D6E0D03"/>
    <w:rsid w:val="2D6E5607"/>
    <w:rsid w:val="2D756CAC"/>
    <w:rsid w:val="2D767C01"/>
    <w:rsid w:val="2D792539"/>
    <w:rsid w:val="2D79413E"/>
    <w:rsid w:val="2D7B5CFC"/>
    <w:rsid w:val="2D7C7A24"/>
    <w:rsid w:val="2D7D224D"/>
    <w:rsid w:val="2D7E3126"/>
    <w:rsid w:val="2D8001D1"/>
    <w:rsid w:val="2D800E01"/>
    <w:rsid w:val="2D873B59"/>
    <w:rsid w:val="2D87789A"/>
    <w:rsid w:val="2D88397F"/>
    <w:rsid w:val="2D892FE1"/>
    <w:rsid w:val="2D895798"/>
    <w:rsid w:val="2D8A43F1"/>
    <w:rsid w:val="2D8A7ED0"/>
    <w:rsid w:val="2D8C036B"/>
    <w:rsid w:val="2D90500B"/>
    <w:rsid w:val="2D913496"/>
    <w:rsid w:val="2D93128B"/>
    <w:rsid w:val="2D94581E"/>
    <w:rsid w:val="2D9577CF"/>
    <w:rsid w:val="2D957DA8"/>
    <w:rsid w:val="2D967A75"/>
    <w:rsid w:val="2D972BFF"/>
    <w:rsid w:val="2D97388D"/>
    <w:rsid w:val="2D97400E"/>
    <w:rsid w:val="2D980A4C"/>
    <w:rsid w:val="2D980FF2"/>
    <w:rsid w:val="2D9A4342"/>
    <w:rsid w:val="2D9B2436"/>
    <w:rsid w:val="2D9C3204"/>
    <w:rsid w:val="2D9E13F4"/>
    <w:rsid w:val="2D9F00E7"/>
    <w:rsid w:val="2D9F474B"/>
    <w:rsid w:val="2D9F663E"/>
    <w:rsid w:val="2DA124BA"/>
    <w:rsid w:val="2DA35FB9"/>
    <w:rsid w:val="2DA52FFA"/>
    <w:rsid w:val="2DA82612"/>
    <w:rsid w:val="2DA90090"/>
    <w:rsid w:val="2DA944CE"/>
    <w:rsid w:val="2DAA74F3"/>
    <w:rsid w:val="2DAE593D"/>
    <w:rsid w:val="2DAE66FE"/>
    <w:rsid w:val="2DAE7B05"/>
    <w:rsid w:val="2DAF41F8"/>
    <w:rsid w:val="2DAF64A3"/>
    <w:rsid w:val="2DB3175D"/>
    <w:rsid w:val="2DB41FD2"/>
    <w:rsid w:val="2DB52265"/>
    <w:rsid w:val="2DB57D57"/>
    <w:rsid w:val="2DB66973"/>
    <w:rsid w:val="2DB756E0"/>
    <w:rsid w:val="2DB90C17"/>
    <w:rsid w:val="2DBA4977"/>
    <w:rsid w:val="2DBA6A38"/>
    <w:rsid w:val="2DBB4C9C"/>
    <w:rsid w:val="2DBC0868"/>
    <w:rsid w:val="2DBE020A"/>
    <w:rsid w:val="2DBE06E6"/>
    <w:rsid w:val="2DC042F8"/>
    <w:rsid w:val="2DC073A4"/>
    <w:rsid w:val="2DC11AD5"/>
    <w:rsid w:val="2DC41A76"/>
    <w:rsid w:val="2DC7218E"/>
    <w:rsid w:val="2DC83E2D"/>
    <w:rsid w:val="2DC90551"/>
    <w:rsid w:val="2DC911C9"/>
    <w:rsid w:val="2DCA2481"/>
    <w:rsid w:val="2DCA301C"/>
    <w:rsid w:val="2DCD2B6C"/>
    <w:rsid w:val="2DD01598"/>
    <w:rsid w:val="2DD123DE"/>
    <w:rsid w:val="2DD172C9"/>
    <w:rsid w:val="2DD1735A"/>
    <w:rsid w:val="2DD229D1"/>
    <w:rsid w:val="2DD40CA3"/>
    <w:rsid w:val="2DD5072F"/>
    <w:rsid w:val="2DD50FB8"/>
    <w:rsid w:val="2DD54344"/>
    <w:rsid w:val="2DDA3C95"/>
    <w:rsid w:val="2DDB0B32"/>
    <w:rsid w:val="2DDD6B24"/>
    <w:rsid w:val="2DDE0245"/>
    <w:rsid w:val="2DE24AB1"/>
    <w:rsid w:val="2DE26116"/>
    <w:rsid w:val="2DE27ADB"/>
    <w:rsid w:val="2DE3509F"/>
    <w:rsid w:val="2DE636D7"/>
    <w:rsid w:val="2DE65973"/>
    <w:rsid w:val="2DEB7530"/>
    <w:rsid w:val="2DED54D7"/>
    <w:rsid w:val="2DF1017E"/>
    <w:rsid w:val="2DF16507"/>
    <w:rsid w:val="2DF166AE"/>
    <w:rsid w:val="2DF24E67"/>
    <w:rsid w:val="2DF25A74"/>
    <w:rsid w:val="2DF25BF0"/>
    <w:rsid w:val="2DF26AB9"/>
    <w:rsid w:val="2DF31AB9"/>
    <w:rsid w:val="2DF3352A"/>
    <w:rsid w:val="2DF4449F"/>
    <w:rsid w:val="2DF50360"/>
    <w:rsid w:val="2DF565F6"/>
    <w:rsid w:val="2DF63F67"/>
    <w:rsid w:val="2DF65291"/>
    <w:rsid w:val="2DF82B28"/>
    <w:rsid w:val="2DFD7459"/>
    <w:rsid w:val="2DFF1374"/>
    <w:rsid w:val="2DFF610B"/>
    <w:rsid w:val="2E01586E"/>
    <w:rsid w:val="2E022787"/>
    <w:rsid w:val="2E035D69"/>
    <w:rsid w:val="2E056CCD"/>
    <w:rsid w:val="2E080ED0"/>
    <w:rsid w:val="2E08772A"/>
    <w:rsid w:val="2E0C0969"/>
    <w:rsid w:val="2E0C3F00"/>
    <w:rsid w:val="2E0D1970"/>
    <w:rsid w:val="2E0E397F"/>
    <w:rsid w:val="2E0F6FB7"/>
    <w:rsid w:val="2E1063CC"/>
    <w:rsid w:val="2E116829"/>
    <w:rsid w:val="2E117A71"/>
    <w:rsid w:val="2E141BC3"/>
    <w:rsid w:val="2E146079"/>
    <w:rsid w:val="2E1814ED"/>
    <w:rsid w:val="2E1A2DE7"/>
    <w:rsid w:val="2E1C3AB5"/>
    <w:rsid w:val="2E1D6D35"/>
    <w:rsid w:val="2E1F2B9E"/>
    <w:rsid w:val="2E212AAF"/>
    <w:rsid w:val="2E230295"/>
    <w:rsid w:val="2E24477A"/>
    <w:rsid w:val="2E252895"/>
    <w:rsid w:val="2E266F7E"/>
    <w:rsid w:val="2E280DB8"/>
    <w:rsid w:val="2E2970D7"/>
    <w:rsid w:val="2E2A4CD0"/>
    <w:rsid w:val="2E2B3F82"/>
    <w:rsid w:val="2E2C0453"/>
    <w:rsid w:val="2E2C1AF2"/>
    <w:rsid w:val="2E2C3880"/>
    <w:rsid w:val="2E342220"/>
    <w:rsid w:val="2E3615EE"/>
    <w:rsid w:val="2E3620FF"/>
    <w:rsid w:val="2E364050"/>
    <w:rsid w:val="2E3A3DD2"/>
    <w:rsid w:val="2E3A5434"/>
    <w:rsid w:val="2E3A79FA"/>
    <w:rsid w:val="2E3B4813"/>
    <w:rsid w:val="2E3D2DC2"/>
    <w:rsid w:val="2E42674B"/>
    <w:rsid w:val="2E456181"/>
    <w:rsid w:val="2E463A3D"/>
    <w:rsid w:val="2E47469A"/>
    <w:rsid w:val="2E48165C"/>
    <w:rsid w:val="2E4824AB"/>
    <w:rsid w:val="2E4834F2"/>
    <w:rsid w:val="2E484863"/>
    <w:rsid w:val="2E492455"/>
    <w:rsid w:val="2E4A1F51"/>
    <w:rsid w:val="2E4A712C"/>
    <w:rsid w:val="2E4C04D4"/>
    <w:rsid w:val="2E4D34A3"/>
    <w:rsid w:val="2E4D6406"/>
    <w:rsid w:val="2E503E21"/>
    <w:rsid w:val="2E516E1E"/>
    <w:rsid w:val="2E5352E9"/>
    <w:rsid w:val="2E536BE2"/>
    <w:rsid w:val="2E553872"/>
    <w:rsid w:val="2E565F24"/>
    <w:rsid w:val="2E584B50"/>
    <w:rsid w:val="2E586E40"/>
    <w:rsid w:val="2E5B3657"/>
    <w:rsid w:val="2E60301C"/>
    <w:rsid w:val="2E607F48"/>
    <w:rsid w:val="2E650616"/>
    <w:rsid w:val="2E65572F"/>
    <w:rsid w:val="2E6706E2"/>
    <w:rsid w:val="2E68091F"/>
    <w:rsid w:val="2E680DD9"/>
    <w:rsid w:val="2E6C2273"/>
    <w:rsid w:val="2E6C3ECE"/>
    <w:rsid w:val="2E6D54C1"/>
    <w:rsid w:val="2E6E11C0"/>
    <w:rsid w:val="2E6E12A7"/>
    <w:rsid w:val="2E6E4EED"/>
    <w:rsid w:val="2E6F2548"/>
    <w:rsid w:val="2E70077F"/>
    <w:rsid w:val="2E705C0A"/>
    <w:rsid w:val="2E7367B4"/>
    <w:rsid w:val="2E7429EA"/>
    <w:rsid w:val="2E745B36"/>
    <w:rsid w:val="2E74752F"/>
    <w:rsid w:val="2E7568C7"/>
    <w:rsid w:val="2E766856"/>
    <w:rsid w:val="2E793EAB"/>
    <w:rsid w:val="2E7A3A1D"/>
    <w:rsid w:val="2E7A6315"/>
    <w:rsid w:val="2E7D02C1"/>
    <w:rsid w:val="2E7E3595"/>
    <w:rsid w:val="2E806744"/>
    <w:rsid w:val="2E89277B"/>
    <w:rsid w:val="2E8938FF"/>
    <w:rsid w:val="2E894144"/>
    <w:rsid w:val="2E8A2CC4"/>
    <w:rsid w:val="2E8B5CC4"/>
    <w:rsid w:val="2E9070A6"/>
    <w:rsid w:val="2E912F50"/>
    <w:rsid w:val="2E92592C"/>
    <w:rsid w:val="2E9408B8"/>
    <w:rsid w:val="2E975AE0"/>
    <w:rsid w:val="2E9842B3"/>
    <w:rsid w:val="2E9A3CA3"/>
    <w:rsid w:val="2E9A507F"/>
    <w:rsid w:val="2E9B4526"/>
    <w:rsid w:val="2EA270F1"/>
    <w:rsid w:val="2EA31845"/>
    <w:rsid w:val="2EA37BEF"/>
    <w:rsid w:val="2EA611B3"/>
    <w:rsid w:val="2EA61B3F"/>
    <w:rsid w:val="2EA7654C"/>
    <w:rsid w:val="2EA76B73"/>
    <w:rsid w:val="2EAB6484"/>
    <w:rsid w:val="2EAC26D6"/>
    <w:rsid w:val="2EAD76DC"/>
    <w:rsid w:val="2EAE5BC9"/>
    <w:rsid w:val="2EAF7F06"/>
    <w:rsid w:val="2EB30F52"/>
    <w:rsid w:val="2EB50AFF"/>
    <w:rsid w:val="2EB6687B"/>
    <w:rsid w:val="2EB7326D"/>
    <w:rsid w:val="2EB754AE"/>
    <w:rsid w:val="2EBA0BFB"/>
    <w:rsid w:val="2EBA1AD0"/>
    <w:rsid w:val="2EBA1DDD"/>
    <w:rsid w:val="2EBE283D"/>
    <w:rsid w:val="2EC07B2F"/>
    <w:rsid w:val="2EC11D22"/>
    <w:rsid w:val="2EC2279D"/>
    <w:rsid w:val="2EC37935"/>
    <w:rsid w:val="2EC44AED"/>
    <w:rsid w:val="2EC50F6D"/>
    <w:rsid w:val="2EC6394D"/>
    <w:rsid w:val="2EC71F1E"/>
    <w:rsid w:val="2ECC7161"/>
    <w:rsid w:val="2ECE48FC"/>
    <w:rsid w:val="2ECF1527"/>
    <w:rsid w:val="2ED104A6"/>
    <w:rsid w:val="2ED3497C"/>
    <w:rsid w:val="2ED41937"/>
    <w:rsid w:val="2ED46D0E"/>
    <w:rsid w:val="2ED708CA"/>
    <w:rsid w:val="2EDB1582"/>
    <w:rsid w:val="2EDF65AF"/>
    <w:rsid w:val="2EE01B53"/>
    <w:rsid w:val="2EE054B4"/>
    <w:rsid w:val="2EE134D0"/>
    <w:rsid w:val="2EE20EDC"/>
    <w:rsid w:val="2EE23E8F"/>
    <w:rsid w:val="2EE53B26"/>
    <w:rsid w:val="2EEC1D95"/>
    <w:rsid w:val="2EED6C84"/>
    <w:rsid w:val="2EEE06F4"/>
    <w:rsid w:val="2EEE12BE"/>
    <w:rsid w:val="2EF124D2"/>
    <w:rsid w:val="2EF76746"/>
    <w:rsid w:val="2EF87733"/>
    <w:rsid w:val="2EFA562E"/>
    <w:rsid w:val="2EFB12BC"/>
    <w:rsid w:val="2EFB3EF8"/>
    <w:rsid w:val="2EFB68CA"/>
    <w:rsid w:val="2F012A24"/>
    <w:rsid w:val="2F022E75"/>
    <w:rsid w:val="2F035FA4"/>
    <w:rsid w:val="2F040E83"/>
    <w:rsid w:val="2F056443"/>
    <w:rsid w:val="2F056C60"/>
    <w:rsid w:val="2F091EA2"/>
    <w:rsid w:val="2F093B31"/>
    <w:rsid w:val="2F095D53"/>
    <w:rsid w:val="2F0961A6"/>
    <w:rsid w:val="2F0B0C04"/>
    <w:rsid w:val="2F0B2856"/>
    <w:rsid w:val="2F0C5C2D"/>
    <w:rsid w:val="2F0D18BC"/>
    <w:rsid w:val="2F0E21AE"/>
    <w:rsid w:val="2F0E6E42"/>
    <w:rsid w:val="2F10452F"/>
    <w:rsid w:val="2F116A67"/>
    <w:rsid w:val="2F1375B1"/>
    <w:rsid w:val="2F144BC5"/>
    <w:rsid w:val="2F165BBA"/>
    <w:rsid w:val="2F170665"/>
    <w:rsid w:val="2F1A30D6"/>
    <w:rsid w:val="2F1B1440"/>
    <w:rsid w:val="2F1C4A77"/>
    <w:rsid w:val="2F1C79E6"/>
    <w:rsid w:val="2F1E480F"/>
    <w:rsid w:val="2F241641"/>
    <w:rsid w:val="2F2424EC"/>
    <w:rsid w:val="2F24334C"/>
    <w:rsid w:val="2F2438AC"/>
    <w:rsid w:val="2F244A8A"/>
    <w:rsid w:val="2F245EA5"/>
    <w:rsid w:val="2F280176"/>
    <w:rsid w:val="2F2A4BC0"/>
    <w:rsid w:val="2F2C0308"/>
    <w:rsid w:val="2F2C077F"/>
    <w:rsid w:val="2F2C38B0"/>
    <w:rsid w:val="2F2E01EC"/>
    <w:rsid w:val="2F3001DC"/>
    <w:rsid w:val="2F311DDB"/>
    <w:rsid w:val="2F317DB6"/>
    <w:rsid w:val="2F34757D"/>
    <w:rsid w:val="2F350027"/>
    <w:rsid w:val="2F355468"/>
    <w:rsid w:val="2F3613D3"/>
    <w:rsid w:val="2F380016"/>
    <w:rsid w:val="2F3A5D29"/>
    <w:rsid w:val="2F3C389E"/>
    <w:rsid w:val="2F3C5EEE"/>
    <w:rsid w:val="2F411786"/>
    <w:rsid w:val="2F41573B"/>
    <w:rsid w:val="2F415E93"/>
    <w:rsid w:val="2F444BBD"/>
    <w:rsid w:val="2F446614"/>
    <w:rsid w:val="2F4646E3"/>
    <w:rsid w:val="2F466FFF"/>
    <w:rsid w:val="2F4727C6"/>
    <w:rsid w:val="2F483EA4"/>
    <w:rsid w:val="2F4A2F65"/>
    <w:rsid w:val="2F4A3693"/>
    <w:rsid w:val="2F4B690D"/>
    <w:rsid w:val="2F4C34BA"/>
    <w:rsid w:val="2F4E73C6"/>
    <w:rsid w:val="2F4F214D"/>
    <w:rsid w:val="2F502086"/>
    <w:rsid w:val="2F502E66"/>
    <w:rsid w:val="2F511653"/>
    <w:rsid w:val="2F515BE7"/>
    <w:rsid w:val="2F5414D5"/>
    <w:rsid w:val="2F562C40"/>
    <w:rsid w:val="2F586AF1"/>
    <w:rsid w:val="2F5A3C4D"/>
    <w:rsid w:val="2F5A49B9"/>
    <w:rsid w:val="2F5A6284"/>
    <w:rsid w:val="2F5B12D3"/>
    <w:rsid w:val="2F5B7905"/>
    <w:rsid w:val="2F5D72DD"/>
    <w:rsid w:val="2F5E5041"/>
    <w:rsid w:val="2F60760A"/>
    <w:rsid w:val="2F6850E9"/>
    <w:rsid w:val="2F694DC6"/>
    <w:rsid w:val="2F6962F0"/>
    <w:rsid w:val="2F6B0F1D"/>
    <w:rsid w:val="2F6E3124"/>
    <w:rsid w:val="2F701710"/>
    <w:rsid w:val="2F71046E"/>
    <w:rsid w:val="2F7268B6"/>
    <w:rsid w:val="2F732FCA"/>
    <w:rsid w:val="2F7443E3"/>
    <w:rsid w:val="2F74441B"/>
    <w:rsid w:val="2F752A7C"/>
    <w:rsid w:val="2F75654D"/>
    <w:rsid w:val="2F757BFD"/>
    <w:rsid w:val="2F785ACE"/>
    <w:rsid w:val="2F79325D"/>
    <w:rsid w:val="2F7A2D01"/>
    <w:rsid w:val="2F7D71BB"/>
    <w:rsid w:val="2F8472AA"/>
    <w:rsid w:val="2F884C2F"/>
    <w:rsid w:val="2F8943AD"/>
    <w:rsid w:val="2F8A1028"/>
    <w:rsid w:val="2F8A16B3"/>
    <w:rsid w:val="2F8A6DC3"/>
    <w:rsid w:val="2F8B1A13"/>
    <w:rsid w:val="2F8D00E0"/>
    <w:rsid w:val="2F910938"/>
    <w:rsid w:val="2F9459D4"/>
    <w:rsid w:val="2F947F88"/>
    <w:rsid w:val="2F96405D"/>
    <w:rsid w:val="2F964B60"/>
    <w:rsid w:val="2F98392D"/>
    <w:rsid w:val="2F99426A"/>
    <w:rsid w:val="2F9A2EEA"/>
    <w:rsid w:val="2F9A3427"/>
    <w:rsid w:val="2F9B070A"/>
    <w:rsid w:val="2F9C4412"/>
    <w:rsid w:val="2F9C5004"/>
    <w:rsid w:val="2F9C6E4E"/>
    <w:rsid w:val="2F9C6FC9"/>
    <w:rsid w:val="2F9E349C"/>
    <w:rsid w:val="2F9E4DDE"/>
    <w:rsid w:val="2F9F39B7"/>
    <w:rsid w:val="2FA322DB"/>
    <w:rsid w:val="2FA445E6"/>
    <w:rsid w:val="2FA477E0"/>
    <w:rsid w:val="2FA52F68"/>
    <w:rsid w:val="2FA562C6"/>
    <w:rsid w:val="2FA5631B"/>
    <w:rsid w:val="2FA76598"/>
    <w:rsid w:val="2FA96DBE"/>
    <w:rsid w:val="2FAF0777"/>
    <w:rsid w:val="2FAF3983"/>
    <w:rsid w:val="2FB20487"/>
    <w:rsid w:val="2FB349B2"/>
    <w:rsid w:val="2FB37410"/>
    <w:rsid w:val="2FB4694F"/>
    <w:rsid w:val="2FB47FD0"/>
    <w:rsid w:val="2FB766C4"/>
    <w:rsid w:val="2FB80FAC"/>
    <w:rsid w:val="2FB91B56"/>
    <w:rsid w:val="2FBC0D46"/>
    <w:rsid w:val="2FBC235D"/>
    <w:rsid w:val="2FBC6531"/>
    <w:rsid w:val="2FBE0F58"/>
    <w:rsid w:val="2FBF3D66"/>
    <w:rsid w:val="2FBF6ACE"/>
    <w:rsid w:val="2FC10CDC"/>
    <w:rsid w:val="2FC167A0"/>
    <w:rsid w:val="2FC228AF"/>
    <w:rsid w:val="2FC24B71"/>
    <w:rsid w:val="2FC32C8F"/>
    <w:rsid w:val="2FC60133"/>
    <w:rsid w:val="2FC63BCD"/>
    <w:rsid w:val="2FC66ADC"/>
    <w:rsid w:val="2FC779CE"/>
    <w:rsid w:val="2FCA2D57"/>
    <w:rsid w:val="2FCB3F88"/>
    <w:rsid w:val="2FCC4366"/>
    <w:rsid w:val="2FCD1CDC"/>
    <w:rsid w:val="2FCD4A85"/>
    <w:rsid w:val="2FCE7632"/>
    <w:rsid w:val="2FCF4E4D"/>
    <w:rsid w:val="2FD02016"/>
    <w:rsid w:val="2FD1216A"/>
    <w:rsid w:val="2FD14182"/>
    <w:rsid w:val="2FD467FB"/>
    <w:rsid w:val="2FD63C9E"/>
    <w:rsid w:val="2FD7100E"/>
    <w:rsid w:val="2FD96C06"/>
    <w:rsid w:val="2FDC6E27"/>
    <w:rsid w:val="2FDD000C"/>
    <w:rsid w:val="2FDD668C"/>
    <w:rsid w:val="2FDF2602"/>
    <w:rsid w:val="2FE02E78"/>
    <w:rsid w:val="2FE1530A"/>
    <w:rsid w:val="2FE167D6"/>
    <w:rsid w:val="2FE42B4A"/>
    <w:rsid w:val="2FEA6820"/>
    <w:rsid w:val="2FED1574"/>
    <w:rsid w:val="2FEF5916"/>
    <w:rsid w:val="2FF03E8E"/>
    <w:rsid w:val="2FF0485D"/>
    <w:rsid w:val="2FF13124"/>
    <w:rsid w:val="2FF31424"/>
    <w:rsid w:val="2FF34E60"/>
    <w:rsid w:val="2FF56F02"/>
    <w:rsid w:val="2FF56F82"/>
    <w:rsid w:val="2FF83D52"/>
    <w:rsid w:val="2FF90837"/>
    <w:rsid w:val="2FFA1E9C"/>
    <w:rsid w:val="2FFA4258"/>
    <w:rsid w:val="2FFB271E"/>
    <w:rsid w:val="2FFC24C1"/>
    <w:rsid w:val="2FFE7674"/>
    <w:rsid w:val="30014B66"/>
    <w:rsid w:val="30015457"/>
    <w:rsid w:val="30065B2E"/>
    <w:rsid w:val="30065C64"/>
    <w:rsid w:val="30067F9B"/>
    <w:rsid w:val="300763D9"/>
    <w:rsid w:val="300871D8"/>
    <w:rsid w:val="300B3B80"/>
    <w:rsid w:val="300C393E"/>
    <w:rsid w:val="300D126D"/>
    <w:rsid w:val="300E7F08"/>
    <w:rsid w:val="301155EF"/>
    <w:rsid w:val="30121266"/>
    <w:rsid w:val="30171456"/>
    <w:rsid w:val="301A06D5"/>
    <w:rsid w:val="301A785C"/>
    <w:rsid w:val="301B0F13"/>
    <w:rsid w:val="301D38E6"/>
    <w:rsid w:val="301E0FEB"/>
    <w:rsid w:val="30202EB2"/>
    <w:rsid w:val="30212D91"/>
    <w:rsid w:val="30214D7C"/>
    <w:rsid w:val="30216172"/>
    <w:rsid w:val="3023461F"/>
    <w:rsid w:val="302574CB"/>
    <w:rsid w:val="30293116"/>
    <w:rsid w:val="30296572"/>
    <w:rsid w:val="302B492A"/>
    <w:rsid w:val="302C6064"/>
    <w:rsid w:val="302D6898"/>
    <w:rsid w:val="302D7F51"/>
    <w:rsid w:val="303016A9"/>
    <w:rsid w:val="30326FF9"/>
    <w:rsid w:val="3034540D"/>
    <w:rsid w:val="30353F86"/>
    <w:rsid w:val="30354524"/>
    <w:rsid w:val="30362F04"/>
    <w:rsid w:val="303B4EF7"/>
    <w:rsid w:val="303D3B25"/>
    <w:rsid w:val="303D78C7"/>
    <w:rsid w:val="304055E6"/>
    <w:rsid w:val="3042583D"/>
    <w:rsid w:val="304437E2"/>
    <w:rsid w:val="30444BF1"/>
    <w:rsid w:val="304715DF"/>
    <w:rsid w:val="3048004F"/>
    <w:rsid w:val="30483E24"/>
    <w:rsid w:val="30485F57"/>
    <w:rsid w:val="304940F4"/>
    <w:rsid w:val="304C7B45"/>
    <w:rsid w:val="304E5851"/>
    <w:rsid w:val="304F4B72"/>
    <w:rsid w:val="304F7741"/>
    <w:rsid w:val="305308A8"/>
    <w:rsid w:val="30572736"/>
    <w:rsid w:val="30594FE0"/>
    <w:rsid w:val="305B71A2"/>
    <w:rsid w:val="305F5BD6"/>
    <w:rsid w:val="30650559"/>
    <w:rsid w:val="3066288D"/>
    <w:rsid w:val="3068577C"/>
    <w:rsid w:val="306C6EAB"/>
    <w:rsid w:val="306D3050"/>
    <w:rsid w:val="306E2DF3"/>
    <w:rsid w:val="306F5EC1"/>
    <w:rsid w:val="307048B7"/>
    <w:rsid w:val="30722B67"/>
    <w:rsid w:val="307333F2"/>
    <w:rsid w:val="30733841"/>
    <w:rsid w:val="30737311"/>
    <w:rsid w:val="30746687"/>
    <w:rsid w:val="30753631"/>
    <w:rsid w:val="30756718"/>
    <w:rsid w:val="30771E76"/>
    <w:rsid w:val="307826D6"/>
    <w:rsid w:val="30787A96"/>
    <w:rsid w:val="30794835"/>
    <w:rsid w:val="307970FA"/>
    <w:rsid w:val="307A0133"/>
    <w:rsid w:val="307C4764"/>
    <w:rsid w:val="307E22AF"/>
    <w:rsid w:val="307E490B"/>
    <w:rsid w:val="307E692A"/>
    <w:rsid w:val="307F25C0"/>
    <w:rsid w:val="308162C1"/>
    <w:rsid w:val="30833E57"/>
    <w:rsid w:val="30853F8C"/>
    <w:rsid w:val="308603AF"/>
    <w:rsid w:val="30867BEE"/>
    <w:rsid w:val="3087517A"/>
    <w:rsid w:val="3087590F"/>
    <w:rsid w:val="30883DBB"/>
    <w:rsid w:val="30892CFD"/>
    <w:rsid w:val="30896DA3"/>
    <w:rsid w:val="30897189"/>
    <w:rsid w:val="308A3639"/>
    <w:rsid w:val="308B2585"/>
    <w:rsid w:val="308D196B"/>
    <w:rsid w:val="308D5A01"/>
    <w:rsid w:val="308D74A7"/>
    <w:rsid w:val="308E7CA8"/>
    <w:rsid w:val="30905F18"/>
    <w:rsid w:val="30930482"/>
    <w:rsid w:val="3098343B"/>
    <w:rsid w:val="309B15E0"/>
    <w:rsid w:val="309C404C"/>
    <w:rsid w:val="309E2B3A"/>
    <w:rsid w:val="309F4897"/>
    <w:rsid w:val="309F6E27"/>
    <w:rsid w:val="30A14C75"/>
    <w:rsid w:val="30A24E2B"/>
    <w:rsid w:val="30A90E55"/>
    <w:rsid w:val="30AA29FA"/>
    <w:rsid w:val="30AA4ACF"/>
    <w:rsid w:val="30AC58CF"/>
    <w:rsid w:val="30AD5134"/>
    <w:rsid w:val="30B0147E"/>
    <w:rsid w:val="30B01E3D"/>
    <w:rsid w:val="30B53550"/>
    <w:rsid w:val="30B54A67"/>
    <w:rsid w:val="30B84A59"/>
    <w:rsid w:val="30B8509C"/>
    <w:rsid w:val="30B855DA"/>
    <w:rsid w:val="30BA5096"/>
    <w:rsid w:val="30BA74C6"/>
    <w:rsid w:val="30BA7AF2"/>
    <w:rsid w:val="30BA7B03"/>
    <w:rsid w:val="30BC1D20"/>
    <w:rsid w:val="30C02160"/>
    <w:rsid w:val="30C039D0"/>
    <w:rsid w:val="30C146B6"/>
    <w:rsid w:val="30C27200"/>
    <w:rsid w:val="30C464C6"/>
    <w:rsid w:val="30C50D46"/>
    <w:rsid w:val="30C54BD9"/>
    <w:rsid w:val="30CD3AB8"/>
    <w:rsid w:val="30CF1D81"/>
    <w:rsid w:val="30CF69C0"/>
    <w:rsid w:val="30D10849"/>
    <w:rsid w:val="30D143C7"/>
    <w:rsid w:val="30D16B8D"/>
    <w:rsid w:val="30D16DC2"/>
    <w:rsid w:val="30D21B32"/>
    <w:rsid w:val="30D3248B"/>
    <w:rsid w:val="30D34277"/>
    <w:rsid w:val="30D56E94"/>
    <w:rsid w:val="30D6097A"/>
    <w:rsid w:val="30D62C89"/>
    <w:rsid w:val="30DA6BE7"/>
    <w:rsid w:val="30DE2E9E"/>
    <w:rsid w:val="30DF15BE"/>
    <w:rsid w:val="30DF3058"/>
    <w:rsid w:val="30E05F25"/>
    <w:rsid w:val="30E17E5F"/>
    <w:rsid w:val="30E46E99"/>
    <w:rsid w:val="30E73032"/>
    <w:rsid w:val="30E84FA6"/>
    <w:rsid w:val="30EB7753"/>
    <w:rsid w:val="30EE7702"/>
    <w:rsid w:val="30EF0CA4"/>
    <w:rsid w:val="30EF345F"/>
    <w:rsid w:val="30F1109D"/>
    <w:rsid w:val="30F14970"/>
    <w:rsid w:val="30F21BCD"/>
    <w:rsid w:val="30F25348"/>
    <w:rsid w:val="30F35D52"/>
    <w:rsid w:val="30F46CED"/>
    <w:rsid w:val="30F54272"/>
    <w:rsid w:val="30F645CE"/>
    <w:rsid w:val="30F92381"/>
    <w:rsid w:val="30FB13A8"/>
    <w:rsid w:val="30FC5580"/>
    <w:rsid w:val="30FD055B"/>
    <w:rsid w:val="30FE0A43"/>
    <w:rsid w:val="30FE0ACF"/>
    <w:rsid w:val="30FF2122"/>
    <w:rsid w:val="31010016"/>
    <w:rsid w:val="31024676"/>
    <w:rsid w:val="31056F08"/>
    <w:rsid w:val="310854EC"/>
    <w:rsid w:val="31094376"/>
    <w:rsid w:val="310B7804"/>
    <w:rsid w:val="310C4E44"/>
    <w:rsid w:val="310D11B9"/>
    <w:rsid w:val="310D12A1"/>
    <w:rsid w:val="310D7B4D"/>
    <w:rsid w:val="31102FB4"/>
    <w:rsid w:val="3111610B"/>
    <w:rsid w:val="31165AA9"/>
    <w:rsid w:val="31167B44"/>
    <w:rsid w:val="31173B96"/>
    <w:rsid w:val="31192756"/>
    <w:rsid w:val="31192E78"/>
    <w:rsid w:val="311D5585"/>
    <w:rsid w:val="311D736A"/>
    <w:rsid w:val="31203351"/>
    <w:rsid w:val="312100CA"/>
    <w:rsid w:val="312107E4"/>
    <w:rsid w:val="312167F4"/>
    <w:rsid w:val="31243E3A"/>
    <w:rsid w:val="31261B2D"/>
    <w:rsid w:val="31263293"/>
    <w:rsid w:val="312A179B"/>
    <w:rsid w:val="312A61BA"/>
    <w:rsid w:val="312B7ED5"/>
    <w:rsid w:val="312C1D45"/>
    <w:rsid w:val="312D7C39"/>
    <w:rsid w:val="312E15D3"/>
    <w:rsid w:val="312E5EF8"/>
    <w:rsid w:val="312F2B68"/>
    <w:rsid w:val="31302B4A"/>
    <w:rsid w:val="31312376"/>
    <w:rsid w:val="31317F40"/>
    <w:rsid w:val="31327008"/>
    <w:rsid w:val="31340F28"/>
    <w:rsid w:val="31367EB7"/>
    <w:rsid w:val="31375597"/>
    <w:rsid w:val="31376368"/>
    <w:rsid w:val="31390A61"/>
    <w:rsid w:val="313A01BD"/>
    <w:rsid w:val="313C79AF"/>
    <w:rsid w:val="313D1562"/>
    <w:rsid w:val="3142095D"/>
    <w:rsid w:val="3143347D"/>
    <w:rsid w:val="31437BAB"/>
    <w:rsid w:val="31457583"/>
    <w:rsid w:val="31461C44"/>
    <w:rsid w:val="31465CDB"/>
    <w:rsid w:val="314707A8"/>
    <w:rsid w:val="3147313E"/>
    <w:rsid w:val="314775F5"/>
    <w:rsid w:val="314A7BE6"/>
    <w:rsid w:val="314D5898"/>
    <w:rsid w:val="314F2833"/>
    <w:rsid w:val="315021AD"/>
    <w:rsid w:val="31502D52"/>
    <w:rsid w:val="315175F8"/>
    <w:rsid w:val="3153270E"/>
    <w:rsid w:val="31575659"/>
    <w:rsid w:val="315860F7"/>
    <w:rsid w:val="315A04DF"/>
    <w:rsid w:val="315A6534"/>
    <w:rsid w:val="315A7647"/>
    <w:rsid w:val="315E4B5E"/>
    <w:rsid w:val="315E5591"/>
    <w:rsid w:val="31601106"/>
    <w:rsid w:val="31620C89"/>
    <w:rsid w:val="31625C6D"/>
    <w:rsid w:val="31641207"/>
    <w:rsid w:val="316508D9"/>
    <w:rsid w:val="316508E8"/>
    <w:rsid w:val="3166712A"/>
    <w:rsid w:val="316677AC"/>
    <w:rsid w:val="31691752"/>
    <w:rsid w:val="316A4E7E"/>
    <w:rsid w:val="316A749E"/>
    <w:rsid w:val="316C1492"/>
    <w:rsid w:val="31715989"/>
    <w:rsid w:val="317328C7"/>
    <w:rsid w:val="31732E82"/>
    <w:rsid w:val="31756B6B"/>
    <w:rsid w:val="317824A1"/>
    <w:rsid w:val="31785C56"/>
    <w:rsid w:val="3179304E"/>
    <w:rsid w:val="317B5B58"/>
    <w:rsid w:val="317C5D75"/>
    <w:rsid w:val="317D10E1"/>
    <w:rsid w:val="317F0134"/>
    <w:rsid w:val="317F3139"/>
    <w:rsid w:val="31823A97"/>
    <w:rsid w:val="318244D5"/>
    <w:rsid w:val="31843957"/>
    <w:rsid w:val="318743C1"/>
    <w:rsid w:val="318A7CA2"/>
    <w:rsid w:val="318B58DF"/>
    <w:rsid w:val="318D24C2"/>
    <w:rsid w:val="318D2694"/>
    <w:rsid w:val="318E653D"/>
    <w:rsid w:val="31906553"/>
    <w:rsid w:val="319101C1"/>
    <w:rsid w:val="31916E3A"/>
    <w:rsid w:val="31936553"/>
    <w:rsid w:val="31956660"/>
    <w:rsid w:val="31960BB0"/>
    <w:rsid w:val="31964ADE"/>
    <w:rsid w:val="319B5839"/>
    <w:rsid w:val="319D7972"/>
    <w:rsid w:val="319E2480"/>
    <w:rsid w:val="31A30191"/>
    <w:rsid w:val="31A35FA0"/>
    <w:rsid w:val="31A5677C"/>
    <w:rsid w:val="31A65670"/>
    <w:rsid w:val="31A71B73"/>
    <w:rsid w:val="31A75CEF"/>
    <w:rsid w:val="31A82FE5"/>
    <w:rsid w:val="31AD248A"/>
    <w:rsid w:val="31AD7091"/>
    <w:rsid w:val="31AE5D2F"/>
    <w:rsid w:val="31AF4419"/>
    <w:rsid w:val="31B003E4"/>
    <w:rsid w:val="31B11B37"/>
    <w:rsid w:val="31B20AA8"/>
    <w:rsid w:val="31B24A7F"/>
    <w:rsid w:val="31B4434D"/>
    <w:rsid w:val="31B56D74"/>
    <w:rsid w:val="31B70D88"/>
    <w:rsid w:val="31BB3372"/>
    <w:rsid w:val="31BB4E1F"/>
    <w:rsid w:val="31BC1FA1"/>
    <w:rsid w:val="31BC600A"/>
    <w:rsid w:val="31BE5421"/>
    <w:rsid w:val="31BE55C9"/>
    <w:rsid w:val="31BF18CC"/>
    <w:rsid w:val="31C25CA7"/>
    <w:rsid w:val="31C2787D"/>
    <w:rsid w:val="31C34BD8"/>
    <w:rsid w:val="31C44970"/>
    <w:rsid w:val="31C45587"/>
    <w:rsid w:val="31C6712B"/>
    <w:rsid w:val="31C71B00"/>
    <w:rsid w:val="31CA0D7D"/>
    <w:rsid w:val="31CB18D3"/>
    <w:rsid w:val="31CD4DD7"/>
    <w:rsid w:val="31CE14E8"/>
    <w:rsid w:val="31CF7178"/>
    <w:rsid w:val="31D06B65"/>
    <w:rsid w:val="31D10730"/>
    <w:rsid w:val="31D26F99"/>
    <w:rsid w:val="31D367BE"/>
    <w:rsid w:val="31D454B2"/>
    <w:rsid w:val="31D814B3"/>
    <w:rsid w:val="31D86FFD"/>
    <w:rsid w:val="31D93245"/>
    <w:rsid w:val="31D94579"/>
    <w:rsid w:val="31DC06B2"/>
    <w:rsid w:val="31E069D2"/>
    <w:rsid w:val="31E26F2C"/>
    <w:rsid w:val="31E30DBA"/>
    <w:rsid w:val="31E4113D"/>
    <w:rsid w:val="31E47C3C"/>
    <w:rsid w:val="31E904CE"/>
    <w:rsid w:val="31EA3905"/>
    <w:rsid w:val="31EA5EDA"/>
    <w:rsid w:val="31ED5BEC"/>
    <w:rsid w:val="31ED7A53"/>
    <w:rsid w:val="31EF171A"/>
    <w:rsid w:val="31F2572A"/>
    <w:rsid w:val="31F37D69"/>
    <w:rsid w:val="31F461B1"/>
    <w:rsid w:val="31F722B8"/>
    <w:rsid w:val="31F80314"/>
    <w:rsid w:val="31F84F7E"/>
    <w:rsid w:val="31FA3B1E"/>
    <w:rsid w:val="31FB0211"/>
    <w:rsid w:val="31FB2F3A"/>
    <w:rsid w:val="31FD1E8A"/>
    <w:rsid w:val="31FD1F4C"/>
    <w:rsid w:val="31FE1944"/>
    <w:rsid w:val="31FF1655"/>
    <w:rsid w:val="31FF74BD"/>
    <w:rsid w:val="32011896"/>
    <w:rsid w:val="32017F0C"/>
    <w:rsid w:val="32031CEA"/>
    <w:rsid w:val="32053A68"/>
    <w:rsid w:val="32066EE7"/>
    <w:rsid w:val="3207230B"/>
    <w:rsid w:val="3208353F"/>
    <w:rsid w:val="32083EF4"/>
    <w:rsid w:val="3209071F"/>
    <w:rsid w:val="32090A9E"/>
    <w:rsid w:val="32091F3B"/>
    <w:rsid w:val="32092859"/>
    <w:rsid w:val="320A09AB"/>
    <w:rsid w:val="320B3F70"/>
    <w:rsid w:val="320C78D0"/>
    <w:rsid w:val="320D363E"/>
    <w:rsid w:val="320D4C70"/>
    <w:rsid w:val="320D6E0B"/>
    <w:rsid w:val="320D7416"/>
    <w:rsid w:val="320E00BA"/>
    <w:rsid w:val="3212343A"/>
    <w:rsid w:val="32144DB7"/>
    <w:rsid w:val="321508FA"/>
    <w:rsid w:val="32163F14"/>
    <w:rsid w:val="321678F9"/>
    <w:rsid w:val="3218443C"/>
    <w:rsid w:val="321B2E7E"/>
    <w:rsid w:val="321B60C3"/>
    <w:rsid w:val="321B7D1F"/>
    <w:rsid w:val="321D4F94"/>
    <w:rsid w:val="321F2582"/>
    <w:rsid w:val="321F4B11"/>
    <w:rsid w:val="321F5FD8"/>
    <w:rsid w:val="322011FA"/>
    <w:rsid w:val="32211A09"/>
    <w:rsid w:val="32232C6B"/>
    <w:rsid w:val="32233887"/>
    <w:rsid w:val="32245329"/>
    <w:rsid w:val="32291008"/>
    <w:rsid w:val="32293EAB"/>
    <w:rsid w:val="322B6270"/>
    <w:rsid w:val="322C3981"/>
    <w:rsid w:val="322F16E9"/>
    <w:rsid w:val="322F2A3E"/>
    <w:rsid w:val="32312121"/>
    <w:rsid w:val="32314675"/>
    <w:rsid w:val="32337B6E"/>
    <w:rsid w:val="32352ADA"/>
    <w:rsid w:val="3236162C"/>
    <w:rsid w:val="3236585E"/>
    <w:rsid w:val="323934E3"/>
    <w:rsid w:val="3239624B"/>
    <w:rsid w:val="323B46A4"/>
    <w:rsid w:val="323E1359"/>
    <w:rsid w:val="323E40D1"/>
    <w:rsid w:val="323E6B9E"/>
    <w:rsid w:val="323F26FE"/>
    <w:rsid w:val="324107CC"/>
    <w:rsid w:val="324264D8"/>
    <w:rsid w:val="32426F20"/>
    <w:rsid w:val="32457E1B"/>
    <w:rsid w:val="32466A11"/>
    <w:rsid w:val="32471295"/>
    <w:rsid w:val="32473DC9"/>
    <w:rsid w:val="324C6665"/>
    <w:rsid w:val="32527DDC"/>
    <w:rsid w:val="325353E1"/>
    <w:rsid w:val="32574840"/>
    <w:rsid w:val="325805CB"/>
    <w:rsid w:val="325A05FF"/>
    <w:rsid w:val="325B66B1"/>
    <w:rsid w:val="325C115F"/>
    <w:rsid w:val="325C7500"/>
    <w:rsid w:val="325D0103"/>
    <w:rsid w:val="325E17BB"/>
    <w:rsid w:val="325E6975"/>
    <w:rsid w:val="326019BC"/>
    <w:rsid w:val="32630509"/>
    <w:rsid w:val="326306BD"/>
    <w:rsid w:val="32631545"/>
    <w:rsid w:val="3265588D"/>
    <w:rsid w:val="32664C00"/>
    <w:rsid w:val="326752DC"/>
    <w:rsid w:val="32682025"/>
    <w:rsid w:val="32683909"/>
    <w:rsid w:val="32690A82"/>
    <w:rsid w:val="3269754B"/>
    <w:rsid w:val="326B48B7"/>
    <w:rsid w:val="326B643B"/>
    <w:rsid w:val="326C6050"/>
    <w:rsid w:val="326E3B45"/>
    <w:rsid w:val="326E44FE"/>
    <w:rsid w:val="326E62A4"/>
    <w:rsid w:val="326E7C64"/>
    <w:rsid w:val="3270137C"/>
    <w:rsid w:val="327018AF"/>
    <w:rsid w:val="3272517A"/>
    <w:rsid w:val="32743BB8"/>
    <w:rsid w:val="32771B9A"/>
    <w:rsid w:val="327730C2"/>
    <w:rsid w:val="32790AEF"/>
    <w:rsid w:val="32793903"/>
    <w:rsid w:val="327A043D"/>
    <w:rsid w:val="327A28DA"/>
    <w:rsid w:val="327B0564"/>
    <w:rsid w:val="327D5AE9"/>
    <w:rsid w:val="327E354C"/>
    <w:rsid w:val="32820A44"/>
    <w:rsid w:val="32835BEF"/>
    <w:rsid w:val="328419C7"/>
    <w:rsid w:val="32881203"/>
    <w:rsid w:val="328B3845"/>
    <w:rsid w:val="328E6979"/>
    <w:rsid w:val="32953946"/>
    <w:rsid w:val="32976132"/>
    <w:rsid w:val="329C2723"/>
    <w:rsid w:val="329D7DF1"/>
    <w:rsid w:val="329E66EA"/>
    <w:rsid w:val="32A00C6B"/>
    <w:rsid w:val="32A018A5"/>
    <w:rsid w:val="32A02E08"/>
    <w:rsid w:val="32A1487C"/>
    <w:rsid w:val="32A16C00"/>
    <w:rsid w:val="32A23A4F"/>
    <w:rsid w:val="32A576C3"/>
    <w:rsid w:val="32A640B1"/>
    <w:rsid w:val="32A642E0"/>
    <w:rsid w:val="32A75AEB"/>
    <w:rsid w:val="32A8159A"/>
    <w:rsid w:val="32A95386"/>
    <w:rsid w:val="32AB40E5"/>
    <w:rsid w:val="32AE22E7"/>
    <w:rsid w:val="32AF0209"/>
    <w:rsid w:val="32AF5D0F"/>
    <w:rsid w:val="32B07F87"/>
    <w:rsid w:val="32B45A0B"/>
    <w:rsid w:val="32B565BF"/>
    <w:rsid w:val="32B56899"/>
    <w:rsid w:val="32B93623"/>
    <w:rsid w:val="32BA46E3"/>
    <w:rsid w:val="32BB1179"/>
    <w:rsid w:val="32BC09D5"/>
    <w:rsid w:val="32BE5418"/>
    <w:rsid w:val="32BF0B42"/>
    <w:rsid w:val="32BF3FBB"/>
    <w:rsid w:val="32C111F4"/>
    <w:rsid w:val="32C559C3"/>
    <w:rsid w:val="32C91A35"/>
    <w:rsid w:val="32C91DF3"/>
    <w:rsid w:val="32C92DD2"/>
    <w:rsid w:val="32CA7850"/>
    <w:rsid w:val="32CD6B7F"/>
    <w:rsid w:val="32CE7EB6"/>
    <w:rsid w:val="32D13E5F"/>
    <w:rsid w:val="32D20F06"/>
    <w:rsid w:val="32D62DEF"/>
    <w:rsid w:val="32D967E3"/>
    <w:rsid w:val="32DB4949"/>
    <w:rsid w:val="32DB6CDC"/>
    <w:rsid w:val="32DD08D0"/>
    <w:rsid w:val="32DD2DB3"/>
    <w:rsid w:val="32DF281E"/>
    <w:rsid w:val="32E06998"/>
    <w:rsid w:val="32E1302E"/>
    <w:rsid w:val="32E27370"/>
    <w:rsid w:val="32E32BE0"/>
    <w:rsid w:val="32E45AD5"/>
    <w:rsid w:val="32E57A6C"/>
    <w:rsid w:val="32E9390E"/>
    <w:rsid w:val="32E9517B"/>
    <w:rsid w:val="32EF03A8"/>
    <w:rsid w:val="32F07507"/>
    <w:rsid w:val="32F42AC4"/>
    <w:rsid w:val="32F42E94"/>
    <w:rsid w:val="32F56CE9"/>
    <w:rsid w:val="32F57803"/>
    <w:rsid w:val="32F63A6A"/>
    <w:rsid w:val="32F63DC2"/>
    <w:rsid w:val="32F66C64"/>
    <w:rsid w:val="32F74C89"/>
    <w:rsid w:val="32F808A5"/>
    <w:rsid w:val="32FB5BDE"/>
    <w:rsid w:val="32FB6CED"/>
    <w:rsid w:val="32FC3E3D"/>
    <w:rsid w:val="32FD57A7"/>
    <w:rsid w:val="32FD5EF8"/>
    <w:rsid w:val="32FF4D79"/>
    <w:rsid w:val="32FF6C79"/>
    <w:rsid w:val="33012692"/>
    <w:rsid w:val="33055C24"/>
    <w:rsid w:val="33061FA5"/>
    <w:rsid w:val="330A7B7A"/>
    <w:rsid w:val="330C6F81"/>
    <w:rsid w:val="330D03CD"/>
    <w:rsid w:val="330E5602"/>
    <w:rsid w:val="330F31F9"/>
    <w:rsid w:val="33123A8E"/>
    <w:rsid w:val="33135411"/>
    <w:rsid w:val="33142F7D"/>
    <w:rsid w:val="33176B9B"/>
    <w:rsid w:val="33192480"/>
    <w:rsid w:val="331C3706"/>
    <w:rsid w:val="331D0EE3"/>
    <w:rsid w:val="33206C8F"/>
    <w:rsid w:val="332365C0"/>
    <w:rsid w:val="33270FB4"/>
    <w:rsid w:val="33286A8B"/>
    <w:rsid w:val="332915B8"/>
    <w:rsid w:val="332A14F0"/>
    <w:rsid w:val="332A5FFA"/>
    <w:rsid w:val="332A6627"/>
    <w:rsid w:val="332B65B4"/>
    <w:rsid w:val="332C5E24"/>
    <w:rsid w:val="33311683"/>
    <w:rsid w:val="333160D0"/>
    <w:rsid w:val="333251E8"/>
    <w:rsid w:val="33335805"/>
    <w:rsid w:val="33341F56"/>
    <w:rsid w:val="33363003"/>
    <w:rsid w:val="33387D39"/>
    <w:rsid w:val="333B4C58"/>
    <w:rsid w:val="333C1FA0"/>
    <w:rsid w:val="333C2F3B"/>
    <w:rsid w:val="333D4600"/>
    <w:rsid w:val="33400C14"/>
    <w:rsid w:val="33422802"/>
    <w:rsid w:val="33426584"/>
    <w:rsid w:val="33440147"/>
    <w:rsid w:val="33451290"/>
    <w:rsid w:val="3347427F"/>
    <w:rsid w:val="334A0681"/>
    <w:rsid w:val="334A0721"/>
    <w:rsid w:val="334A45B3"/>
    <w:rsid w:val="334B3EEC"/>
    <w:rsid w:val="334E057E"/>
    <w:rsid w:val="334F7E56"/>
    <w:rsid w:val="33502500"/>
    <w:rsid w:val="3350468C"/>
    <w:rsid w:val="33514B4F"/>
    <w:rsid w:val="33534CE9"/>
    <w:rsid w:val="3356090D"/>
    <w:rsid w:val="33561C40"/>
    <w:rsid w:val="3356505E"/>
    <w:rsid w:val="33574280"/>
    <w:rsid w:val="335747BF"/>
    <w:rsid w:val="33580A0F"/>
    <w:rsid w:val="33590389"/>
    <w:rsid w:val="335C0D79"/>
    <w:rsid w:val="335E319E"/>
    <w:rsid w:val="335F144C"/>
    <w:rsid w:val="335F2645"/>
    <w:rsid w:val="335F27F0"/>
    <w:rsid w:val="335F3205"/>
    <w:rsid w:val="33602E85"/>
    <w:rsid w:val="336936DA"/>
    <w:rsid w:val="336B0B11"/>
    <w:rsid w:val="33711F31"/>
    <w:rsid w:val="337436AB"/>
    <w:rsid w:val="33773694"/>
    <w:rsid w:val="33785205"/>
    <w:rsid w:val="337B0DCA"/>
    <w:rsid w:val="337B1966"/>
    <w:rsid w:val="337E34B5"/>
    <w:rsid w:val="337E4B16"/>
    <w:rsid w:val="33803673"/>
    <w:rsid w:val="33835A37"/>
    <w:rsid w:val="33847CA6"/>
    <w:rsid w:val="33875330"/>
    <w:rsid w:val="338A0315"/>
    <w:rsid w:val="338A7634"/>
    <w:rsid w:val="338F322E"/>
    <w:rsid w:val="339112BC"/>
    <w:rsid w:val="33915A0B"/>
    <w:rsid w:val="33927AE5"/>
    <w:rsid w:val="339300FD"/>
    <w:rsid w:val="33934AD9"/>
    <w:rsid w:val="33997718"/>
    <w:rsid w:val="339A26D1"/>
    <w:rsid w:val="339A35AA"/>
    <w:rsid w:val="339A4B66"/>
    <w:rsid w:val="339C6A87"/>
    <w:rsid w:val="33A11F1A"/>
    <w:rsid w:val="33A330B1"/>
    <w:rsid w:val="33A6022E"/>
    <w:rsid w:val="33A632FB"/>
    <w:rsid w:val="33A87468"/>
    <w:rsid w:val="33AB1CD7"/>
    <w:rsid w:val="33AB6CC6"/>
    <w:rsid w:val="33AC3722"/>
    <w:rsid w:val="33B00E7E"/>
    <w:rsid w:val="33B059E7"/>
    <w:rsid w:val="33B155AD"/>
    <w:rsid w:val="33B269C5"/>
    <w:rsid w:val="33B53E6C"/>
    <w:rsid w:val="33B57465"/>
    <w:rsid w:val="33B641AB"/>
    <w:rsid w:val="33B928C9"/>
    <w:rsid w:val="33BA1568"/>
    <w:rsid w:val="33BA57B3"/>
    <w:rsid w:val="33BB6276"/>
    <w:rsid w:val="33BF5219"/>
    <w:rsid w:val="33C02E33"/>
    <w:rsid w:val="33C158D5"/>
    <w:rsid w:val="33C26CB0"/>
    <w:rsid w:val="33C33B84"/>
    <w:rsid w:val="33C35F18"/>
    <w:rsid w:val="33C822B9"/>
    <w:rsid w:val="33CA5208"/>
    <w:rsid w:val="33CB04A4"/>
    <w:rsid w:val="33CC2197"/>
    <w:rsid w:val="33CE70AF"/>
    <w:rsid w:val="33D002B2"/>
    <w:rsid w:val="33D114D9"/>
    <w:rsid w:val="33D30660"/>
    <w:rsid w:val="33D41F41"/>
    <w:rsid w:val="33D7038C"/>
    <w:rsid w:val="33D823BA"/>
    <w:rsid w:val="33D85ED9"/>
    <w:rsid w:val="33D968C7"/>
    <w:rsid w:val="33D977A5"/>
    <w:rsid w:val="33DA38BD"/>
    <w:rsid w:val="33DA5D77"/>
    <w:rsid w:val="33DA71E1"/>
    <w:rsid w:val="33DB0704"/>
    <w:rsid w:val="33DB4C1F"/>
    <w:rsid w:val="33DC3B83"/>
    <w:rsid w:val="33DC5159"/>
    <w:rsid w:val="33DD361D"/>
    <w:rsid w:val="33DE2D91"/>
    <w:rsid w:val="33E05612"/>
    <w:rsid w:val="33E31201"/>
    <w:rsid w:val="33E62109"/>
    <w:rsid w:val="33E97109"/>
    <w:rsid w:val="33EC32D4"/>
    <w:rsid w:val="33EC6539"/>
    <w:rsid w:val="33ED3E5F"/>
    <w:rsid w:val="33EF348D"/>
    <w:rsid w:val="33F32DEF"/>
    <w:rsid w:val="33F442A2"/>
    <w:rsid w:val="33F632C9"/>
    <w:rsid w:val="33F91D91"/>
    <w:rsid w:val="33F9499A"/>
    <w:rsid w:val="33F968DB"/>
    <w:rsid w:val="33FA036B"/>
    <w:rsid w:val="33FB64CD"/>
    <w:rsid w:val="33FC18EC"/>
    <w:rsid w:val="33FC6E76"/>
    <w:rsid w:val="34021B93"/>
    <w:rsid w:val="340463F6"/>
    <w:rsid w:val="340579BB"/>
    <w:rsid w:val="34075701"/>
    <w:rsid w:val="34081CB8"/>
    <w:rsid w:val="340900E4"/>
    <w:rsid w:val="34092BF5"/>
    <w:rsid w:val="340A5DCA"/>
    <w:rsid w:val="340E7EA1"/>
    <w:rsid w:val="340F57C3"/>
    <w:rsid w:val="34100EAD"/>
    <w:rsid w:val="34141B92"/>
    <w:rsid w:val="34176C0A"/>
    <w:rsid w:val="341A1DEE"/>
    <w:rsid w:val="341A5072"/>
    <w:rsid w:val="341B03C9"/>
    <w:rsid w:val="341B51AD"/>
    <w:rsid w:val="341B5B1D"/>
    <w:rsid w:val="341D4CDD"/>
    <w:rsid w:val="341E2965"/>
    <w:rsid w:val="34214439"/>
    <w:rsid w:val="34225BE4"/>
    <w:rsid w:val="342562A0"/>
    <w:rsid w:val="34267642"/>
    <w:rsid w:val="342E425B"/>
    <w:rsid w:val="342E6433"/>
    <w:rsid w:val="343072F6"/>
    <w:rsid w:val="34323807"/>
    <w:rsid w:val="34326563"/>
    <w:rsid w:val="3433371C"/>
    <w:rsid w:val="34352B7C"/>
    <w:rsid w:val="34362B4C"/>
    <w:rsid w:val="343654BA"/>
    <w:rsid w:val="34376EC9"/>
    <w:rsid w:val="34382041"/>
    <w:rsid w:val="343837B1"/>
    <w:rsid w:val="3438528E"/>
    <w:rsid w:val="34391651"/>
    <w:rsid w:val="343A25C2"/>
    <w:rsid w:val="343B12DC"/>
    <w:rsid w:val="343E14C6"/>
    <w:rsid w:val="343E4585"/>
    <w:rsid w:val="343F17FA"/>
    <w:rsid w:val="343F1BF1"/>
    <w:rsid w:val="34413951"/>
    <w:rsid w:val="34437735"/>
    <w:rsid w:val="34447866"/>
    <w:rsid w:val="3446723C"/>
    <w:rsid w:val="344853B7"/>
    <w:rsid w:val="34490325"/>
    <w:rsid w:val="3449166B"/>
    <w:rsid w:val="344A02E9"/>
    <w:rsid w:val="34513AA8"/>
    <w:rsid w:val="3453776F"/>
    <w:rsid w:val="34541FAB"/>
    <w:rsid w:val="34560728"/>
    <w:rsid w:val="34562531"/>
    <w:rsid w:val="3457662C"/>
    <w:rsid w:val="345A3A0C"/>
    <w:rsid w:val="345A612B"/>
    <w:rsid w:val="345B032D"/>
    <w:rsid w:val="345D32CB"/>
    <w:rsid w:val="345F682D"/>
    <w:rsid w:val="34613F5C"/>
    <w:rsid w:val="34627D97"/>
    <w:rsid w:val="34635D70"/>
    <w:rsid w:val="34667FB1"/>
    <w:rsid w:val="346C7CBD"/>
    <w:rsid w:val="346D5A4A"/>
    <w:rsid w:val="346E04F5"/>
    <w:rsid w:val="346E2CC0"/>
    <w:rsid w:val="346F159B"/>
    <w:rsid w:val="34704F13"/>
    <w:rsid w:val="347240BD"/>
    <w:rsid w:val="34727994"/>
    <w:rsid w:val="34730371"/>
    <w:rsid w:val="34750C78"/>
    <w:rsid w:val="34761F21"/>
    <w:rsid w:val="34787718"/>
    <w:rsid w:val="347A344B"/>
    <w:rsid w:val="347D197B"/>
    <w:rsid w:val="3483490F"/>
    <w:rsid w:val="34851029"/>
    <w:rsid w:val="348623A1"/>
    <w:rsid w:val="34880331"/>
    <w:rsid w:val="348B1A00"/>
    <w:rsid w:val="348C3C65"/>
    <w:rsid w:val="348E48F3"/>
    <w:rsid w:val="348E4DA3"/>
    <w:rsid w:val="348E4E29"/>
    <w:rsid w:val="349326C4"/>
    <w:rsid w:val="34967632"/>
    <w:rsid w:val="349F7EB8"/>
    <w:rsid w:val="34A011C6"/>
    <w:rsid w:val="34A01FCD"/>
    <w:rsid w:val="34A04DA3"/>
    <w:rsid w:val="34A052AC"/>
    <w:rsid w:val="34A13217"/>
    <w:rsid w:val="34A32D3D"/>
    <w:rsid w:val="34A832A6"/>
    <w:rsid w:val="34A84C17"/>
    <w:rsid w:val="34AA78C6"/>
    <w:rsid w:val="34AC6D58"/>
    <w:rsid w:val="34AD3D99"/>
    <w:rsid w:val="34AF17DE"/>
    <w:rsid w:val="34B31777"/>
    <w:rsid w:val="34B50FCD"/>
    <w:rsid w:val="34B54471"/>
    <w:rsid w:val="34B6050E"/>
    <w:rsid w:val="34BA5179"/>
    <w:rsid w:val="34BB31F2"/>
    <w:rsid w:val="34BB51CB"/>
    <w:rsid w:val="34BC2303"/>
    <w:rsid w:val="34BD2DBD"/>
    <w:rsid w:val="34BD4F64"/>
    <w:rsid w:val="34BE2CE2"/>
    <w:rsid w:val="34C179B1"/>
    <w:rsid w:val="34C368A0"/>
    <w:rsid w:val="34C36F80"/>
    <w:rsid w:val="34C7636E"/>
    <w:rsid w:val="34C97A86"/>
    <w:rsid w:val="34CA0F15"/>
    <w:rsid w:val="34CE4016"/>
    <w:rsid w:val="34CE7A06"/>
    <w:rsid w:val="34CF5062"/>
    <w:rsid w:val="34CF681F"/>
    <w:rsid w:val="34D15D4A"/>
    <w:rsid w:val="34D302B7"/>
    <w:rsid w:val="34D37CB6"/>
    <w:rsid w:val="34D437C7"/>
    <w:rsid w:val="34D44C03"/>
    <w:rsid w:val="34D45A08"/>
    <w:rsid w:val="34D57A98"/>
    <w:rsid w:val="34D836CA"/>
    <w:rsid w:val="34D8723E"/>
    <w:rsid w:val="34D93746"/>
    <w:rsid w:val="34DA4689"/>
    <w:rsid w:val="34DB39BD"/>
    <w:rsid w:val="34DB66DE"/>
    <w:rsid w:val="34DC55C0"/>
    <w:rsid w:val="34DC7AB4"/>
    <w:rsid w:val="34DD49D8"/>
    <w:rsid w:val="34DE6B7E"/>
    <w:rsid w:val="34DF1597"/>
    <w:rsid w:val="34E00FE2"/>
    <w:rsid w:val="34E26B0E"/>
    <w:rsid w:val="34E567E8"/>
    <w:rsid w:val="34E648F6"/>
    <w:rsid w:val="34E74C8B"/>
    <w:rsid w:val="34E75159"/>
    <w:rsid w:val="34E84289"/>
    <w:rsid w:val="34EA4EE6"/>
    <w:rsid w:val="34EB0DDC"/>
    <w:rsid w:val="34F119B4"/>
    <w:rsid w:val="34F403B2"/>
    <w:rsid w:val="34FA0A11"/>
    <w:rsid w:val="34FA4306"/>
    <w:rsid w:val="34FC2C96"/>
    <w:rsid w:val="34FC2E91"/>
    <w:rsid w:val="34FE752B"/>
    <w:rsid w:val="34FF27B2"/>
    <w:rsid w:val="35000FA3"/>
    <w:rsid w:val="35047149"/>
    <w:rsid w:val="350804CB"/>
    <w:rsid w:val="35085460"/>
    <w:rsid w:val="35090737"/>
    <w:rsid w:val="35092ACD"/>
    <w:rsid w:val="350A2EE1"/>
    <w:rsid w:val="350A3C0B"/>
    <w:rsid w:val="350B0BBF"/>
    <w:rsid w:val="350C41EC"/>
    <w:rsid w:val="350D1D9A"/>
    <w:rsid w:val="350D7C36"/>
    <w:rsid w:val="350E3708"/>
    <w:rsid w:val="350F23D2"/>
    <w:rsid w:val="350F4058"/>
    <w:rsid w:val="350F425C"/>
    <w:rsid w:val="35104B4F"/>
    <w:rsid w:val="35117895"/>
    <w:rsid w:val="35123AE4"/>
    <w:rsid w:val="351257DF"/>
    <w:rsid w:val="35126DCF"/>
    <w:rsid w:val="3513302B"/>
    <w:rsid w:val="3514010F"/>
    <w:rsid w:val="35151937"/>
    <w:rsid w:val="351721C3"/>
    <w:rsid w:val="35172B35"/>
    <w:rsid w:val="351A286A"/>
    <w:rsid w:val="351A31DF"/>
    <w:rsid w:val="351D1A41"/>
    <w:rsid w:val="3520789E"/>
    <w:rsid w:val="35217920"/>
    <w:rsid w:val="35246623"/>
    <w:rsid w:val="35253693"/>
    <w:rsid w:val="35270408"/>
    <w:rsid w:val="35282802"/>
    <w:rsid w:val="352C7E84"/>
    <w:rsid w:val="352D2E1F"/>
    <w:rsid w:val="352F1B69"/>
    <w:rsid w:val="353007DD"/>
    <w:rsid w:val="353246DF"/>
    <w:rsid w:val="353273ED"/>
    <w:rsid w:val="35343D7C"/>
    <w:rsid w:val="353612C6"/>
    <w:rsid w:val="353659A2"/>
    <w:rsid w:val="35375983"/>
    <w:rsid w:val="353925B4"/>
    <w:rsid w:val="3539569D"/>
    <w:rsid w:val="353A6C85"/>
    <w:rsid w:val="353F13EC"/>
    <w:rsid w:val="3542344A"/>
    <w:rsid w:val="354520F4"/>
    <w:rsid w:val="354A1BE9"/>
    <w:rsid w:val="354B5FED"/>
    <w:rsid w:val="354D2E28"/>
    <w:rsid w:val="354E234E"/>
    <w:rsid w:val="355368FA"/>
    <w:rsid w:val="35571BE2"/>
    <w:rsid w:val="35587D1E"/>
    <w:rsid w:val="355B331F"/>
    <w:rsid w:val="355C4B24"/>
    <w:rsid w:val="355C6BE8"/>
    <w:rsid w:val="355C6E15"/>
    <w:rsid w:val="355E4858"/>
    <w:rsid w:val="35607DD3"/>
    <w:rsid w:val="356205A0"/>
    <w:rsid w:val="35624513"/>
    <w:rsid w:val="3563280D"/>
    <w:rsid w:val="35651A55"/>
    <w:rsid w:val="35662F49"/>
    <w:rsid w:val="35686F4D"/>
    <w:rsid w:val="35691342"/>
    <w:rsid w:val="35696507"/>
    <w:rsid w:val="356B5977"/>
    <w:rsid w:val="356D1AA0"/>
    <w:rsid w:val="3571594C"/>
    <w:rsid w:val="357371E3"/>
    <w:rsid w:val="35750C9D"/>
    <w:rsid w:val="35752F56"/>
    <w:rsid w:val="35771C24"/>
    <w:rsid w:val="35784644"/>
    <w:rsid w:val="35785E6F"/>
    <w:rsid w:val="357875CF"/>
    <w:rsid w:val="357A75DE"/>
    <w:rsid w:val="357B04B3"/>
    <w:rsid w:val="357E7CEB"/>
    <w:rsid w:val="357F353F"/>
    <w:rsid w:val="35827DE2"/>
    <w:rsid w:val="35851AE5"/>
    <w:rsid w:val="35866526"/>
    <w:rsid w:val="3586737A"/>
    <w:rsid w:val="35867557"/>
    <w:rsid w:val="358B18D7"/>
    <w:rsid w:val="358C60A6"/>
    <w:rsid w:val="358D3EA3"/>
    <w:rsid w:val="358D5973"/>
    <w:rsid w:val="358F561C"/>
    <w:rsid w:val="3592172A"/>
    <w:rsid w:val="359344D2"/>
    <w:rsid w:val="359357ED"/>
    <w:rsid w:val="35965E6D"/>
    <w:rsid w:val="35985B65"/>
    <w:rsid w:val="35991643"/>
    <w:rsid w:val="359A6D99"/>
    <w:rsid w:val="359B670D"/>
    <w:rsid w:val="359D3D97"/>
    <w:rsid w:val="359E2127"/>
    <w:rsid w:val="359E7F5E"/>
    <w:rsid w:val="359F083B"/>
    <w:rsid w:val="359F3D1D"/>
    <w:rsid w:val="35A020F6"/>
    <w:rsid w:val="35A145DD"/>
    <w:rsid w:val="35A16DF6"/>
    <w:rsid w:val="35A505F7"/>
    <w:rsid w:val="35A640A0"/>
    <w:rsid w:val="35A7405B"/>
    <w:rsid w:val="35A8232A"/>
    <w:rsid w:val="35AA0497"/>
    <w:rsid w:val="35AB4861"/>
    <w:rsid w:val="35AC0338"/>
    <w:rsid w:val="35AC588F"/>
    <w:rsid w:val="35AE5435"/>
    <w:rsid w:val="35AE7A8D"/>
    <w:rsid w:val="35B17DA4"/>
    <w:rsid w:val="35B40797"/>
    <w:rsid w:val="35B435F0"/>
    <w:rsid w:val="35B45CD2"/>
    <w:rsid w:val="35B802FB"/>
    <w:rsid w:val="35B91251"/>
    <w:rsid w:val="35B977BE"/>
    <w:rsid w:val="35BB5620"/>
    <w:rsid w:val="35BC28A1"/>
    <w:rsid w:val="35BC4E24"/>
    <w:rsid w:val="35BD027D"/>
    <w:rsid w:val="35BD76ED"/>
    <w:rsid w:val="35BE42AD"/>
    <w:rsid w:val="35C020A2"/>
    <w:rsid w:val="35C04927"/>
    <w:rsid w:val="35C105D8"/>
    <w:rsid w:val="35C302F0"/>
    <w:rsid w:val="35C37C28"/>
    <w:rsid w:val="35C42660"/>
    <w:rsid w:val="35C658CD"/>
    <w:rsid w:val="35C70C28"/>
    <w:rsid w:val="35C71377"/>
    <w:rsid w:val="35C71B48"/>
    <w:rsid w:val="35CB5021"/>
    <w:rsid w:val="35D14205"/>
    <w:rsid w:val="35D25085"/>
    <w:rsid w:val="35D335BC"/>
    <w:rsid w:val="35D35830"/>
    <w:rsid w:val="35D413E7"/>
    <w:rsid w:val="35D51FC2"/>
    <w:rsid w:val="35D77C88"/>
    <w:rsid w:val="35D904E8"/>
    <w:rsid w:val="35D94EA7"/>
    <w:rsid w:val="35DA29E0"/>
    <w:rsid w:val="35DA4BCE"/>
    <w:rsid w:val="35DB2363"/>
    <w:rsid w:val="35DB4550"/>
    <w:rsid w:val="35DE5F25"/>
    <w:rsid w:val="35DF06D2"/>
    <w:rsid w:val="35E2183D"/>
    <w:rsid w:val="35E25CEA"/>
    <w:rsid w:val="35E27DDB"/>
    <w:rsid w:val="35E43BBF"/>
    <w:rsid w:val="35E43D8E"/>
    <w:rsid w:val="35E45781"/>
    <w:rsid w:val="35E45E96"/>
    <w:rsid w:val="35E62C9C"/>
    <w:rsid w:val="35E671D5"/>
    <w:rsid w:val="35E81336"/>
    <w:rsid w:val="35F2069A"/>
    <w:rsid w:val="35F40DE0"/>
    <w:rsid w:val="35F47A6E"/>
    <w:rsid w:val="35F5421A"/>
    <w:rsid w:val="35F76460"/>
    <w:rsid w:val="35F91052"/>
    <w:rsid w:val="35FA1264"/>
    <w:rsid w:val="35FA78CE"/>
    <w:rsid w:val="35FD77EA"/>
    <w:rsid w:val="35FF2DA3"/>
    <w:rsid w:val="360138A8"/>
    <w:rsid w:val="360200D1"/>
    <w:rsid w:val="36034AB0"/>
    <w:rsid w:val="36054D5C"/>
    <w:rsid w:val="36063DBF"/>
    <w:rsid w:val="3606717C"/>
    <w:rsid w:val="36070552"/>
    <w:rsid w:val="3607268B"/>
    <w:rsid w:val="36080BDE"/>
    <w:rsid w:val="36093110"/>
    <w:rsid w:val="360A1A7B"/>
    <w:rsid w:val="360B2DD5"/>
    <w:rsid w:val="360B41C3"/>
    <w:rsid w:val="360C41F5"/>
    <w:rsid w:val="360C5F9D"/>
    <w:rsid w:val="360D2C6C"/>
    <w:rsid w:val="360D4B05"/>
    <w:rsid w:val="36105A4D"/>
    <w:rsid w:val="36115587"/>
    <w:rsid w:val="36131F62"/>
    <w:rsid w:val="36137DBA"/>
    <w:rsid w:val="36142D7B"/>
    <w:rsid w:val="36147A87"/>
    <w:rsid w:val="36150D31"/>
    <w:rsid w:val="3616178F"/>
    <w:rsid w:val="36174642"/>
    <w:rsid w:val="361753A2"/>
    <w:rsid w:val="36175D5A"/>
    <w:rsid w:val="361A48DA"/>
    <w:rsid w:val="361A6D71"/>
    <w:rsid w:val="361D03AD"/>
    <w:rsid w:val="361D7FD8"/>
    <w:rsid w:val="361E54AA"/>
    <w:rsid w:val="361F5D59"/>
    <w:rsid w:val="362159E3"/>
    <w:rsid w:val="36220E89"/>
    <w:rsid w:val="36234A47"/>
    <w:rsid w:val="362429E0"/>
    <w:rsid w:val="36244245"/>
    <w:rsid w:val="362534CA"/>
    <w:rsid w:val="36277D64"/>
    <w:rsid w:val="3628442D"/>
    <w:rsid w:val="362E114B"/>
    <w:rsid w:val="362F1119"/>
    <w:rsid w:val="362F43AD"/>
    <w:rsid w:val="363018A3"/>
    <w:rsid w:val="36312BE7"/>
    <w:rsid w:val="363132D5"/>
    <w:rsid w:val="36335215"/>
    <w:rsid w:val="36377007"/>
    <w:rsid w:val="36390FA6"/>
    <w:rsid w:val="363F1D3C"/>
    <w:rsid w:val="364045EF"/>
    <w:rsid w:val="36415775"/>
    <w:rsid w:val="364210DF"/>
    <w:rsid w:val="364226F9"/>
    <w:rsid w:val="36442920"/>
    <w:rsid w:val="364B51CF"/>
    <w:rsid w:val="364C4B0C"/>
    <w:rsid w:val="364D6029"/>
    <w:rsid w:val="36511A23"/>
    <w:rsid w:val="36524B42"/>
    <w:rsid w:val="36553258"/>
    <w:rsid w:val="36556B7B"/>
    <w:rsid w:val="36560297"/>
    <w:rsid w:val="36563DC4"/>
    <w:rsid w:val="36564F2D"/>
    <w:rsid w:val="36566767"/>
    <w:rsid w:val="36567AEA"/>
    <w:rsid w:val="365712FA"/>
    <w:rsid w:val="365A0ADA"/>
    <w:rsid w:val="365B4AD0"/>
    <w:rsid w:val="365C172E"/>
    <w:rsid w:val="365D19D7"/>
    <w:rsid w:val="365F669F"/>
    <w:rsid w:val="36604303"/>
    <w:rsid w:val="36613F8A"/>
    <w:rsid w:val="36616B21"/>
    <w:rsid w:val="36621BA4"/>
    <w:rsid w:val="36636FB2"/>
    <w:rsid w:val="3666757F"/>
    <w:rsid w:val="36695609"/>
    <w:rsid w:val="366A3DE2"/>
    <w:rsid w:val="366C18EE"/>
    <w:rsid w:val="366F589A"/>
    <w:rsid w:val="3671166E"/>
    <w:rsid w:val="36722136"/>
    <w:rsid w:val="36726EF4"/>
    <w:rsid w:val="36732F41"/>
    <w:rsid w:val="36745688"/>
    <w:rsid w:val="36747236"/>
    <w:rsid w:val="36757B0E"/>
    <w:rsid w:val="367640DD"/>
    <w:rsid w:val="367648FF"/>
    <w:rsid w:val="36776DBD"/>
    <w:rsid w:val="36783A12"/>
    <w:rsid w:val="36794A0D"/>
    <w:rsid w:val="367A0F15"/>
    <w:rsid w:val="367B515F"/>
    <w:rsid w:val="367D3CFF"/>
    <w:rsid w:val="367D6A6D"/>
    <w:rsid w:val="367E0F77"/>
    <w:rsid w:val="36800658"/>
    <w:rsid w:val="36813B03"/>
    <w:rsid w:val="36830157"/>
    <w:rsid w:val="36837FB7"/>
    <w:rsid w:val="36841B8E"/>
    <w:rsid w:val="368579C2"/>
    <w:rsid w:val="36871EBA"/>
    <w:rsid w:val="36873547"/>
    <w:rsid w:val="368A07E2"/>
    <w:rsid w:val="368B0618"/>
    <w:rsid w:val="368B1F6F"/>
    <w:rsid w:val="368B2080"/>
    <w:rsid w:val="368C1377"/>
    <w:rsid w:val="368F131C"/>
    <w:rsid w:val="368F3028"/>
    <w:rsid w:val="369146CB"/>
    <w:rsid w:val="3691700D"/>
    <w:rsid w:val="36964297"/>
    <w:rsid w:val="36992687"/>
    <w:rsid w:val="369C5A51"/>
    <w:rsid w:val="369D55F4"/>
    <w:rsid w:val="369F76E5"/>
    <w:rsid w:val="36A06006"/>
    <w:rsid w:val="36A1341F"/>
    <w:rsid w:val="36A21730"/>
    <w:rsid w:val="36A218E1"/>
    <w:rsid w:val="36A26224"/>
    <w:rsid w:val="36A30BCA"/>
    <w:rsid w:val="36A329CC"/>
    <w:rsid w:val="36A44210"/>
    <w:rsid w:val="36A66CF2"/>
    <w:rsid w:val="36A67423"/>
    <w:rsid w:val="36A925A0"/>
    <w:rsid w:val="36A935FE"/>
    <w:rsid w:val="36AA64B6"/>
    <w:rsid w:val="36AA6C49"/>
    <w:rsid w:val="36AD7058"/>
    <w:rsid w:val="36AF183A"/>
    <w:rsid w:val="36AF7899"/>
    <w:rsid w:val="36B03F61"/>
    <w:rsid w:val="36B0442F"/>
    <w:rsid w:val="36B045BE"/>
    <w:rsid w:val="36B1183C"/>
    <w:rsid w:val="36B275BF"/>
    <w:rsid w:val="36B30117"/>
    <w:rsid w:val="36B4682D"/>
    <w:rsid w:val="36B54047"/>
    <w:rsid w:val="36B66321"/>
    <w:rsid w:val="36B70D64"/>
    <w:rsid w:val="36B7532D"/>
    <w:rsid w:val="36B96BEA"/>
    <w:rsid w:val="36BF3AF2"/>
    <w:rsid w:val="36C15D9A"/>
    <w:rsid w:val="36C20C92"/>
    <w:rsid w:val="36C272ED"/>
    <w:rsid w:val="36C32849"/>
    <w:rsid w:val="36C36B9F"/>
    <w:rsid w:val="36C64BD2"/>
    <w:rsid w:val="36C65595"/>
    <w:rsid w:val="36C726C3"/>
    <w:rsid w:val="36CA729F"/>
    <w:rsid w:val="36D33EE2"/>
    <w:rsid w:val="36D34385"/>
    <w:rsid w:val="36D36F4E"/>
    <w:rsid w:val="36D76D89"/>
    <w:rsid w:val="36D854F9"/>
    <w:rsid w:val="36D87FB8"/>
    <w:rsid w:val="36DA1089"/>
    <w:rsid w:val="36DA398C"/>
    <w:rsid w:val="36DB31DA"/>
    <w:rsid w:val="36DB36D8"/>
    <w:rsid w:val="36DB539F"/>
    <w:rsid w:val="36E002B2"/>
    <w:rsid w:val="36E134A2"/>
    <w:rsid w:val="36E55CED"/>
    <w:rsid w:val="36E73666"/>
    <w:rsid w:val="36E876A1"/>
    <w:rsid w:val="36E919B8"/>
    <w:rsid w:val="36EB43BD"/>
    <w:rsid w:val="36EC21A0"/>
    <w:rsid w:val="36ED6DA4"/>
    <w:rsid w:val="36EF1E0E"/>
    <w:rsid w:val="36EF48A0"/>
    <w:rsid w:val="36F02AE7"/>
    <w:rsid w:val="36F06ECA"/>
    <w:rsid w:val="36F2713A"/>
    <w:rsid w:val="36F3371A"/>
    <w:rsid w:val="36F44312"/>
    <w:rsid w:val="36F92377"/>
    <w:rsid w:val="36F964AC"/>
    <w:rsid w:val="36F97209"/>
    <w:rsid w:val="36FA1AEB"/>
    <w:rsid w:val="36FC6132"/>
    <w:rsid w:val="36FC66D7"/>
    <w:rsid w:val="36FC694C"/>
    <w:rsid w:val="36FF17FF"/>
    <w:rsid w:val="37006DD4"/>
    <w:rsid w:val="370177FF"/>
    <w:rsid w:val="37017A2F"/>
    <w:rsid w:val="37035942"/>
    <w:rsid w:val="37044CBE"/>
    <w:rsid w:val="3706443D"/>
    <w:rsid w:val="37077755"/>
    <w:rsid w:val="37085F79"/>
    <w:rsid w:val="370B7608"/>
    <w:rsid w:val="370C1895"/>
    <w:rsid w:val="370C2E39"/>
    <w:rsid w:val="370C7969"/>
    <w:rsid w:val="370D1CAD"/>
    <w:rsid w:val="370D3D54"/>
    <w:rsid w:val="370E63A2"/>
    <w:rsid w:val="370F1B95"/>
    <w:rsid w:val="37106957"/>
    <w:rsid w:val="371330BF"/>
    <w:rsid w:val="3713341D"/>
    <w:rsid w:val="371569A7"/>
    <w:rsid w:val="3716745D"/>
    <w:rsid w:val="37171F11"/>
    <w:rsid w:val="37176FC8"/>
    <w:rsid w:val="37196E87"/>
    <w:rsid w:val="371A2D41"/>
    <w:rsid w:val="371A53E9"/>
    <w:rsid w:val="371B7DB4"/>
    <w:rsid w:val="371D41E1"/>
    <w:rsid w:val="37207E9A"/>
    <w:rsid w:val="37210298"/>
    <w:rsid w:val="372272D6"/>
    <w:rsid w:val="372370FA"/>
    <w:rsid w:val="37250AF1"/>
    <w:rsid w:val="37252A35"/>
    <w:rsid w:val="37295E69"/>
    <w:rsid w:val="372A5621"/>
    <w:rsid w:val="372B10E5"/>
    <w:rsid w:val="372F79E3"/>
    <w:rsid w:val="3736715E"/>
    <w:rsid w:val="37394831"/>
    <w:rsid w:val="373A5834"/>
    <w:rsid w:val="373C5AEC"/>
    <w:rsid w:val="373D756C"/>
    <w:rsid w:val="373E7A58"/>
    <w:rsid w:val="37415FA2"/>
    <w:rsid w:val="37417461"/>
    <w:rsid w:val="37437407"/>
    <w:rsid w:val="37446025"/>
    <w:rsid w:val="37453BC1"/>
    <w:rsid w:val="374657CE"/>
    <w:rsid w:val="3746661A"/>
    <w:rsid w:val="37472401"/>
    <w:rsid w:val="37473C3D"/>
    <w:rsid w:val="3748103C"/>
    <w:rsid w:val="37495914"/>
    <w:rsid w:val="374A5293"/>
    <w:rsid w:val="374C6D97"/>
    <w:rsid w:val="374F39EF"/>
    <w:rsid w:val="37502875"/>
    <w:rsid w:val="375073F9"/>
    <w:rsid w:val="37515EDF"/>
    <w:rsid w:val="37521B24"/>
    <w:rsid w:val="375435AE"/>
    <w:rsid w:val="3754518B"/>
    <w:rsid w:val="37551D66"/>
    <w:rsid w:val="37553054"/>
    <w:rsid w:val="37555F05"/>
    <w:rsid w:val="3756594C"/>
    <w:rsid w:val="37575C26"/>
    <w:rsid w:val="37594F22"/>
    <w:rsid w:val="375B6341"/>
    <w:rsid w:val="375D054C"/>
    <w:rsid w:val="375E16B4"/>
    <w:rsid w:val="376165BE"/>
    <w:rsid w:val="3765202C"/>
    <w:rsid w:val="37653556"/>
    <w:rsid w:val="37655F6E"/>
    <w:rsid w:val="37661E16"/>
    <w:rsid w:val="37663E0B"/>
    <w:rsid w:val="37673C5D"/>
    <w:rsid w:val="37683967"/>
    <w:rsid w:val="376A76BB"/>
    <w:rsid w:val="376B3CAE"/>
    <w:rsid w:val="376D266D"/>
    <w:rsid w:val="376D6213"/>
    <w:rsid w:val="376E11C5"/>
    <w:rsid w:val="376F6ABA"/>
    <w:rsid w:val="377204A4"/>
    <w:rsid w:val="37730DF3"/>
    <w:rsid w:val="37734612"/>
    <w:rsid w:val="37740AD2"/>
    <w:rsid w:val="377525F1"/>
    <w:rsid w:val="37772471"/>
    <w:rsid w:val="37797063"/>
    <w:rsid w:val="377B2EAB"/>
    <w:rsid w:val="377C6761"/>
    <w:rsid w:val="377D1B57"/>
    <w:rsid w:val="377E40E1"/>
    <w:rsid w:val="377E60FF"/>
    <w:rsid w:val="37833CB2"/>
    <w:rsid w:val="37871A4A"/>
    <w:rsid w:val="37882973"/>
    <w:rsid w:val="37890390"/>
    <w:rsid w:val="378C4DB5"/>
    <w:rsid w:val="378F12FB"/>
    <w:rsid w:val="37925560"/>
    <w:rsid w:val="37933945"/>
    <w:rsid w:val="37936EAB"/>
    <w:rsid w:val="37953FC1"/>
    <w:rsid w:val="379566E3"/>
    <w:rsid w:val="379643F8"/>
    <w:rsid w:val="379658D4"/>
    <w:rsid w:val="37966EC9"/>
    <w:rsid w:val="379C7548"/>
    <w:rsid w:val="379D2F9C"/>
    <w:rsid w:val="379E4092"/>
    <w:rsid w:val="37A000AD"/>
    <w:rsid w:val="37A018C4"/>
    <w:rsid w:val="37A30E6A"/>
    <w:rsid w:val="37A43A3C"/>
    <w:rsid w:val="37A638B2"/>
    <w:rsid w:val="37A7133A"/>
    <w:rsid w:val="37A77801"/>
    <w:rsid w:val="37AA26C5"/>
    <w:rsid w:val="37AB012D"/>
    <w:rsid w:val="37AC59ED"/>
    <w:rsid w:val="37AD32FC"/>
    <w:rsid w:val="37AD6CD2"/>
    <w:rsid w:val="37AD7627"/>
    <w:rsid w:val="37AE591E"/>
    <w:rsid w:val="37B04F3D"/>
    <w:rsid w:val="37B50B79"/>
    <w:rsid w:val="37B67008"/>
    <w:rsid w:val="37B81AB0"/>
    <w:rsid w:val="37B84EF2"/>
    <w:rsid w:val="37BB5AF3"/>
    <w:rsid w:val="37BC0ADD"/>
    <w:rsid w:val="37BC5D27"/>
    <w:rsid w:val="37BD4837"/>
    <w:rsid w:val="37BD78E6"/>
    <w:rsid w:val="37BE663E"/>
    <w:rsid w:val="37BF5DD0"/>
    <w:rsid w:val="37C53806"/>
    <w:rsid w:val="37C60502"/>
    <w:rsid w:val="37C837D7"/>
    <w:rsid w:val="37C93A8C"/>
    <w:rsid w:val="37CA053E"/>
    <w:rsid w:val="37CA49AD"/>
    <w:rsid w:val="37CA53BB"/>
    <w:rsid w:val="37CC3068"/>
    <w:rsid w:val="37CD2AFD"/>
    <w:rsid w:val="37CE6F03"/>
    <w:rsid w:val="37D039E3"/>
    <w:rsid w:val="37D316A0"/>
    <w:rsid w:val="37D628A2"/>
    <w:rsid w:val="37D9199E"/>
    <w:rsid w:val="37DA0DF7"/>
    <w:rsid w:val="37DB2978"/>
    <w:rsid w:val="37DC0087"/>
    <w:rsid w:val="37E02567"/>
    <w:rsid w:val="37E04B9D"/>
    <w:rsid w:val="37E17FA0"/>
    <w:rsid w:val="37E203F2"/>
    <w:rsid w:val="37E80AB9"/>
    <w:rsid w:val="37E841CD"/>
    <w:rsid w:val="37ED0D5A"/>
    <w:rsid w:val="37EE00AC"/>
    <w:rsid w:val="37EF320F"/>
    <w:rsid w:val="37F34DAD"/>
    <w:rsid w:val="37F3758D"/>
    <w:rsid w:val="37F37F9D"/>
    <w:rsid w:val="37F52C55"/>
    <w:rsid w:val="37F62B8A"/>
    <w:rsid w:val="37F6679E"/>
    <w:rsid w:val="37F66C44"/>
    <w:rsid w:val="37F70F80"/>
    <w:rsid w:val="37FA11D6"/>
    <w:rsid w:val="37FA772F"/>
    <w:rsid w:val="37FD394F"/>
    <w:rsid w:val="37FE3A2A"/>
    <w:rsid w:val="38042A1E"/>
    <w:rsid w:val="38043D27"/>
    <w:rsid w:val="380502A8"/>
    <w:rsid w:val="380938BF"/>
    <w:rsid w:val="380A1797"/>
    <w:rsid w:val="380B157C"/>
    <w:rsid w:val="380D2447"/>
    <w:rsid w:val="380E4A9C"/>
    <w:rsid w:val="380E713A"/>
    <w:rsid w:val="380F46B9"/>
    <w:rsid w:val="381109EB"/>
    <w:rsid w:val="381232E2"/>
    <w:rsid w:val="381625AF"/>
    <w:rsid w:val="381768F0"/>
    <w:rsid w:val="3818118F"/>
    <w:rsid w:val="38190ADB"/>
    <w:rsid w:val="381A7644"/>
    <w:rsid w:val="381C0F56"/>
    <w:rsid w:val="38233019"/>
    <w:rsid w:val="38247EC4"/>
    <w:rsid w:val="38255873"/>
    <w:rsid w:val="3828608E"/>
    <w:rsid w:val="382A0A18"/>
    <w:rsid w:val="382A1804"/>
    <w:rsid w:val="382A3305"/>
    <w:rsid w:val="382A4AF4"/>
    <w:rsid w:val="382B7AE4"/>
    <w:rsid w:val="38312072"/>
    <w:rsid w:val="383261C4"/>
    <w:rsid w:val="38326888"/>
    <w:rsid w:val="38330326"/>
    <w:rsid w:val="38346C92"/>
    <w:rsid w:val="383552D0"/>
    <w:rsid w:val="38363C4E"/>
    <w:rsid w:val="38377F89"/>
    <w:rsid w:val="383C0C3F"/>
    <w:rsid w:val="383D0E78"/>
    <w:rsid w:val="383E10BD"/>
    <w:rsid w:val="383F3D3A"/>
    <w:rsid w:val="3842173F"/>
    <w:rsid w:val="38425A74"/>
    <w:rsid w:val="38430BA3"/>
    <w:rsid w:val="3843119E"/>
    <w:rsid w:val="38455E6B"/>
    <w:rsid w:val="384615CF"/>
    <w:rsid w:val="38463995"/>
    <w:rsid w:val="38480316"/>
    <w:rsid w:val="38494CD8"/>
    <w:rsid w:val="384A66F1"/>
    <w:rsid w:val="384D2A3E"/>
    <w:rsid w:val="384F12B4"/>
    <w:rsid w:val="384F4C3C"/>
    <w:rsid w:val="385015E5"/>
    <w:rsid w:val="38507A73"/>
    <w:rsid w:val="38526B14"/>
    <w:rsid w:val="38557D02"/>
    <w:rsid w:val="385B31A1"/>
    <w:rsid w:val="385C087C"/>
    <w:rsid w:val="385C1101"/>
    <w:rsid w:val="385C517D"/>
    <w:rsid w:val="385E22DF"/>
    <w:rsid w:val="385F620B"/>
    <w:rsid w:val="38623893"/>
    <w:rsid w:val="38626FFE"/>
    <w:rsid w:val="386477F8"/>
    <w:rsid w:val="386508D0"/>
    <w:rsid w:val="38675370"/>
    <w:rsid w:val="386A00FD"/>
    <w:rsid w:val="386E3DAD"/>
    <w:rsid w:val="3870108A"/>
    <w:rsid w:val="3875492B"/>
    <w:rsid w:val="38762301"/>
    <w:rsid w:val="38770821"/>
    <w:rsid w:val="387A045F"/>
    <w:rsid w:val="387C5701"/>
    <w:rsid w:val="388146BB"/>
    <w:rsid w:val="38821435"/>
    <w:rsid w:val="38821669"/>
    <w:rsid w:val="3882507D"/>
    <w:rsid w:val="38840DB5"/>
    <w:rsid w:val="3885536F"/>
    <w:rsid w:val="3885573E"/>
    <w:rsid w:val="38877C74"/>
    <w:rsid w:val="38883845"/>
    <w:rsid w:val="38885074"/>
    <w:rsid w:val="388A277C"/>
    <w:rsid w:val="388A3687"/>
    <w:rsid w:val="388C7118"/>
    <w:rsid w:val="388D40C9"/>
    <w:rsid w:val="388D43E6"/>
    <w:rsid w:val="388F4E65"/>
    <w:rsid w:val="38912E0F"/>
    <w:rsid w:val="38934C66"/>
    <w:rsid w:val="38950245"/>
    <w:rsid w:val="389504E4"/>
    <w:rsid w:val="38962504"/>
    <w:rsid w:val="38962F98"/>
    <w:rsid w:val="3898143C"/>
    <w:rsid w:val="389C461C"/>
    <w:rsid w:val="38A14434"/>
    <w:rsid w:val="38A244C9"/>
    <w:rsid w:val="38A42F16"/>
    <w:rsid w:val="38A478D8"/>
    <w:rsid w:val="38A50622"/>
    <w:rsid w:val="38A772EE"/>
    <w:rsid w:val="38A843FE"/>
    <w:rsid w:val="38AB4F9F"/>
    <w:rsid w:val="38AC0F6E"/>
    <w:rsid w:val="38AE7644"/>
    <w:rsid w:val="38AF0A12"/>
    <w:rsid w:val="38B01C51"/>
    <w:rsid w:val="38B02718"/>
    <w:rsid w:val="38B25178"/>
    <w:rsid w:val="38B57FDF"/>
    <w:rsid w:val="38B613E0"/>
    <w:rsid w:val="38B66631"/>
    <w:rsid w:val="38B76353"/>
    <w:rsid w:val="38B81D64"/>
    <w:rsid w:val="38BA4AA8"/>
    <w:rsid w:val="38BE03CF"/>
    <w:rsid w:val="38BE5B70"/>
    <w:rsid w:val="38C04682"/>
    <w:rsid w:val="38C11C8D"/>
    <w:rsid w:val="38C208F5"/>
    <w:rsid w:val="38C4430D"/>
    <w:rsid w:val="38C6450B"/>
    <w:rsid w:val="38C6581C"/>
    <w:rsid w:val="38C74E72"/>
    <w:rsid w:val="38C77534"/>
    <w:rsid w:val="38CB2FD5"/>
    <w:rsid w:val="38CB3455"/>
    <w:rsid w:val="38D121A0"/>
    <w:rsid w:val="38D20C88"/>
    <w:rsid w:val="38D25402"/>
    <w:rsid w:val="38D2747C"/>
    <w:rsid w:val="38D30391"/>
    <w:rsid w:val="38D5058D"/>
    <w:rsid w:val="38D63865"/>
    <w:rsid w:val="38D641AF"/>
    <w:rsid w:val="38D65F6E"/>
    <w:rsid w:val="38D87ABD"/>
    <w:rsid w:val="38D978F8"/>
    <w:rsid w:val="38DB6483"/>
    <w:rsid w:val="38DC4B56"/>
    <w:rsid w:val="38DC5692"/>
    <w:rsid w:val="38DC747D"/>
    <w:rsid w:val="38DE45BA"/>
    <w:rsid w:val="38DF3CFF"/>
    <w:rsid w:val="38DF7162"/>
    <w:rsid w:val="38E0709D"/>
    <w:rsid w:val="38E11F01"/>
    <w:rsid w:val="38E123C1"/>
    <w:rsid w:val="38E22DC4"/>
    <w:rsid w:val="38E5509D"/>
    <w:rsid w:val="38E971B4"/>
    <w:rsid w:val="38EA4198"/>
    <w:rsid w:val="38EC1338"/>
    <w:rsid w:val="38ED7ECD"/>
    <w:rsid w:val="38F214EF"/>
    <w:rsid w:val="38F37005"/>
    <w:rsid w:val="38F44222"/>
    <w:rsid w:val="38F47EBD"/>
    <w:rsid w:val="38F50684"/>
    <w:rsid w:val="38F5069C"/>
    <w:rsid w:val="38F53BEE"/>
    <w:rsid w:val="38F55693"/>
    <w:rsid w:val="38F6629E"/>
    <w:rsid w:val="38F86CDB"/>
    <w:rsid w:val="38F93F7A"/>
    <w:rsid w:val="38F95A7D"/>
    <w:rsid w:val="38FB4B9B"/>
    <w:rsid w:val="38FD4AB0"/>
    <w:rsid w:val="38FE0C3F"/>
    <w:rsid w:val="38FF13E3"/>
    <w:rsid w:val="38FF2DFE"/>
    <w:rsid w:val="3902099E"/>
    <w:rsid w:val="39080BBE"/>
    <w:rsid w:val="39092843"/>
    <w:rsid w:val="39097F49"/>
    <w:rsid w:val="390A32E8"/>
    <w:rsid w:val="390E47E2"/>
    <w:rsid w:val="391105D9"/>
    <w:rsid w:val="39112650"/>
    <w:rsid w:val="391465DA"/>
    <w:rsid w:val="391533E3"/>
    <w:rsid w:val="39157D44"/>
    <w:rsid w:val="391636B8"/>
    <w:rsid w:val="39166372"/>
    <w:rsid w:val="391721C5"/>
    <w:rsid w:val="39173F26"/>
    <w:rsid w:val="391779F2"/>
    <w:rsid w:val="3918595B"/>
    <w:rsid w:val="3918792F"/>
    <w:rsid w:val="3919022B"/>
    <w:rsid w:val="39190E44"/>
    <w:rsid w:val="39194642"/>
    <w:rsid w:val="391B5FD4"/>
    <w:rsid w:val="391C2036"/>
    <w:rsid w:val="391E3A18"/>
    <w:rsid w:val="39225F1E"/>
    <w:rsid w:val="39233C8C"/>
    <w:rsid w:val="392346F8"/>
    <w:rsid w:val="39237B01"/>
    <w:rsid w:val="39244714"/>
    <w:rsid w:val="3929255B"/>
    <w:rsid w:val="392A76C9"/>
    <w:rsid w:val="392B2F6D"/>
    <w:rsid w:val="392C7059"/>
    <w:rsid w:val="392D1FEB"/>
    <w:rsid w:val="392E2ECA"/>
    <w:rsid w:val="39303985"/>
    <w:rsid w:val="39350EC5"/>
    <w:rsid w:val="39365B5C"/>
    <w:rsid w:val="39371967"/>
    <w:rsid w:val="3937364C"/>
    <w:rsid w:val="39386D86"/>
    <w:rsid w:val="393A5B0A"/>
    <w:rsid w:val="393C4A47"/>
    <w:rsid w:val="393C5450"/>
    <w:rsid w:val="393D5766"/>
    <w:rsid w:val="393E0021"/>
    <w:rsid w:val="393E744E"/>
    <w:rsid w:val="3941425D"/>
    <w:rsid w:val="39455F72"/>
    <w:rsid w:val="39467DBE"/>
    <w:rsid w:val="39472047"/>
    <w:rsid w:val="3947676F"/>
    <w:rsid w:val="394B0345"/>
    <w:rsid w:val="394B7159"/>
    <w:rsid w:val="394C610E"/>
    <w:rsid w:val="394D139F"/>
    <w:rsid w:val="394D716F"/>
    <w:rsid w:val="394E21AD"/>
    <w:rsid w:val="394E75AB"/>
    <w:rsid w:val="394F1203"/>
    <w:rsid w:val="39522FF8"/>
    <w:rsid w:val="395356E3"/>
    <w:rsid w:val="395676BC"/>
    <w:rsid w:val="39574A1B"/>
    <w:rsid w:val="39575A7C"/>
    <w:rsid w:val="395B3117"/>
    <w:rsid w:val="395C0239"/>
    <w:rsid w:val="395E3515"/>
    <w:rsid w:val="395F3C6F"/>
    <w:rsid w:val="39611089"/>
    <w:rsid w:val="39622D3C"/>
    <w:rsid w:val="39622F4E"/>
    <w:rsid w:val="39634632"/>
    <w:rsid w:val="3963466A"/>
    <w:rsid w:val="396445E4"/>
    <w:rsid w:val="39650830"/>
    <w:rsid w:val="396643DD"/>
    <w:rsid w:val="39682F45"/>
    <w:rsid w:val="396C08C9"/>
    <w:rsid w:val="396C0BA9"/>
    <w:rsid w:val="396D4D93"/>
    <w:rsid w:val="396E3522"/>
    <w:rsid w:val="396E4B23"/>
    <w:rsid w:val="396E7133"/>
    <w:rsid w:val="397041F1"/>
    <w:rsid w:val="3975033A"/>
    <w:rsid w:val="39753FF4"/>
    <w:rsid w:val="39757470"/>
    <w:rsid w:val="39760E25"/>
    <w:rsid w:val="3976627D"/>
    <w:rsid w:val="39784B84"/>
    <w:rsid w:val="39787A29"/>
    <w:rsid w:val="39787CC7"/>
    <w:rsid w:val="39793FEB"/>
    <w:rsid w:val="397A12F4"/>
    <w:rsid w:val="397C0568"/>
    <w:rsid w:val="397C559E"/>
    <w:rsid w:val="397F3699"/>
    <w:rsid w:val="397F3743"/>
    <w:rsid w:val="397F4CA0"/>
    <w:rsid w:val="397F4D95"/>
    <w:rsid w:val="39824F6B"/>
    <w:rsid w:val="39834979"/>
    <w:rsid w:val="39850B29"/>
    <w:rsid w:val="39862073"/>
    <w:rsid w:val="3987363E"/>
    <w:rsid w:val="39877A51"/>
    <w:rsid w:val="39880BD7"/>
    <w:rsid w:val="3989398B"/>
    <w:rsid w:val="398A66B4"/>
    <w:rsid w:val="398B22A5"/>
    <w:rsid w:val="398E49A7"/>
    <w:rsid w:val="398F55A0"/>
    <w:rsid w:val="398F6031"/>
    <w:rsid w:val="399077DA"/>
    <w:rsid w:val="39914F09"/>
    <w:rsid w:val="39917371"/>
    <w:rsid w:val="39934696"/>
    <w:rsid w:val="39934977"/>
    <w:rsid w:val="39934DA7"/>
    <w:rsid w:val="39967DBD"/>
    <w:rsid w:val="39976F6F"/>
    <w:rsid w:val="399850C8"/>
    <w:rsid w:val="39986BE9"/>
    <w:rsid w:val="399A0C43"/>
    <w:rsid w:val="399B43E4"/>
    <w:rsid w:val="399C2AEA"/>
    <w:rsid w:val="399C4D2C"/>
    <w:rsid w:val="399D62F2"/>
    <w:rsid w:val="399F6972"/>
    <w:rsid w:val="39A03983"/>
    <w:rsid w:val="39A04F8C"/>
    <w:rsid w:val="39A11699"/>
    <w:rsid w:val="39A163B5"/>
    <w:rsid w:val="39A31225"/>
    <w:rsid w:val="39A32366"/>
    <w:rsid w:val="39A42DD0"/>
    <w:rsid w:val="39A55444"/>
    <w:rsid w:val="39A64254"/>
    <w:rsid w:val="39A92467"/>
    <w:rsid w:val="39AB48DF"/>
    <w:rsid w:val="39AC276E"/>
    <w:rsid w:val="39AF394E"/>
    <w:rsid w:val="39AF48DF"/>
    <w:rsid w:val="39AF6945"/>
    <w:rsid w:val="39AF70F1"/>
    <w:rsid w:val="39B022A1"/>
    <w:rsid w:val="39B22A07"/>
    <w:rsid w:val="39B23A55"/>
    <w:rsid w:val="39B40FA5"/>
    <w:rsid w:val="39B41846"/>
    <w:rsid w:val="39B41C63"/>
    <w:rsid w:val="39B51312"/>
    <w:rsid w:val="39B54C47"/>
    <w:rsid w:val="39B94BFE"/>
    <w:rsid w:val="39B976ED"/>
    <w:rsid w:val="39BD522E"/>
    <w:rsid w:val="39C236CB"/>
    <w:rsid w:val="39C3438F"/>
    <w:rsid w:val="39C45189"/>
    <w:rsid w:val="39C4600C"/>
    <w:rsid w:val="39C60A7B"/>
    <w:rsid w:val="39C6664B"/>
    <w:rsid w:val="39C727EA"/>
    <w:rsid w:val="39C73F36"/>
    <w:rsid w:val="39C90A6F"/>
    <w:rsid w:val="39C91314"/>
    <w:rsid w:val="39C92E6D"/>
    <w:rsid w:val="39CC403D"/>
    <w:rsid w:val="39CC7252"/>
    <w:rsid w:val="39CD0F82"/>
    <w:rsid w:val="39CE4C19"/>
    <w:rsid w:val="39CF5B29"/>
    <w:rsid w:val="39CF77CB"/>
    <w:rsid w:val="39CF77F0"/>
    <w:rsid w:val="39D03532"/>
    <w:rsid w:val="39D06AFE"/>
    <w:rsid w:val="39D36D23"/>
    <w:rsid w:val="39D47694"/>
    <w:rsid w:val="39D62FBF"/>
    <w:rsid w:val="39D7237F"/>
    <w:rsid w:val="39D81DF9"/>
    <w:rsid w:val="39D87AC6"/>
    <w:rsid w:val="39D95126"/>
    <w:rsid w:val="39DA56FB"/>
    <w:rsid w:val="39DA725E"/>
    <w:rsid w:val="39DB6EDF"/>
    <w:rsid w:val="39DE0FF1"/>
    <w:rsid w:val="39DE1766"/>
    <w:rsid w:val="39DF7D42"/>
    <w:rsid w:val="39E245BF"/>
    <w:rsid w:val="39E6415E"/>
    <w:rsid w:val="39E74AD3"/>
    <w:rsid w:val="39E8160C"/>
    <w:rsid w:val="39E939F4"/>
    <w:rsid w:val="39EA5BF5"/>
    <w:rsid w:val="39EA71A8"/>
    <w:rsid w:val="39EB7285"/>
    <w:rsid w:val="39F04FBB"/>
    <w:rsid w:val="39F13EC2"/>
    <w:rsid w:val="39F1406B"/>
    <w:rsid w:val="39F1457C"/>
    <w:rsid w:val="39F30F7C"/>
    <w:rsid w:val="39F40A09"/>
    <w:rsid w:val="39F5754B"/>
    <w:rsid w:val="39F72149"/>
    <w:rsid w:val="39F876AA"/>
    <w:rsid w:val="39FB64D0"/>
    <w:rsid w:val="39FC0A01"/>
    <w:rsid w:val="39FE1392"/>
    <w:rsid w:val="39FF66AF"/>
    <w:rsid w:val="3A010093"/>
    <w:rsid w:val="3A016C04"/>
    <w:rsid w:val="3A022B17"/>
    <w:rsid w:val="3A023730"/>
    <w:rsid w:val="3A025846"/>
    <w:rsid w:val="3A035775"/>
    <w:rsid w:val="3A047442"/>
    <w:rsid w:val="3A054BA8"/>
    <w:rsid w:val="3A09271A"/>
    <w:rsid w:val="3A093C6E"/>
    <w:rsid w:val="3A0A0998"/>
    <w:rsid w:val="3A0B0F6D"/>
    <w:rsid w:val="3A0D54B8"/>
    <w:rsid w:val="3A0E3BBD"/>
    <w:rsid w:val="3A0E774F"/>
    <w:rsid w:val="3A0F0224"/>
    <w:rsid w:val="3A102F9C"/>
    <w:rsid w:val="3A142049"/>
    <w:rsid w:val="3A15131D"/>
    <w:rsid w:val="3A153841"/>
    <w:rsid w:val="3A154D9D"/>
    <w:rsid w:val="3A164529"/>
    <w:rsid w:val="3A184C31"/>
    <w:rsid w:val="3A1A38BB"/>
    <w:rsid w:val="3A1C769D"/>
    <w:rsid w:val="3A1D1498"/>
    <w:rsid w:val="3A1D3758"/>
    <w:rsid w:val="3A1D50EA"/>
    <w:rsid w:val="3A1E1400"/>
    <w:rsid w:val="3A1F2B5B"/>
    <w:rsid w:val="3A2228D4"/>
    <w:rsid w:val="3A260775"/>
    <w:rsid w:val="3A270462"/>
    <w:rsid w:val="3A277630"/>
    <w:rsid w:val="3A28036E"/>
    <w:rsid w:val="3A2819D4"/>
    <w:rsid w:val="3A281BF8"/>
    <w:rsid w:val="3A2A7C53"/>
    <w:rsid w:val="3A2B3408"/>
    <w:rsid w:val="3A2D7188"/>
    <w:rsid w:val="3A2E1381"/>
    <w:rsid w:val="3A335BCD"/>
    <w:rsid w:val="3A341EC5"/>
    <w:rsid w:val="3A3B52B3"/>
    <w:rsid w:val="3A3C024E"/>
    <w:rsid w:val="3A3C0D48"/>
    <w:rsid w:val="3A3C66E9"/>
    <w:rsid w:val="3A3D1ACF"/>
    <w:rsid w:val="3A3E0625"/>
    <w:rsid w:val="3A3E5130"/>
    <w:rsid w:val="3A40450D"/>
    <w:rsid w:val="3A4125AE"/>
    <w:rsid w:val="3A424763"/>
    <w:rsid w:val="3A426AED"/>
    <w:rsid w:val="3A452E4C"/>
    <w:rsid w:val="3A4607A8"/>
    <w:rsid w:val="3A472DC0"/>
    <w:rsid w:val="3A474485"/>
    <w:rsid w:val="3A485553"/>
    <w:rsid w:val="3A4A4544"/>
    <w:rsid w:val="3A4A5174"/>
    <w:rsid w:val="3A4B510A"/>
    <w:rsid w:val="3A4C5DE3"/>
    <w:rsid w:val="3A4C746B"/>
    <w:rsid w:val="3A4E4951"/>
    <w:rsid w:val="3A4E56CB"/>
    <w:rsid w:val="3A4F1A03"/>
    <w:rsid w:val="3A512DF3"/>
    <w:rsid w:val="3A531DDF"/>
    <w:rsid w:val="3A5413CD"/>
    <w:rsid w:val="3A546017"/>
    <w:rsid w:val="3A5639AD"/>
    <w:rsid w:val="3A572752"/>
    <w:rsid w:val="3A58271C"/>
    <w:rsid w:val="3A584BB4"/>
    <w:rsid w:val="3A593658"/>
    <w:rsid w:val="3A5B6C25"/>
    <w:rsid w:val="3A5E0845"/>
    <w:rsid w:val="3A625FBF"/>
    <w:rsid w:val="3A66612B"/>
    <w:rsid w:val="3A67301F"/>
    <w:rsid w:val="3A682C99"/>
    <w:rsid w:val="3A6903A6"/>
    <w:rsid w:val="3A69082A"/>
    <w:rsid w:val="3A6935AD"/>
    <w:rsid w:val="3A6978B1"/>
    <w:rsid w:val="3A6A3F9E"/>
    <w:rsid w:val="3A6B0E28"/>
    <w:rsid w:val="3A6B6806"/>
    <w:rsid w:val="3A6C4669"/>
    <w:rsid w:val="3A6D197D"/>
    <w:rsid w:val="3A6D3E94"/>
    <w:rsid w:val="3A6E7C07"/>
    <w:rsid w:val="3A7049C4"/>
    <w:rsid w:val="3A756653"/>
    <w:rsid w:val="3A7739FD"/>
    <w:rsid w:val="3A7C0004"/>
    <w:rsid w:val="3A7E265E"/>
    <w:rsid w:val="3A8072FA"/>
    <w:rsid w:val="3A8115B3"/>
    <w:rsid w:val="3A817789"/>
    <w:rsid w:val="3A817909"/>
    <w:rsid w:val="3A8279A9"/>
    <w:rsid w:val="3A84770B"/>
    <w:rsid w:val="3A86120C"/>
    <w:rsid w:val="3A870E33"/>
    <w:rsid w:val="3A8A175F"/>
    <w:rsid w:val="3A8B0DEA"/>
    <w:rsid w:val="3A8B5E77"/>
    <w:rsid w:val="3A8C603B"/>
    <w:rsid w:val="3A8E48ED"/>
    <w:rsid w:val="3A903B11"/>
    <w:rsid w:val="3A906B44"/>
    <w:rsid w:val="3A944ACE"/>
    <w:rsid w:val="3A965904"/>
    <w:rsid w:val="3A995359"/>
    <w:rsid w:val="3A9B6697"/>
    <w:rsid w:val="3A9C0B18"/>
    <w:rsid w:val="3A9C130B"/>
    <w:rsid w:val="3A9D4F97"/>
    <w:rsid w:val="3AA10744"/>
    <w:rsid w:val="3AA130D9"/>
    <w:rsid w:val="3AA17E34"/>
    <w:rsid w:val="3AA772BE"/>
    <w:rsid w:val="3AA80C96"/>
    <w:rsid w:val="3AA94E9C"/>
    <w:rsid w:val="3AAA2421"/>
    <w:rsid w:val="3AAB0031"/>
    <w:rsid w:val="3AAB0F73"/>
    <w:rsid w:val="3AAE0610"/>
    <w:rsid w:val="3AAE0B25"/>
    <w:rsid w:val="3AAF54C8"/>
    <w:rsid w:val="3AB03C8A"/>
    <w:rsid w:val="3AB0501B"/>
    <w:rsid w:val="3AB5321D"/>
    <w:rsid w:val="3AB57657"/>
    <w:rsid w:val="3AB60D36"/>
    <w:rsid w:val="3AB64778"/>
    <w:rsid w:val="3AB65855"/>
    <w:rsid w:val="3AB66BF0"/>
    <w:rsid w:val="3AB77C99"/>
    <w:rsid w:val="3AB96302"/>
    <w:rsid w:val="3ABA7329"/>
    <w:rsid w:val="3ABC12AD"/>
    <w:rsid w:val="3ABC334D"/>
    <w:rsid w:val="3ABD16F8"/>
    <w:rsid w:val="3ABD41A9"/>
    <w:rsid w:val="3ABE14AB"/>
    <w:rsid w:val="3ABE483A"/>
    <w:rsid w:val="3ABF32DD"/>
    <w:rsid w:val="3AC71926"/>
    <w:rsid w:val="3AC87EBA"/>
    <w:rsid w:val="3ACA4B11"/>
    <w:rsid w:val="3ACB08B1"/>
    <w:rsid w:val="3ACB4C6D"/>
    <w:rsid w:val="3AD0376C"/>
    <w:rsid w:val="3AD10C11"/>
    <w:rsid w:val="3AD24D7F"/>
    <w:rsid w:val="3AD5269A"/>
    <w:rsid w:val="3AD754C8"/>
    <w:rsid w:val="3AD93EEB"/>
    <w:rsid w:val="3ADB4690"/>
    <w:rsid w:val="3ADC1DB1"/>
    <w:rsid w:val="3ADD50C4"/>
    <w:rsid w:val="3ADF0463"/>
    <w:rsid w:val="3ADF56B7"/>
    <w:rsid w:val="3AE065C8"/>
    <w:rsid w:val="3AE17DDD"/>
    <w:rsid w:val="3AE412CB"/>
    <w:rsid w:val="3AE64CB9"/>
    <w:rsid w:val="3AE66FF8"/>
    <w:rsid w:val="3AE85FBE"/>
    <w:rsid w:val="3AE93850"/>
    <w:rsid w:val="3AEA1350"/>
    <w:rsid w:val="3AEC5648"/>
    <w:rsid w:val="3AEC628E"/>
    <w:rsid w:val="3AED5ECA"/>
    <w:rsid w:val="3AEE01E8"/>
    <w:rsid w:val="3AEE0F4B"/>
    <w:rsid w:val="3AEE3CF6"/>
    <w:rsid w:val="3AEF07AB"/>
    <w:rsid w:val="3AEF0D3D"/>
    <w:rsid w:val="3AEF18FC"/>
    <w:rsid w:val="3AF51750"/>
    <w:rsid w:val="3AF82166"/>
    <w:rsid w:val="3AF94F05"/>
    <w:rsid w:val="3AFA2D57"/>
    <w:rsid w:val="3AFD17A0"/>
    <w:rsid w:val="3AFD45E5"/>
    <w:rsid w:val="3AFD52A2"/>
    <w:rsid w:val="3B007057"/>
    <w:rsid w:val="3B01165E"/>
    <w:rsid w:val="3B02480F"/>
    <w:rsid w:val="3B025F66"/>
    <w:rsid w:val="3B0B5371"/>
    <w:rsid w:val="3B0D10C0"/>
    <w:rsid w:val="3B0D4FBC"/>
    <w:rsid w:val="3B0E50D4"/>
    <w:rsid w:val="3B10486A"/>
    <w:rsid w:val="3B1117F8"/>
    <w:rsid w:val="3B116782"/>
    <w:rsid w:val="3B120652"/>
    <w:rsid w:val="3B1207A5"/>
    <w:rsid w:val="3B1308C2"/>
    <w:rsid w:val="3B13476F"/>
    <w:rsid w:val="3B141A1D"/>
    <w:rsid w:val="3B152BEE"/>
    <w:rsid w:val="3B153C87"/>
    <w:rsid w:val="3B155B04"/>
    <w:rsid w:val="3B16425A"/>
    <w:rsid w:val="3B181314"/>
    <w:rsid w:val="3B18146D"/>
    <w:rsid w:val="3B1C7662"/>
    <w:rsid w:val="3B1D4729"/>
    <w:rsid w:val="3B1E6965"/>
    <w:rsid w:val="3B1F0A8A"/>
    <w:rsid w:val="3B1F1A3A"/>
    <w:rsid w:val="3B1F7EAF"/>
    <w:rsid w:val="3B227C8D"/>
    <w:rsid w:val="3B256E90"/>
    <w:rsid w:val="3B267499"/>
    <w:rsid w:val="3B281313"/>
    <w:rsid w:val="3B292615"/>
    <w:rsid w:val="3B2A0A88"/>
    <w:rsid w:val="3B2C02E3"/>
    <w:rsid w:val="3B2D17DA"/>
    <w:rsid w:val="3B2D60F9"/>
    <w:rsid w:val="3B2E0C48"/>
    <w:rsid w:val="3B2F1B2D"/>
    <w:rsid w:val="3B2F5D77"/>
    <w:rsid w:val="3B3074E9"/>
    <w:rsid w:val="3B320CCE"/>
    <w:rsid w:val="3B327E8B"/>
    <w:rsid w:val="3B341980"/>
    <w:rsid w:val="3B344EE4"/>
    <w:rsid w:val="3B3718F9"/>
    <w:rsid w:val="3B373364"/>
    <w:rsid w:val="3B380E48"/>
    <w:rsid w:val="3B38352A"/>
    <w:rsid w:val="3B38565E"/>
    <w:rsid w:val="3B3936F4"/>
    <w:rsid w:val="3B3A1E5D"/>
    <w:rsid w:val="3B3E602F"/>
    <w:rsid w:val="3B41624C"/>
    <w:rsid w:val="3B4871F0"/>
    <w:rsid w:val="3B487F0E"/>
    <w:rsid w:val="3B4A0BB1"/>
    <w:rsid w:val="3B4A6109"/>
    <w:rsid w:val="3B4C15A7"/>
    <w:rsid w:val="3B4C70CD"/>
    <w:rsid w:val="3B4D14F2"/>
    <w:rsid w:val="3B4D57BD"/>
    <w:rsid w:val="3B4E7A9C"/>
    <w:rsid w:val="3B4F3A3D"/>
    <w:rsid w:val="3B500E7D"/>
    <w:rsid w:val="3B504F57"/>
    <w:rsid w:val="3B521EC1"/>
    <w:rsid w:val="3B536013"/>
    <w:rsid w:val="3B553262"/>
    <w:rsid w:val="3B557483"/>
    <w:rsid w:val="3B563FD9"/>
    <w:rsid w:val="3B5764AD"/>
    <w:rsid w:val="3B5974D2"/>
    <w:rsid w:val="3B5A4E91"/>
    <w:rsid w:val="3B5A684D"/>
    <w:rsid w:val="3B620B88"/>
    <w:rsid w:val="3B620C72"/>
    <w:rsid w:val="3B647513"/>
    <w:rsid w:val="3B6636A3"/>
    <w:rsid w:val="3B66652E"/>
    <w:rsid w:val="3B6709DB"/>
    <w:rsid w:val="3B67305B"/>
    <w:rsid w:val="3B684E94"/>
    <w:rsid w:val="3B6B2FC6"/>
    <w:rsid w:val="3B6F3AFD"/>
    <w:rsid w:val="3B703E6D"/>
    <w:rsid w:val="3B7163FF"/>
    <w:rsid w:val="3B7330AA"/>
    <w:rsid w:val="3B751B3E"/>
    <w:rsid w:val="3B752495"/>
    <w:rsid w:val="3B7601E9"/>
    <w:rsid w:val="3B7711A6"/>
    <w:rsid w:val="3B794E37"/>
    <w:rsid w:val="3B7E2EB8"/>
    <w:rsid w:val="3B7E5E29"/>
    <w:rsid w:val="3B801358"/>
    <w:rsid w:val="3B8060A5"/>
    <w:rsid w:val="3B8307CE"/>
    <w:rsid w:val="3B85545B"/>
    <w:rsid w:val="3B8738F6"/>
    <w:rsid w:val="3B880956"/>
    <w:rsid w:val="3B8B5194"/>
    <w:rsid w:val="3B8C5C70"/>
    <w:rsid w:val="3B8D3C16"/>
    <w:rsid w:val="3B8D65A2"/>
    <w:rsid w:val="3B8F12D8"/>
    <w:rsid w:val="3B911235"/>
    <w:rsid w:val="3B931BD4"/>
    <w:rsid w:val="3B967E18"/>
    <w:rsid w:val="3B97493B"/>
    <w:rsid w:val="3B985063"/>
    <w:rsid w:val="3B987675"/>
    <w:rsid w:val="3B994D02"/>
    <w:rsid w:val="3B997E6D"/>
    <w:rsid w:val="3B9B3EC3"/>
    <w:rsid w:val="3B9D2620"/>
    <w:rsid w:val="3B9E1EE6"/>
    <w:rsid w:val="3B9F0806"/>
    <w:rsid w:val="3B9F290D"/>
    <w:rsid w:val="3B9F4647"/>
    <w:rsid w:val="3BA41A62"/>
    <w:rsid w:val="3BA45751"/>
    <w:rsid w:val="3BA85A74"/>
    <w:rsid w:val="3BAA218D"/>
    <w:rsid w:val="3BAB48FE"/>
    <w:rsid w:val="3BAF4542"/>
    <w:rsid w:val="3BB029F1"/>
    <w:rsid w:val="3BB2224C"/>
    <w:rsid w:val="3BB37B9A"/>
    <w:rsid w:val="3BB44EBF"/>
    <w:rsid w:val="3BB96ADD"/>
    <w:rsid w:val="3BBC09AA"/>
    <w:rsid w:val="3BBC69BE"/>
    <w:rsid w:val="3BC22B5D"/>
    <w:rsid w:val="3BC25E8F"/>
    <w:rsid w:val="3BC46DFE"/>
    <w:rsid w:val="3BC55C77"/>
    <w:rsid w:val="3BC60240"/>
    <w:rsid w:val="3BC65A4D"/>
    <w:rsid w:val="3BC8133E"/>
    <w:rsid w:val="3BC87D6F"/>
    <w:rsid w:val="3BC94153"/>
    <w:rsid w:val="3BCA78C9"/>
    <w:rsid w:val="3BCB0792"/>
    <w:rsid w:val="3BCB60F4"/>
    <w:rsid w:val="3BCD00BB"/>
    <w:rsid w:val="3BCE1F91"/>
    <w:rsid w:val="3BD0267B"/>
    <w:rsid w:val="3BD526A9"/>
    <w:rsid w:val="3BD70B54"/>
    <w:rsid w:val="3BDA1716"/>
    <w:rsid w:val="3BDA2A52"/>
    <w:rsid w:val="3BDA7FAB"/>
    <w:rsid w:val="3BDC66DD"/>
    <w:rsid w:val="3BDD5FC5"/>
    <w:rsid w:val="3BDD648B"/>
    <w:rsid w:val="3BDE5D9C"/>
    <w:rsid w:val="3BDF3B83"/>
    <w:rsid w:val="3BE046E3"/>
    <w:rsid w:val="3BE0633B"/>
    <w:rsid w:val="3BE113D1"/>
    <w:rsid w:val="3BE301A2"/>
    <w:rsid w:val="3BE46941"/>
    <w:rsid w:val="3BE9281A"/>
    <w:rsid w:val="3BE9767A"/>
    <w:rsid w:val="3BEB35C6"/>
    <w:rsid w:val="3BEC6CB0"/>
    <w:rsid w:val="3BED1486"/>
    <w:rsid w:val="3BEE1787"/>
    <w:rsid w:val="3BEF09E7"/>
    <w:rsid w:val="3BEF2331"/>
    <w:rsid w:val="3BEF31E2"/>
    <w:rsid w:val="3BF00707"/>
    <w:rsid w:val="3BF0291E"/>
    <w:rsid w:val="3BF07973"/>
    <w:rsid w:val="3BF230D9"/>
    <w:rsid w:val="3BF23529"/>
    <w:rsid w:val="3BF36D9C"/>
    <w:rsid w:val="3BF40BE3"/>
    <w:rsid w:val="3BF41ECF"/>
    <w:rsid w:val="3BF467A8"/>
    <w:rsid w:val="3BF610D1"/>
    <w:rsid w:val="3BF85341"/>
    <w:rsid w:val="3BF95521"/>
    <w:rsid w:val="3BFD3A99"/>
    <w:rsid w:val="3BFD60EC"/>
    <w:rsid w:val="3BFE050A"/>
    <w:rsid w:val="3BFF555E"/>
    <w:rsid w:val="3C0050F0"/>
    <w:rsid w:val="3C011514"/>
    <w:rsid w:val="3C0273E8"/>
    <w:rsid w:val="3C0407F5"/>
    <w:rsid w:val="3C045CA3"/>
    <w:rsid w:val="3C062393"/>
    <w:rsid w:val="3C0879E7"/>
    <w:rsid w:val="3C0E3559"/>
    <w:rsid w:val="3C107AA2"/>
    <w:rsid w:val="3C1122E5"/>
    <w:rsid w:val="3C1339C6"/>
    <w:rsid w:val="3C170119"/>
    <w:rsid w:val="3C170D95"/>
    <w:rsid w:val="3C18336E"/>
    <w:rsid w:val="3C1A2232"/>
    <w:rsid w:val="3C1B07C5"/>
    <w:rsid w:val="3C1B0AA5"/>
    <w:rsid w:val="3C1F524A"/>
    <w:rsid w:val="3C203111"/>
    <w:rsid w:val="3C206F9B"/>
    <w:rsid w:val="3C253A7A"/>
    <w:rsid w:val="3C2554C8"/>
    <w:rsid w:val="3C2601C2"/>
    <w:rsid w:val="3C27028D"/>
    <w:rsid w:val="3C270752"/>
    <w:rsid w:val="3C27763B"/>
    <w:rsid w:val="3C2865F1"/>
    <w:rsid w:val="3C291CC6"/>
    <w:rsid w:val="3C30180C"/>
    <w:rsid w:val="3C302A6E"/>
    <w:rsid w:val="3C314D64"/>
    <w:rsid w:val="3C3225EA"/>
    <w:rsid w:val="3C3301B5"/>
    <w:rsid w:val="3C33222E"/>
    <w:rsid w:val="3C3467E4"/>
    <w:rsid w:val="3C3577C8"/>
    <w:rsid w:val="3C372764"/>
    <w:rsid w:val="3C3A44E8"/>
    <w:rsid w:val="3C3D7C84"/>
    <w:rsid w:val="3C3E6AD5"/>
    <w:rsid w:val="3C3F3AF2"/>
    <w:rsid w:val="3C4175C5"/>
    <w:rsid w:val="3C424321"/>
    <w:rsid w:val="3C442B82"/>
    <w:rsid w:val="3C450273"/>
    <w:rsid w:val="3C45386D"/>
    <w:rsid w:val="3C4A4B91"/>
    <w:rsid w:val="3C4B2691"/>
    <w:rsid w:val="3C4D4FD8"/>
    <w:rsid w:val="3C4E600F"/>
    <w:rsid w:val="3C532C0D"/>
    <w:rsid w:val="3C544800"/>
    <w:rsid w:val="3C546604"/>
    <w:rsid w:val="3C5532D2"/>
    <w:rsid w:val="3C553C3E"/>
    <w:rsid w:val="3C566A8D"/>
    <w:rsid w:val="3C59222D"/>
    <w:rsid w:val="3C594DFC"/>
    <w:rsid w:val="3C5B19AC"/>
    <w:rsid w:val="3C5C17D8"/>
    <w:rsid w:val="3C5C387D"/>
    <w:rsid w:val="3C6200A0"/>
    <w:rsid w:val="3C646260"/>
    <w:rsid w:val="3C6511FE"/>
    <w:rsid w:val="3C691CB3"/>
    <w:rsid w:val="3C6A2035"/>
    <w:rsid w:val="3C6A7B37"/>
    <w:rsid w:val="3C6B3AF8"/>
    <w:rsid w:val="3C6B53AF"/>
    <w:rsid w:val="3C6E408B"/>
    <w:rsid w:val="3C6E4D9D"/>
    <w:rsid w:val="3C703C86"/>
    <w:rsid w:val="3C707698"/>
    <w:rsid w:val="3C725B67"/>
    <w:rsid w:val="3C732BA0"/>
    <w:rsid w:val="3C753D6C"/>
    <w:rsid w:val="3C777621"/>
    <w:rsid w:val="3C781ABD"/>
    <w:rsid w:val="3C7A6187"/>
    <w:rsid w:val="3C7B2ABB"/>
    <w:rsid w:val="3C7B6F43"/>
    <w:rsid w:val="3C7B75B2"/>
    <w:rsid w:val="3C7C0AE2"/>
    <w:rsid w:val="3C7C4B72"/>
    <w:rsid w:val="3C7D357F"/>
    <w:rsid w:val="3C7D72E1"/>
    <w:rsid w:val="3C8001AD"/>
    <w:rsid w:val="3C824CFC"/>
    <w:rsid w:val="3C8334EB"/>
    <w:rsid w:val="3C856297"/>
    <w:rsid w:val="3C867C05"/>
    <w:rsid w:val="3C8707DC"/>
    <w:rsid w:val="3C876216"/>
    <w:rsid w:val="3C8863CE"/>
    <w:rsid w:val="3C8A66BE"/>
    <w:rsid w:val="3C8B264E"/>
    <w:rsid w:val="3C8C0F33"/>
    <w:rsid w:val="3C8F671D"/>
    <w:rsid w:val="3C8F7C72"/>
    <w:rsid w:val="3C910FE7"/>
    <w:rsid w:val="3C9146D2"/>
    <w:rsid w:val="3C922704"/>
    <w:rsid w:val="3C925309"/>
    <w:rsid w:val="3C955A5A"/>
    <w:rsid w:val="3C957E8F"/>
    <w:rsid w:val="3C962C41"/>
    <w:rsid w:val="3C9839B5"/>
    <w:rsid w:val="3C984DEC"/>
    <w:rsid w:val="3C9A5771"/>
    <w:rsid w:val="3C9C21C2"/>
    <w:rsid w:val="3C9C6F8D"/>
    <w:rsid w:val="3CA11794"/>
    <w:rsid w:val="3CA33A70"/>
    <w:rsid w:val="3CA57182"/>
    <w:rsid w:val="3CA8740D"/>
    <w:rsid w:val="3CAB1BE1"/>
    <w:rsid w:val="3CAB5F1F"/>
    <w:rsid w:val="3CAD2498"/>
    <w:rsid w:val="3CAE6626"/>
    <w:rsid w:val="3CB0033A"/>
    <w:rsid w:val="3CB01E40"/>
    <w:rsid w:val="3CB1427B"/>
    <w:rsid w:val="3CB23C05"/>
    <w:rsid w:val="3CB356BE"/>
    <w:rsid w:val="3CB36C61"/>
    <w:rsid w:val="3CB45D38"/>
    <w:rsid w:val="3CB4687F"/>
    <w:rsid w:val="3CB609B5"/>
    <w:rsid w:val="3CB63383"/>
    <w:rsid w:val="3CB741A9"/>
    <w:rsid w:val="3CBB4EE0"/>
    <w:rsid w:val="3CBB680A"/>
    <w:rsid w:val="3CBF0FEE"/>
    <w:rsid w:val="3CC013F8"/>
    <w:rsid w:val="3CC12709"/>
    <w:rsid w:val="3CC22DF4"/>
    <w:rsid w:val="3CC275FE"/>
    <w:rsid w:val="3CC50178"/>
    <w:rsid w:val="3CC54678"/>
    <w:rsid w:val="3CC662BC"/>
    <w:rsid w:val="3CC85A79"/>
    <w:rsid w:val="3CCB0DD4"/>
    <w:rsid w:val="3CCC6EDA"/>
    <w:rsid w:val="3CCD7C81"/>
    <w:rsid w:val="3CCE5303"/>
    <w:rsid w:val="3CCF7415"/>
    <w:rsid w:val="3CD05819"/>
    <w:rsid w:val="3CD13702"/>
    <w:rsid w:val="3CD2100A"/>
    <w:rsid w:val="3CD31CC1"/>
    <w:rsid w:val="3CD53DA3"/>
    <w:rsid w:val="3CD67F4A"/>
    <w:rsid w:val="3CD80068"/>
    <w:rsid w:val="3CDA1120"/>
    <w:rsid w:val="3CDA3C14"/>
    <w:rsid w:val="3CDD79DF"/>
    <w:rsid w:val="3CDE15D0"/>
    <w:rsid w:val="3CE10C68"/>
    <w:rsid w:val="3CE158CB"/>
    <w:rsid w:val="3CE160CF"/>
    <w:rsid w:val="3CE20F4A"/>
    <w:rsid w:val="3CE22668"/>
    <w:rsid w:val="3CE26CDF"/>
    <w:rsid w:val="3CE45F4D"/>
    <w:rsid w:val="3CE5619A"/>
    <w:rsid w:val="3CE5784D"/>
    <w:rsid w:val="3CE657EE"/>
    <w:rsid w:val="3CE87210"/>
    <w:rsid w:val="3CEB4D9D"/>
    <w:rsid w:val="3CEC0556"/>
    <w:rsid w:val="3CEE4C38"/>
    <w:rsid w:val="3CEF1F42"/>
    <w:rsid w:val="3CEF6AB0"/>
    <w:rsid w:val="3CF00B72"/>
    <w:rsid w:val="3CF15637"/>
    <w:rsid w:val="3CF20842"/>
    <w:rsid w:val="3CF412EA"/>
    <w:rsid w:val="3CF47D44"/>
    <w:rsid w:val="3CF70FC5"/>
    <w:rsid w:val="3CF833A7"/>
    <w:rsid w:val="3CF97384"/>
    <w:rsid w:val="3CFB5BD1"/>
    <w:rsid w:val="3CFC36D6"/>
    <w:rsid w:val="3CFD6EB5"/>
    <w:rsid w:val="3CFF162C"/>
    <w:rsid w:val="3CFF2ED0"/>
    <w:rsid w:val="3CFF52B1"/>
    <w:rsid w:val="3CFF554C"/>
    <w:rsid w:val="3CFF611C"/>
    <w:rsid w:val="3D01184D"/>
    <w:rsid w:val="3D031361"/>
    <w:rsid w:val="3D053084"/>
    <w:rsid w:val="3D062A93"/>
    <w:rsid w:val="3D087846"/>
    <w:rsid w:val="3D0947F8"/>
    <w:rsid w:val="3D0A582D"/>
    <w:rsid w:val="3D0C6501"/>
    <w:rsid w:val="3D0D4C39"/>
    <w:rsid w:val="3D0D7128"/>
    <w:rsid w:val="3D0E4F87"/>
    <w:rsid w:val="3D104D9B"/>
    <w:rsid w:val="3D11152C"/>
    <w:rsid w:val="3D1128A1"/>
    <w:rsid w:val="3D1172E0"/>
    <w:rsid w:val="3D121A5C"/>
    <w:rsid w:val="3D121D27"/>
    <w:rsid w:val="3D133B14"/>
    <w:rsid w:val="3D1360B1"/>
    <w:rsid w:val="3D1612A8"/>
    <w:rsid w:val="3D161FF3"/>
    <w:rsid w:val="3D18612E"/>
    <w:rsid w:val="3D1A1C6B"/>
    <w:rsid w:val="3D1C0DF7"/>
    <w:rsid w:val="3D1D3C5A"/>
    <w:rsid w:val="3D1E4BCF"/>
    <w:rsid w:val="3D1E68D4"/>
    <w:rsid w:val="3D1E6CE2"/>
    <w:rsid w:val="3D200164"/>
    <w:rsid w:val="3D224DC7"/>
    <w:rsid w:val="3D273EB1"/>
    <w:rsid w:val="3D27667C"/>
    <w:rsid w:val="3D28512D"/>
    <w:rsid w:val="3D2C2F08"/>
    <w:rsid w:val="3D2D4FB1"/>
    <w:rsid w:val="3D2E5C7A"/>
    <w:rsid w:val="3D3054EB"/>
    <w:rsid w:val="3D311238"/>
    <w:rsid w:val="3D31128B"/>
    <w:rsid w:val="3D32098E"/>
    <w:rsid w:val="3D3416C7"/>
    <w:rsid w:val="3D355363"/>
    <w:rsid w:val="3D3610A7"/>
    <w:rsid w:val="3D375896"/>
    <w:rsid w:val="3D397362"/>
    <w:rsid w:val="3D3A738D"/>
    <w:rsid w:val="3D3C519A"/>
    <w:rsid w:val="3D3E3410"/>
    <w:rsid w:val="3D4124A5"/>
    <w:rsid w:val="3D480B19"/>
    <w:rsid w:val="3D485983"/>
    <w:rsid w:val="3D491F81"/>
    <w:rsid w:val="3D495BA5"/>
    <w:rsid w:val="3D4A02A2"/>
    <w:rsid w:val="3D4A0663"/>
    <w:rsid w:val="3D4A2E02"/>
    <w:rsid w:val="3D4A3F93"/>
    <w:rsid w:val="3D4A6A4E"/>
    <w:rsid w:val="3D4B366E"/>
    <w:rsid w:val="3D4B5BFA"/>
    <w:rsid w:val="3D50526A"/>
    <w:rsid w:val="3D5156E3"/>
    <w:rsid w:val="3D5210C4"/>
    <w:rsid w:val="3D537FB7"/>
    <w:rsid w:val="3D546E21"/>
    <w:rsid w:val="3D547371"/>
    <w:rsid w:val="3D551190"/>
    <w:rsid w:val="3D5544C3"/>
    <w:rsid w:val="3D565B10"/>
    <w:rsid w:val="3D5A1C59"/>
    <w:rsid w:val="3D5A3E13"/>
    <w:rsid w:val="3D5A7635"/>
    <w:rsid w:val="3D617110"/>
    <w:rsid w:val="3D626F3A"/>
    <w:rsid w:val="3D654EF4"/>
    <w:rsid w:val="3D666C8C"/>
    <w:rsid w:val="3D6720A3"/>
    <w:rsid w:val="3D6806BB"/>
    <w:rsid w:val="3D692B81"/>
    <w:rsid w:val="3D69398D"/>
    <w:rsid w:val="3D6953F7"/>
    <w:rsid w:val="3D6A0E7B"/>
    <w:rsid w:val="3D6C074C"/>
    <w:rsid w:val="3D6E502E"/>
    <w:rsid w:val="3D6E7038"/>
    <w:rsid w:val="3D6F090D"/>
    <w:rsid w:val="3D6F4468"/>
    <w:rsid w:val="3D6F7604"/>
    <w:rsid w:val="3D6F7F8E"/>
    <w:rsid w:val="3D7033B0"/>
    <w:rsid w:val="3D7121AF"/>
    <w:rsid w:val="3D7375BA"/>
    <w:rsid w:val="3D76045C"/>
    <w:rsid w:val="3D762B09"/>
    <w:rsid w:val="3D7943F2"/>
    <w:rsid w:val="3D795819"/>
    <w:rsid w:val="3D7B1D58"/>
    <w:rsid w:val="3D7B6AC1"/>
    <w:rsid w:val="3D7E0B0C"/>
    <w:rsid w:val="3D7E2678"/>
    <w:rsid w:val="3D7F5C04"/>
    <w:rsid w:val="3D8251E2"/>
    <w:rsid w:val="3D833873"/>
    <w:rsid w:val="3D840C0C"/>
    <w:rsid w:val="3D882DE8"/>
    <w:rsid w:val="3D8B12C6"/>
    <w:rsid w:val="3D8B476D"/>
    <w:rsid w:val="3D8B5308"/>
    <w:rsid w:val="3D8D1724"/>
    <w:rsid w:val="3D8D480A"/>
    <w:rsid w:val="3D8E08CC"/>
    <w:rsid w:val="3D8F33AF"/>
    <w:rsid w:val="3D9129DB"/>
    <w:rsid w:val="3D9134EA"/>
    <w:rsid w:val="3D934AEC"/>
    <w:rsid w:val="3D943834"/>
    <w:rsid w:val="3D9624AC"/>
    <w:rsid w:val="3D963B20"/>
    <w:rsid w:val="3D965F56"/>
    <w:rsid w:val="3D9813F1"/>
    <w:rsid w:val="3D9E7849"/>
    <w:rsid w:val="3DA03EAF"/>
    <w:rsid w:val="3DA14654"/>
    <w:rsid w:val="3DA3159E"/>
    <w:rsid w:val="3DA52F0C"/>
    <w:rsid w:val="3DA55B54"/>
    <w:rsid w:val="3DA7165D"/>
    <w:rsid w:val="3DA72B3F"/>
    <w:rsid w:val="3DA77566"/>
    <w:rsid w:val="3DA84870"/>
    <w:rsid w:val="3DA97270"/>
    <w:rsid w:val="3DAA6260"/>
    <w:rsid w:val="3DAB5273"/>
    <w:rsid w:val="3DAC7D86"/>
    <w:rsid w:val="3DAD3E06"/>
    <w:rsid w:val="3DB03414"/>
    <w:rsid w:val="3DB06C52"/>
    <w:rsid w:val="3DB24DD6"/>
    <w:rsid w:val="3DB422B9"/>
    <w:rsid w:val="3DB77376"/>
    <w:rsid w:val="3DB81478"/>
    <w:rsid w:val="3DB83FCF"/>
    <w:rsid w:val="3DBA66C7"/>
    <w:rsid w:val="3DBB0352"/>
    <w:rsid w:val="3DBE7936"/>
    <w:rsid w:val="3DC14DB8"/>
    <w:rsid w:val="3DC15868"/>
    <w:rsid w:val="3DC23E8F"/>
    <w:rsid w:val="3DC34616"/>
    <w:rsid w:val="3DC61E96"/>
    <w:rsid w:val="3DC67F88"/>
    <w:rsid w:val="3DC85463"/>
    <w:rsid w:val="3DC901BB"/>
    <w:rsid w:val="3DC90861"/>
    <w:rsid w:val="3DCA0CC3"/>
    <w:rsid w:val="3DCA589F"/>
    <w:rsid w:val="3DCA5B83"/>
    <w:rsid w:val="3DCD18BF"/>
    <w:rsid w:val="3DCE5A7F"/>
    <w:rsid w:val="3DCF63EF"/>
    <w:rsid w:val="3DD164B6"/>
    <w:rsid w:val="3DD16F6C"/>
    <w:rsid w:val="3DD205AB"/>
    <w:rsid w:val="3DD25A9F"/>
    <w:rsid w:val="3DD32A2C"/>
    <w:rsid w:val="3DD32E26"/>
    <w:rsid w:val="3DD53C39"/>
    <w:rsid w:val="3DD60DC0"/>
    <w:rsid w:val="3DD71E79"/>
    <w:rsid w:val="3DDA2BC9"/>
    <w:rsid w:val="3DDC07DA"/>
    <w:rsid w:val="3DDF2915"/>
    <w:rsid w:val="3DDF3B7A"/>
    <w:rsid w:val="3DDF6E18"/>
    <w:rsid w:val="3DE02DF3"/>
    <w:rsid w:val="3DE14615"/>
    <w:rsid w:val="3DE34289"/>
    <w:rsid w:val="3DE60609"/>
    <w:rsid w:val="3DE728EE"/>
    <w:rsid w:val="3DE7501C"/>
    <w:rsid w:val="3DE865A9"/>
    <w:rsid w:val="3DE9068B"/>
    <w:rsid w:val="3DE94288"/>
    <w:rsid w:val="3DE97353"/>
    <w:rsid w:val="3DEB0445"/>
    <w:rsid w:val="3DEB7831"/>
    <w:rsid w:val="3DEC30AC"/>
    <w:rsid w:val="3DEC45F3"/>
    <w:rsid w:val="3DEE010A"/>
    <w:rsid w:val="3DEE1F65"/>
    <w:rsid w:val="3DEE7AE9"/>
    <w:rsid w:val="3DEF73A1"/>
    <w:rsid w:val="3DF16FE3"/>
    <w:rsid w:val="3DF22B54"/>
    <w:rsid w:val="3DF31DA4"/>
    <w:rsid w:val="3DF4605B"/>
    <w:rsid w:val="3DF62FD1"/>
    <w:rsid w:val="3DF63AD5"/>
    <w:rsid w:val="3DF64A41"/>
    <w:rsid w:val="3DF74021"/>
    <w:rsid w:val="3DF75273"/>
    <w:rsid w:val="3E012005"/>
    <w:rsid w:val="3E02048D"/>
    <w:rsid w:val="3E030981"/>
    <w:rsid w:val="3E0625F4"/>
    <w:rsid w:val="3E091EFE"/>
    <w:rsid w:val="3E0B1D7B"/>
    <w:rsid w:val="3E0B21E6"/>
    <w:rsid w:val="3E1048DC"/>
    <w:rsid w:val="3E126514"/>
    <w:rsid w:val="3E1272B6"/>
    <w:rsid w:val="3E13510F"/>
    <w:rsid w:val="3E153708"/>
    <w:rsid w:val="3E153F03"/>
    <w:rsid w:val="3E187B2D"/>
    <w:rsid w:val="3E1C0F68"/>
    <w:rsid w:val="3E206DF8"/>
    <w:rsid w:val="3E2346D8"/>
    <w:rsid w:val="3E2412EE"/>
    <w:rsid w:val="3E24502A"/>
    <w:rsid w:val="3E254FC2"/>
    <w:rsid w:val="3E26125E"/>
    <w:rsid w:val="3E27494B"/>
    <w:rsid w:val="3E275624"/>
    <w:rsid w:val="3E275DEC"/>
    <w:rsid w:val="3E285FA1"/>
    <w:rsid w:val="3E28722C"/>
    <w:rsid w:val="3E2962A6"/>
    <w:rsid w:val="3E2A2DD5"/>
    <w:rsid w:val="3E2B5512"/>
    <w:rsid w:val="3E2D2A1B"/>
    <w:rsid w:val="3E2F0FD6"/>
    <w:rsid w:val="3E311EE9"/>
    <w:rsid w:val="3E3125DB"/>
    <w:rsid w:val="3E335D8F"/>
    <w:rsid w:val="3E340E36"/>
    <w:rsid w:val="3E350999"/>
    <w:rsid w:val="3E361E70"/>
    <w:rsid w:val="3E362324"/>
    <w:rsid w:val="3E3C6233"/>
    <w:rsid w:val="3E3D1047"/>
    <w:rsid w:val="3E3E1085"/>
    <w:rsid w:val="3E4012A6"/>
    <w:rsid w:val="3E423983"/>
    <w:rsid w:val="3E4420CF"/>
    <w:rsid w:val="3E4445BA"/>
    <w:rsid w:val="3E450DBA"/>
    <w:rsid w:val="3E4553A2"/>
    <w:rsid w:val="3E455A5E"/>
    <w:rsid w:val="3E455F5B"/>
    <w:rsid w:val="3E49797A"/>
    <w:rsid w:val="3E4A5305"/>
    <w:rsid w:val="3E4B26EE"/>
    <w:rsid w:val="3E4C0F32"/>
    <w:rsid w:val="3E4C45D0"/>
    <w:rsid w:val="3E4C591F"/>
    <w:rsid w:val="3E4D126F"/>
    <w:rsid w:val="3E4D36FA"/>
    <w:rsid w:val="3E4D3E12"/>
    <w:rsid w:val="3E4E1F44"/>
    <w:rsid w:val="3E4E5952"/>
    <w:rsid w:val="3E545A2A"/>
    <w:rsid w:val="3E562BF9"/>
    <w:rsid w:val="3E580329"/>
    <w:rsid w:val="3E5867F6"/>
    <w:rsid w:val="3E5B49E1"/>
    <w:rsid w:val="3E5B6D7E"/>
    <w:rsid w:val="3E5C1A0E"/>
    <w:rsid w:val="3E5D0D10"/>
    <w:rsid w:val="3E5D23CA"/>
    <w:rsid w:val="3E5D286B"/>
    <w:rsid w:val="3E601681"/>
    <w:rsid w:val="3E613E0E"/>
    <w:rsid w:val="3E620F06"/>
    <w:rsid w:val="3E626DB4"/>
    <w:rsid w:val="3E63333E"/>
    <w:rsid w:val="3E633A82"/>
    <w:rsid w:val="3E64353F"/>
    <w:rsid w:val="3E655EC0"/>
    <w:rsid w:val="3E674083"/>
    <w:rsid w:val="3E675B6E"/>
    <w:rsid w:val="3E6931C2"/>
    <w:rsid w:val="3E693E71"/>
    <w:rsid w:val="3E6B1711"/>
    <w:rsid w:val="3E6C325C"/>
    <w:rsid w:val="3E6E2B6C"/>
    <w:rsid w:val="3E6F7477"/>
    <w:rsid w:val="3E71689A"/>
    <w:rsid w:val="3E7212AC"/>
    <w:rsid w:val="3E7467C2"/>
    <w:rsid w:val="3E7477C9"/>
    <w:rsid w:val="3E763C32"/>
    <w:rsid w:val="3E767DA9"/>
    <w:rsid w:val="3E7920E6"/>
    <w:rsid w:val="3E7965FB"/>
    <w:rsid w:val="3E7A38E7"/>
    <w:rsid w:val="3E7C11CB"/>
    <w:rsid w:val="3E7D5E9E"/>
    <w:rsid w:val="3E825648"/>
    <w:rsid w:val="3E830130"/>
    <w:rsid w:val="3E836157"/>
    <w:rsid w:val="3E837ECF"/>
    <w:rsid w:val="3E844696"/>
    <w:rsid w:val="3E8567E6"/>
    <w:rsid w:val="3E8947D0"/>
    <w:rsid w:val="3E8B0DBE"/>
    <w:rsid w:val="3E8B3708"/>
    <w:rsid w:val="3E903815"/>
    <w:rsid w:val="3E905541"/>
    <w:rsid w:val="3E905AC7"/>
    <w:rsid w:val="3E912690"/>
    <w:rsid w:val="3E9158C6"/>
    <w:rsid w:val="3E9508B8"/>
    <w:rsid w:val="3E957B45"/>
    <w:rsid w:val="3E9673EE"/>
    <w:rsid w:val="3E972E8A"/>
    <w:rsid w:val="3E987B23"/>
    <w:rsid w:val="3E9A3A79"/>
    <w:rsid w:val="3E9C00DA"/>
    <w:rsid w:val="3E9C6869"/>
    <w:rsid w:val="3E9D0674"/>
    <w:rsid w:val="3E9D0CD0"/>
    <w:rsid w:val="3E9E1D5A"/>
    <w:rsid w:val="3E9F7DF3"/>
    <w:rsid w:val="3EA1274D"/>
    <w:rsid w:val="3EA3321C"/>
    <w:rsid w:val="3EA33728"/>
    <w:rsid w:val="3EA54B8C"/>
    <w:rsid w:val="3EA652BE"/>
    <w:rsid w:val="3EA65C5A"/>
    <w:rsid w:val="3EA676F6"/>
    <w:rsid w:val="3EA7309D"/>
    <w:rsid w:val="3EA73D2F"/>
    <w:rsid w:val="3EA90289"/>
    <w:rsid w:val="3EA93D49"/>
    <w:rsid w:val="3EA952F1"/>
    <w:rsid w:val="3EAC3BEC"/>
    <w:rsid w:val="3EAC5F5A"/>
    <w:rsid w:val="3EAD3107"/>
    <w:rsid w:val="3EAD45AD"/>
    <w:rsid w:val="3EAD57AA"/>
    <w:rsid w:val="3EAE758C"/>
    <w:rsid w:val="3EB04336"/>
    <w:rsid w:val="3EB339FD"/>
    <w:rsid w:val="3EB771DF"/>
    <w:rsid w:val="3EB80E2B"/>
    <w:rsid w:val="3EB861CC"/>
    <w:rsid w:val="3EBA254F"/>
    <w:rsid w:val="3EBA4060"/>
    <w:rsid w:val="3EBA4712"/>
    <w:rsid w:val="3EBA5CCE"/>
    <w:rsid w:val="3EBB0072"/>
    <w:rsid w:val="3EBC4EAF"/>
    <w:rsid w:val="3EBD78DF"/>
    <w:rsid w:val="3EBE6A10"/>
    <w:rsid w:val="3EBF4F3D"/>
    <w:rsid w:val="3EC039E7"/>
    <w:rsid w:val="3EC03D30"/>
    <w:rsid w:val="3EC05EF1"/>
    <w:rsid w:val="3EC14100"/>
    <w:rsid w:val="3EC4016C"/>
    <w:rsid w:val="3EC62739"/>
    <w:rsid w:val="3EC80B80"/>
    <w:rsid w:val="3EC86F95"/>
    <w:rsid w:val="3EC97A86"/>
    <w:rsid w:val="3ECB0E48"/>
    <w:rsid w:val="3ECD09A4"/>
    <w:rsid w:val="3ECF1E2A"/>
    <w:rsid w:val="3ED36EFC"/>
    <w:rsid w:val="3ED404BB"/>
    <w:rsid w:val="3ED427D4"/>
    <w:rsid w:val="3ED55C30"/>
    <w:rsid w:val="3ED84BDF"/>
    <w:rsid w:val="3ED916FD"/>
    <w:rsid w:val="3EDA00B2"/>
    <w:rsid w:val="3EDB7DF9"/>
    <w:rsid w:val="3EDE3985"/>
    <w:rsid w:val="3EE22E83"/>
    <w:rsid w:val="3EE649E2"/>
    <w:rsid w:val="3EE7784B"/>
    <w:rsid w:val="3EE86550"/>
    <w:rsid w:val="3EEC0EF1"/>
    <w:rsid w:val="3EEC1246"/>
    <w:rsid w:val="3EEC17C1"/>
    <w:rsid w:val="3EEC723D"/>
    <w:rsid w:val="3EEE41DA"/>
    <w:rsid w:val="3EEE7EA4"/>
    <w:rsid w:val="3EEF6F3C"/>
    <w:rsid w:val="3EF0559D"/>
    <w:rsid w:val="3EF828FB"/>
    <w:rsid w:val="3EF86FF2"/>
    <w:rsid w:val="3EFA3E87"/>
    <w:rsid w:val="3EFC79B3"/>
    <w:rsid w:val="3EFF3272"/>
    <w:rsid w:val="3EFF3CC5"/>
    <w:rsid w:val="3EFF4617"/>
    <w:rsid w:val="3EFF7129"/>
    <w:rsid w:val="3F003874"/>
    <w:rsid w:val="3F0225B9"/>
    <w:rsid w:val="3F027FDC"/>
    <w:rsid w:val="3F032686"/>
    <w:rsid w:val="3F033871"/>
    <w:rsid w:val="3F042997"/>
    <w:rsid w:val="3F0564DD"/>
    <w:rsid w:val="3F064399"/>
    <w:rsid w:val="3F07208B"/>
    <w:rsid w:val="3F07520A"/>
    <w:rsid w:val="3F0777EC"/>
    <w:rsid w:val="3F0C43F1"/>
    <w:rsid w:val="3F0D0191"/>
    <w:rsid w:val="3F0E1C89"/>
    <w:rsid w:val="3F0F604F"/>
    <w:rsid w:val="3F1051EB"/>
    <w:rsid w:val="3F117168"/>
    <w:rsid w:val="3F142957"/>
    <w:rsid w:val="3F173A6A"/>
    <w:rsid w:val="3F180B8A"/>
    <w:rsid w:val="3F1A172A"/>
    <w:rsid w:val="3F1A2D83"/>
    <w:rsid w:val="3F1D5699"/>
    <w:rsid w:val="3F1D6F69"/>
    <w:rsid w:val="3F1F45E3"/>
    <w:rsid w:val="3F2260CF"/>
    <w:rsid w:val="3F231C1D"/>
    <w:rsid w:val="3F24058A"/>
    <w:rsid w:val="3F247D1E"/>
    <w:rsid w:val="3F2552FA"/>
    <w:rsid w:val="3F257529"/>
    <w:rsid w:val="3F287E12"/>
    <w:rsid w:val="3F2D2B43"/>
    <w:rsid w:val="3F2D342D"/>
    <w:rsid w:val="3F2E321C"/>
    <w:rsid w:val="3F2F0634"/>
    <w:rsid w:val="3F2F591A"/>
    <w:rsid w:val="3F304195"/>
    <w:rsid w:val="3F321163"/>
    <w:rsid w:val="3F324BC5"/>
    <w:rsid w:val="3F33063B"/>
    <w:rsid w:val="3F341C9F"/>
    <w:rsid w:val="3F342B83"/>
    <w:rsid w:val="3F352D91"/>
    <w:rsid w:val="3F3772ED"/>
    <w:rsid w:val="3F3847EE"/>
    <w:rsid w:val="3F3966C9"/>
    <w:rsid w:val="3F3C2C02"/>
    <w:rsid w:val="3F3E014C"/>
    <w:rsid w:val="3F3E399F"/>
    <w:rsid w:val="3F400FA8"/>
    <w:rsid w:val="3F4158EF"/>
    <w:rsid w:val="3F440AAF"/>
    <w:rsid w:val="3F455B03"/>
    <w:rsid w:val="3F4761AB"/>
    <w:rsid w:val="3F4903BD"/>
    <w:rsid w:val="3F4B3990"/>
    <w:rsid w:val="3F4B400E"/>
    <w:rsid w:val="3F4B711A"/>
    <w:rsid w:val="3F4B7819"/>
    <w:rsid w:val="3F4D68CE"/>
    <w:rsid w:val="3F4D744E"/>
    <w:rsid w:val="3F4D7858"/>
    <w:rsid w:val="3F4E03EB"/>
    <w:rsid w:val="3F4E2E15"/>
    <w:rsid w:val="3F4F50C1"/>
    <w:rsid w:val="3F517B8F"/>
    <w:rsid w:val="3F526CD3"/>
    <w:rsid w:val="3F5275F3"/>
    <w:rsid w:val="3F5441FA"/>
    <w:rsid w:val="3F547E82"/>
    <w:rsid w:val="3F571554"/>
    <w:rsid w:val="3F586364"/>
    <w:rsid w:val="3F5A1CE9"/>
    <w:rsid w:val="3F5B35BF"/>
    <w:rsid w:val="3F5C1EB5"/>
    <w:rsid w:val="3F5C33D6"/>
    <w:rsid w:val="3F5D570B"/>
    <w:rsid w:val="3F5E7B7F"/>
    <w:rsid w:val="3F5E7C8E"/>
    <w:rsid w:val="3F5F12AD"/>
    <w:rsid w:val="3F610AC9"/>
    <w:rsid w:val="3F611A79"/>
    <w:rsid w:val="3F625189"/>
    <w:rsid w:val="3F641E4F"/>
    <w:rsid w:val="3F6422B6"/>
    <w:rsid w:val="3F654B1A"/>
    <w:rsid w:val="3F657D0A"/>
    <w:rsid w:val="3F677BE8"/>
    <w:rsid w:val="3F6E5B3F"/>
    <w:rsid w:val="3F6F57E4"/>
    <w:rsid w:val="3F7050AA"/>
    <w:rsid w:val="3F714E55"/>
    <w:rsid w:val="3F722DB7"/>
    <w:rsid w:val="3F733DF5"/>
    <w:rsid w:val="3F7464F0"/>
    <w:rsid w:val="3F7517A5"/>
    <w:rsid w:val="3F7653D8"/>
    <w:rsid w:val="3F767617"/>
    <w:rsid w:val="3F7852B0"/>
    <w:rsid w:val="3F794885"/>
    <w:rsid w:val="3F7C08F1"/>
    <w:rsid w:val="3F7F37B6"/>
    <w:rsid w:val="3F803EC9"/>
    <w:rsid w:val="3F851192"/>
    <w:rsid w:val="3F864369"/>
    <w:rsid w:val="3F875D32"/>
    <w:rsid w:val="3F8764F7"/>
    <w:rsid w:val="3F882524"/>
    <w:rsid w:val="3F8E0DC8"/>
    <w:rsid w:val="3F900220"/>
    <w:rsid w:val="3F92651D"/>
    <w:rsid w:val="3F941D5F"/>
    <w:rsid w:val="3F9464C8"/>
    <w:rsid w:val="3F947EB4"/>
    <w:rsid w:val="3F956FAC"/>
    <w:rsid w:val="3F974C79"/>
    <w:rsid w:val="3F982321"/>
    <w:rsid w:val="3F99069B"/>
    <w:rsid w:val="3F9A0DA6"/>
    <w:rsid w:val="3F9A5579"/>
    <w:rsid w:val="3F9A7F4F"/>
    <w:rsid w:val="3F9B3B8E"/>
    <w:rsid w:val="3F9D1B01"/>
    <w:rsid w:val="3FA05EBD"/>
    <w:rsid w:val="3FA14A77"/>
    <w:rsid w:val="3FA26DE5"/>
    <w:rsid w:val="3FA359B0"/>
    <w:rsid w:val="3FA517F5"/>
    <w:rsid w:val="3FAA4F53"/>
    <w:rsid w:val="3FAB027D"/>
    <w:rsid w:val="3FAD342A"/>
    <w:rsid w:val="3FB21CDE"/>
    <w:rsid w:val="3FB559A6"/>
    <w:rsid w:val="3FB94F04"/>
    <w:rsid w:val="3FBB4DA4"/>
    <w:rsid w:val="3FC0435C"/>
    <w:rsid w:val="3FC4510F"/>
    <w:rsid w:val="3FC53D3F"/>
    <w:rsid w:val="3FC62E3D"/>
    <w:rsid w:val="3FCA76C4"/>
    <w:rsid w:val="3FCD7FC3"/>
    <w:rsid w:val="3FD15A0F"/>
    <w:rsid w:val="3FD16706"/>
    <w:rsid w:val="3FD319CA"/>
    <w:rsid w:val="3FD40683"/>
    <w:rsid w:val="3FD41BDB"/>
    <w:rsid w:val="3FD53AFC"/>
    <w:rsid w:val="3FD7310F"/>
    <w:rsid w:val="3FD84DEB"/>
    <w:rsid w:val="3FDC1474"/>
    <w:rsid w:val="3FDD7F5F"/>
    <w:rsid w:val="3FDF3378"/>
    <w:rsid w:val="3FE01516"/>
    <w:rsid w:val="3FE0655D"/>
    <w:rsid w:val="3FE07A4A"/>
    <w:rsid w:val="3FE2664A"/>
    <w:rsid w:val="3FE349C3"/>
    <w:rsid w:val="3FE35746"/>
    <w:rsid w:val="3FE3707D"/>
    <w:rsid w:val="3FE53FC7"/>
    <w:rsid w:val="3FE80168"/>
    <w:rsid w:val="3FE82548"/>
    <w:rsid w:val="3FE84A0F"/>
    <w:rsid w:val="3FEA30E5"/>
    <w:rsid w:val="3FEB44EE"/>
    <w:rsid w:val="3FEF0E44"/>
    <w:rsid w:val="3FEF67B8"/>
    <w:rsid w:val="3FF10968"/>
    <w:rsid w:val="3FF26653"/>
    <w:rsid w:val="3FF35142"/>
    <w:rsid w:val="3FF464BB"/>
    <w:rsid w:val="3FF614E9"/>
    <w:rsid w:val="3FF71BC1"/>
    <w:rsid w:val="3FF76B2B"/>
    <w:rsid w:val="3FF867CA"/>
    <w:rsid w:val="3FF95F6F"/>
    <w:rsid w:val="3FFA4371"/>
    <w:rsid w:val="3FFD7FE0"/>
    <w:rsid w:val="40003F89"/>
    <w:rsid w:val="400173D3"/>
    <w:rsid w:val="400225CA"/>
    <w:rsid w:val="40034171"/>
    <w:rsid w:val="40054314"/>
    <w:rsid w:val="4005531A"/>
    <w:rsid w:val="4005673B"/>
    <w:rsid w:val="40067022"/>
    <w:rsid w:val="40077A6C"/>
    <w:rsid w:val="400947E2"/>
    <w:rsid w:val="400B0D58"/>
    <w:rsid w:val="400F5BA3"/>
    <w:rsid w:val="40104A54"/>
    <w:rsid w:val="4011197F"/>
    <w:rsid w:val="40117EEF"/>
    <w:rsid w:val="4014017C"/>
    <w:rsid w:val="401551E9"/>
    <w:rsid w:val="40174304"/>
    <w:rsid w:val="40181432"/>
    <w:rsid w:val="401B35A2"/>
    <w:rsid w:val="401B6BC2"/>
    <w:rsid w:val="401C3185"/>
    <w:rsid w:val="40211DEF"/>
    <w:rsid w:val="40214F9C"/>
    <w:rsid w:val="402B6C6C"/>
    <w:rsid w:val="402C08AD"/>
    <w:rsid w:val="402C4A57"/>
    <w:rsid w:val="402E5218"/>
    <w:rsid w:val="402E5420"/>
    <w:rsid w:val="402F0A1A"/>
    <w:rsid w:val="402F7704"/>
    <w:rsid w:val="40343D58"/>
    <w:rsid w:val="40346D3D"/>
    <w:rsid w:val="40351B10"/>
    <w:rsid w:val="403528D3"/>
    <w:rsid w:val="40381860"/>
    <w:rsid w:val="40381EBA"/>
    <w:rsid w:val="403835D3"/>
    <w:rsid w:val="40387E30"/>
    <w:rsid w:val="403A6A5F"/>
    <w:rsid w:val="403B298A"/>
    <w:rsid w:val="403B3435"/>
    <w:rsid w:val="403D2718"/>
    <w:rsid w:val="403F68A6"/>
    <w:rsid w:val="40400E1B"/>
    <w:rsid w:val="40435857"/>
    <w:rsid w:val="404906B2"/>
    <w:rsid w:val="404A1AD6"/>
    <w:rsid w:val="404A1B6A"/>
    <w:rsid w:val="404B49A4"/>
    <w:rsid w:val="404C6ECA"/>
    <w:rsid w:val="404F542B"/>
    <w:rsid w:val="4051639B"/>
    <w:rsid w:val="405335C8"/>
    <w:rsid w:val="405342AB"/>
    <w:rsid w:val="40562D8A"/>
    <w:rsid w:val="40583637"/>
    <w:rsid w:val="405A13F3"/>
    <w:rsid w:val="405A70D3"/>
    <w:rsid w:val="405B36A8"/>
    <w:rsid w:val="40601475"/>
    <w:rsid w:val="406049E0"/>
    <w:rsid w:val="406207D5"/>
    <w:rsid w:val="40624EF7"/>
    <w:rsid w:val="40632A05"/>
    <w:rsid w:val="4064089B"/>
    <w:rsid w:val="40642068"/>
    <w:rsid w:val="40647FCA"/>
    <w:rsid w:val="40657A55"/>
    <w:rsid w:val="406612A1"/>
    <w:rsid w:val="40675531"/>
    <w:rsid w:val="40677088"/>
    <w:rsid w:val="40687CF5"/>
    <w:rsid w:val="40697CD9"/>
    <w:rsid w:val="406A34B1"/>
    <w:rsid w:val="406A3509"/>
    <w:rsid w:val="4071653D"/>
    <w:rsid w:val="407301FC"/>
    <w:rsid w:val="40740F67"/>
    <w:rsid w:val="40750CC9"/>
    <w:rsid w:val="40775186"/>
    <w:rsid w:val="407768E4"/>
    <w:rsid w:val="407A7678"/>
    <w:rsid w:val="407D1935"/>
    <w:rsid w:val="407F44C0"/>
    <w:rsid w:val="407F4DFD"/>
    <w:rsid w:val="407F642D"/>
    <w:rsid w:val="408048F3"/>
    <w:rsid w:val="40807EEA"/>
    <w:rsid w:val="40810C8B"/>
    <w:rsid w:val="408304B5"/>
    <w:rsid w:val="40832134"/>
    <w:rsid w:val="40877B9D"/>
    <w:rsid w:val="4089642C"/>
    <w:rsid w:val="408E4DAC"/>
    <w:rsid w:val="408F0686"/>
    <w:rsid w:val="40900B1E"/>
    <w:rsid w:val="409143F3"/>
    <w:rsid w:val="40925BCB"/>
    <w:rsid w:val="4094708A"/>
    <w:rsid w:val="409A2812"/>
    <w:rsid w:val="409A67FC"/>
    <w:rsid w:val="409F7040"/>
    <w:rsid w:val="40A1260D"/>
    <w:rsid w:val="40A139E0"/>
    <w:rsid w:val="40A33C3E"/>
    <w:rsid w:val="40A40310"/>
    <w:rsid w:val="40A5644C"/>
    <w:rsid w:val="40A638DF"/>
    <w:rsid w:val="40AA3281"/>
    <w:rsid w:val="40AB336B"/>
    <w:rsid w:val="40AB5923"/>
    <w:rsid w:val="40AD0F70"/>
    <w:rsid w:val="40B014F6"/>
    <w:rsid w:val="40B01E26"/>
    <w:rsid w:val="40B3650B"/>
    <w:rsid w:val="40B60078"/>
    <w:rsid w:val="40B6239B"/>
    <w:rsid w:val="40B80484"/>
    <w:rsid w:val="40BA1A93"/>
    <w:rsid w:val="40BE40CB"/>
    <w:rsid w:val="40BE78DA"/>
    <w:rsid w:val="40BF24FC"/>
    <w:rsid w:val="40C361F4"/>
    <w:rsid w:val="40C36FCD"/>
    <w:rsid w:val="40C4543E"/>
    <w:rsid w:val="40C6345B"/>
    <w:rsid w:val="40C82D1E"/>
    <w:rsid w:val="40C85A59"/>
    <w:rsid w:val="40C9624B"/>
    <w:rsid w:val="40CE03A6"/>
    <w:rsid w:val="40CF7E2C"/>
    <w:rsid w:val="40D153CE"/>
    <w:rsid w:val="40D43591"/>
    <w:rsid w:val="40D56D97"/>
    <w:rsid w:val="40D65716"/>
    <w:rsid w:val="40D7674E"/>
    <w:rsid w:val="40D80D98"/>
    <w:rsid w:val="40D94964"/>
    <w:rsid w:val="40DC3AE5"/>
    <w:rsid w:val="40DC6282"/>
    <w:rsid w:val="40DE02E4"/>
    <w:rsid w:val="40DE42D8"/>
    <w:rsid w:val="40E31713"/>
    <w:rsid w:val="40E6496C"/>
    <w:rsid w:val="40E87F32"/>
    <w:rsid w:val="40EA7971"/>
    <w:rsid w:val="40EB7AAE"/>
    <w:rsid w:val="40EC1BD0"/>
    <w:rsid w:val="40ED0761"/>
    <w:rsid w:val="40ED079C"/>
    <w:rsid w:val="40EE7DB7"/>
    <w:rsid w:val="40F026D6"/>
    <w:rsid w:val="40F15BF2"/>
    <w:rsid w:val="40F25A75"/>
    <w:rsid w:val="40F30A05"/>
    <w:rsid w:val="40F47B21"/>
    <w:rsid w:val="40F5535C"/>
    <w:rsid w:val="40F649F3"/>
    <w:rsid w:val="40F6549C"/>
    <w:rsid w:val="40F77B4E"/>
    <w:rsid w:val="40F9151B"/>
    <w:rsid w:val="40F94802"/>
    <w:rsid w:val="40FD386E"/>
    <w:rsid w:val="40FF12CE"/>
    <w:rsid w:val="410002D8"/>
    <w:rsid w:val="41000D1D"/>
    <w:rsid w:val="410056F3"/>
    <w:rsid w:val="41005A0C"/>
    <w:rsid w:val="41063AEC"/>
    <w:rsid w:val="410846AF"/>
    <w:rsid w:val="410A5575"/>
    <w:rsid w:val="410D1699"/>
    <w:rsid w:val="410E0D20"/>
    <w:rsid w:val="4111036E"/>
    <w:rsid w:val="41111E55"/>
    <w:rsid w:val="41114D6F"/>
    <w:rsid w:val="411340E7"/>
    <w:rsid w:val="41136BD8"/>
    <w:rsid w:val="411442C9"/>
    <w:rsid w:val="411453F0"/>
    <w:rsid w:val="411479C7"/>
    <w:rsid w:val="41165C3A"/>
    <w:rsid w:val="411A4CA3"/>
    <w:rsid w:val="411B745B"/>
    <w:rsid w:val="411C4848"/>
    <w:rsid w:val="411C702C"/>
    <w:rsid w:val="411D5184"/>
    <w:rsid w:val="411F1F06"/>
    <w:rsid w:val="412164F6"/>
    <w:rsid w:val="412218FD"/>
    <w:rsid w:val="4124781A"/>
    <w:rsid w:val="412A4AC5"/>
    <w:rsid w:val="412D7B35"/>
    <w:rsid w:val="412E539A"/>
    <w:rsid w:val="412E5864"/>
    <w:rsid w:val="41303086"/>
    <w:rsid w:val="41305DFF"/>
    <w:rsid w:val="41353FA6"/>
    <w:rsid w:val="41354E3E"/>
    <w:rsid w:val="413759B8"/>
    <w:rsid w:val="41392ECA"/>
    <w:rsid w:val="413B385D"/>
    <w:rsid w:val="413B485D"/>
    <w:rsid w:val="413B6E9C"/>
    <w:rsid w:val="413D0185"/>
    <w:rsid w:val="413D16D4"/>
    <w:rsid w:val="41401018"/>
    <w:rsid w:val="41407F17"/>
    <w:rsid w:val="414160E7"/>
    <w:rsid w:val="41423B2E"/>
    <w:rsid w:val="41425D88"/>
    <w:rsid w:val="4143422A"/>
    <w:rsid w:val="41450A74"/>
    <w:rsid w:val="41460734"/>
    <w:rsid w:val="4146708E"/>
    <w:rsid w:val="4149096E"/>
    <w:rsid w:val="414B1BD7"/>
    <w:rsid w:val="414B50D3"/>
    <w:rsid w:val="414C0115"/>
    <w:rsid w:val="414C11DD"/>
    <w:rsid w:val="414D6F18"/>
    <w:rsid w:val="414F12EE"/>
    <w:rsid w:val="414F2CF2"/>
    <w:rsid w:val="414F4213"/>
    <w:rsid w:val="41502BF6"/>
    <w:rsid w:val="415034D5"/>
    <w:rsid w:val="4155018A"/>
    <w:rsid w:val="41557D48"/>
    <w:rsid w:val="415676B3"/>
    <w:rsid w:val="41583C0C"/>
    <w:rsid w:val="415C4BB6"/>
    <w:rsid w:val="415D25E6"/>
    <w:rsid w:val="415D3066"/>
    <w:rsid w:val="415E35E4"/>
    <w:rsid w:val="415F78BF"/>
    <w:rsid w:val="41603660"/>
    <w:rsid w:val="41614488"/>
    <w:rsid w:val="41616292"/>
    <w:rsid w:val="416244D1"/>
    <w:rsid w:val="416360DF"/>
    <w:rsid w:val="41643F2F"/>
    <w:rsid w:val="41647178"/>
    <w:rsid w:val="41651687"/>
    <w:rsid w:val="416528F9"/>
    <w:rsid w:val="41654D3B"/>
    <w:rsid w:val="416949C6"/>
    <w:rsid w:val="416B55A8"/>
    <w:rsid w:val="416E0886"/>
    <w:rsid w:val="416F06DC"/>
    <w:rsid w:val="41716439"/>
    <w:rsid w:val="41783234"/>
    <w:rsid w:val="417920ED"/>
    <w:rsid w:val="417B17D6"/>
    <w:rsid w:val="417E0B3A"/>
    <w:rsid w:val="417F112B"/>
    <w:rsid w:val="418159DC"/>
    <w:rsid w:val="41817AA4"/>
    <w:rsid w:val="41836337"/>
    <w:rsid w:val="41847A56"/>
    <w:rsid w:val="41855546"/>
    <w:rsid w:val="4186315D"/>
    <w:rsid w:val="418713AE"/>
    <w:rsid w:val="418734B9"/>
    <w:rsid w:val="41873799"/>
    <w:rsid w:val="418A2658"/>
    <w:rsid w:val="418C126E"/>
    <w:rsid w:val="418D335F"/>
    <w:rsid w:val="418F1EE0"/>
    <w:rsid w:val="4190100D"/>
    <w:rsid w:val="41901745"/>
    <w:rsid w:val="41910DE8"/>
    <w:rsid w:val="41912344"/>
    <w:rsid w:val="41923D96"/>
    <w:rsid w:val="419457B4"/>
    <w:rsid w:val="41946961"/>
    <w:rsid w:val="41951FB7"/>
    <w:rsid w:val="41952B3C"/>
    <w:rsid w:val="41975A98"/>
    <w:rsid w:val="41981927"/>
    <w:rsid w:val="4199279D"/>
    <w:rsid w:val="41994C0E"/>
    <w:rsid w:val="419C100E"/>
    <w:rsid w:val="419D37A6"/>
    <w:rsid w:val="41A04E89"/>
    <w:rsid w:val="41A1540C"/>
    <w:rsid w:val="41A24300"/>
    <w:rsid w:val="41A522C8"/>
    <w:rsid w:val="41A63C0C"/>
    <w:rsid w:val="41A707E7"/>
    <w:rsid w:val="41A7243A"/>
    <w:rsid w:val="41A73E3D"/>
    <w:rsid w:val="41A80908"/>
    <w:rsid w:val="41A91A0B"/>
    <w:rsid w:val="41AB6321"/>
    <w:rsid w:val="41AC097E"/>
    <w:rsid w:val="41AD3A62"/>
    <w:rsid w:val="41AE6849"/>
    <w:rsid w:val="41AE759B"/>
    <w:rsid w:val="41AF0166"/>
    <w:rsid w:val="41B00D64"/>
    <w:rsid w:val="41B2313C"/>
    <w:rsid w:val="41B24D75"/>
    <w:rsid w:val="41B345B8"/>
    <w:rsid w:val="41B53853"/>
    <w:rsid w:val="41B57492"/>
    <w:rsid w:val="41B659A3"/>
    <w:rsid w:val="41B96A6B"/>
    <w:rsid w:val="41BB21F1"/>
    <w:rsid w:val="41BD4143"/>
    <w:rsid w:val="41BE7325"/>
    <w:rsid w:val="41BF46BA"/>
    <w:rsid w:val="41C04E47"/>
    <w:rsid w:val="41C07125"/>
    <w:rsid w:val="41C527BA"/>
    <w:rsid w:val="41C60A35"/>
    <w:rsid w:val="41CA02B9"/>
    <w:rsid w:val="41CE66A7"/>
    <w:rsid w:val="41D01EC8"/>
    <w:rsid w:val="41D22285"/>
    <w:rsid w:val="41D30FDD"/>
    <w:rsid w:val="41D53648"/>
    <w:rsid w:val="41D7173D"/>
    <w:rsid w:val="41DB665B"/>
    <w:rsid w:val="41DC1857"/>
    <w:rsid w:val="41DF0B9F"/>
    <w:rsid w:val="41DF12B0"/>
    <w:rsid w:val="41E31798"/>
    <w:rsid w:val="41E86114"/>
    <w:rsid w:val="41EA7426"/>
    <w:rsid w:val="41EC0C5D"/>
    <w:rsid w:val="41EE1D91"/>
    <w:rsid w:val="41F00301"/>
    <w:rsid w:val="41F24C35"/>
    <w:rsid w:val="41F949EF"/>
    <w:rsid w:val="41F964B8"/>
    <w:rsid w:val="41FD5C87"/>
    <w:rsid w:val="41FE5B3D"/>
    <w:rsid w:val="42005DEE"/>
    <w:rsid w:val="42010D30"/>
    <w:rsid w:val="420168C4"/>
    <w:rsid w:val="420175F4"/>
    <w:rsid w:val="420233E6"/>
    <w:rsid w:val="42032AD3"/>
    <w:rsid w:val="42036B77"/>
    <w:rsid w:val="420932AE"/>
    <w:rsid w:val="420A1CB6"/>
    <w:rsid w:val="420C2143"/>
    <w:rsid w:val="420F3092"/>
    <w:rsid w:val="420F500A"/>
    <w:rsid w:val="4210334E"/>
    <w:rsid w:val="421050FC"/>
    <w:rsid w:val="42105F84"/>
    <w:rsid w:val="4210691F"/>
    <w:rsid w:val="421123F7"/>
    <w:rsid w:val="42115404"/>
    <w:rsid w:val="4213066D"/>
    <w:rsid w:val="42130E9A"/>
    <w:rsid w:val="421346EF"/>
    <w:rsid w:val="4216023F"/>
    <w:rsid w:val="42181E20"/>
    <w:rsid w:val="421A6AA6"/>
    <w:rsid w:val="421D0875"/>
    <w:rsid w:val="421F73CC"/>
    <w:rsid w:val="42235CCC"/>
    <w:rsid w:val="42237118"/>
    <w:rsid w:val="42276566"/>
    <w:rsid w:val="422852FD"/>
    <w:rsid w:val="422936F9"/>
    <w:rsid w:val="4229685A"/>
    <w:rsid w:val="422C1E5A"/>
    <w:rsid w:val="422C77C8"/>
    <w:rsid w:val="422F2333"/>
    <w:rsid w:val="42302CD7"/>
    <w:rsid w:val="423274FA"/>
    <w:rsid w:val="42333FA2"/>
    <w:rsid w:val="42342A1A"/>
    <w:rsid w:val="4234458C"/>
    <w:rsid w:val="42370A23"/>
    <w:rsid w:val="42383D7F"/>
    <w:rsid w:val="42395064"/>
    <w:rsid w:val="423C08C7"/>
    <w:rsid w:val="423C18DC"/>
    <w:rsid w:val="423F21C2"/>
    <w:rsid w:val="423F5528"/>
    <w:rsid w:val="424167CB"/>
    <w:rsid w:val="4243052D"/>
    <w:rsid w:val="424311F8"/>
    <w:rsid w:val="42454A8D"/>
    <w:rsid w:val="42461063"/>
    <w:rsid w:val="42462979"/>
    <w:rsid w:val="42466723"/>
    <w:rsid w:val="42492919"/>
    <w:rsid w:val="424B0D60"/>
    <w:rsid w:val="424C63D1"/>
    <w:rsid w:val="424D10BE"/>
    <w:rsid w:val="424E0BDF"/>
    <w:rsid w:val="42502AF0"/>
    <w:rsid w:val="42563859"/>
    <w:rsid w:val="425733F7"/>
    <w:rsid w:val="42576876"/>
    <w:rsid w:val="42580A37"/>
    <w:rsid w:val="42581140"/>
    <w:rsid w:val="425860CD"/>
    <w:rsid w:val="425A1018"/>
    <w:rsid w:val="425A111D"/>
    <w:rsid w:val="425A74D4"/>
    <w:rsid w:val="425C0B89"/>
    <w:rsid w:val="425C7DB4"/>
    <w:rsid w:val="425F2E5D"/>
    <w:rsid w:val="42604976"/>
    <w:rsid w:val="42636BAA"/>
    <w:rsid w:val="426457AF"/>
    <w:rsid w:val="4264775D"/>
    <w:rsid w:val="42647F87"/>
    <w:rsid w:val="42682A6E"/>
    <w:rsid w:val="426E5474"/>
    <w:rsid w:val="426F0562"/>
    <w:rsid w:val="42720C21"/>
    <w:rsid w:val="42726E4E"/>
    <w:rsid w:val="427578B7"/>
    <w:rsid w:val="42772AE7"/>
    <w:rsid w:val="42777359"/>
    <w:rsid w:val="42781E2F"/>
    <w:rsid w:val="427A4371"/>
    <w:rsid w:val="427B2AF4"/>
    <w:rsid w:val="427E4D67"/>
    <w:rsid w:val="42802758"/>
    <w:rsid w:val="42805B22"/>
    <w:rsid w:val="4282134A"/>
    <w:rsid w:val="4284776D"/>
    <w:rsid w:val="42854ADE"/>
    <w:rsid w:val="428657D5"/>
    <w:rsid w:val="42875D49"/>
    <w:rsid w:val="42876471"/>
    <w:rsid w:val="428910EE"/>
    <w:rsid w:val="428919A5"/>
    <w:rsid w:val="428A4011"/>
    <w:rsid w:val="428B5F8E"/>
    <w:rsid w:val="428C4175"/>
    <w:rsid w:val="428C7EBD"/>
    <w:rsid w:val="428D015C"/>
    <w:rsid w:val="428E028B"/>
    <w:rsid w:val="428E6FA1"/>
    <w:rsid w:val="428F019D"/>
    <w:rsid w:val="428F6718"/>
    <w:rsid w:val="42954F28"/>
    <w:rsid w:val="42956A56"/>
    <w:rsid w:val="42976082"/>
    <w:rsid w:val="429A492B"/>
    <w:rsid w:val="429D55C6"/>
    <w:rsid w:val="429E3044"/>
    <w:rsid w:val="42A0345F"/>
    <w:rsid w:val="42A0519A"/>
    <w:rsid w:val="42A05E90"/>
    <w:rsid w:val="42A360F6"/>
    <w:rsid w:val="42A45351"/>
    <w:rsid w:val="42A621AE"/>
    <w:rsid w:val="42A675DE"/>
    <w:rsid w:val="42A71822"/>
    <w:rsid w:val="42A71E08"/>
    <w:rsid w:val="42A75BEA"/>
    <w:rsid w:val="42AF76B1"/>
    <w:rsid w:val="42B106BB"/>
    <w:rsid w:val="42B13A6A"/>
    <w:rsid w:val="42B2159D"/>
    <w:rsid w:val="42B2165B"/>
    <w:rsid w:val="42B41C3C"/>
    <w:rsid w:val="42B82E7D"/>
    <w:rsid w:val="42BB1765"/>
    <w:rsid w:val="42BB7873"/>
    <w:rsid w:val="42BD2ABF"/>
    <w:rsid w:val="42BE4EB0"/>
    <w:rsid w:val="42BE58CE"/>
    <w:rsid w:val="42BF3189"/>
    <w:rsid w:val="42BF4F55"/>
    <w:rsid w:val="42C26B95"/>
    <w:rsid w:val="42C53AC8"/>
    <w:rsid w:val="42C71AAB"/>
    <w:rsid w:val="42C87A12"/>
    <w:rsid w:val="42C9326E"/>
    <w:rsid w:val="42CA012B"/>
    <w:rsid w:val="42CA2982"/>
    <w:rsid w:val="42CC49B0"/>
    <w:rsid w:val="42CC5C55"/>
    <w:rsid w:val="42CD10BE"/>
    <w:rsid w:val="42CF0C27"/>
    <w:rsid w:val="42CF66AD"/>
    <w:rsid w:val="42D118C9"/>
    <w:rsid w:val="42D246CA"/>
    <w:rsid w:val="42D324AB"/>
    <w:rsid w:val="42D57EE0"/>
    <w:rsid w:val="42D6616E"/>
    <w:rsid w:val="42D753BC"/>
    <w:rsid w:val="42D82A8E"/>
    <w:rsid w:val="42D85A49"/>
    <w:rsid w:val="42D95693"/>
    <w:rsid w:val="42DB2568"/>
    <w:rsid w:val="42DB4C4A"/>
    <w:rsid w:val="42DB66CC"/>
    <w:rsid w:val="42DC58B9"/>
    <w:rsid w:val="42DD056C"/>
    <w:rsid w:val="42DE3292"/>
    <w:rsid w:val="42E04CA6"/>
    <w:rsid w:val="42E0779C"/>
    <w:rsid w:val="42E211F3"/>
    <w:rsid w:val="42E6750C"/>
    <w:rsid w:val="42E67ED7"/>
    <w:rsid w:val="42E736E7"/>
    <w:rsid w:val="42E75D2B"/>
    <w:rsid w:val="42E827BE"/>
    <w:rsid w:val="42E87E49"/>
    <w:rsid w:val="42EC05D7"/>
    <w:rsid w:val="42EC4ECA"/>
    <w:rsid w:val="42ED3455"/>
    <w:rsid w:val="42F164C0"/>
    <w:rsid w:val="42F83BE5"/>
    <w:rsid w:val="42FA1D7A"/>
    <w:rsid w:val="42FC2949"/>
    <w:rsid w:val="42FC2957"/>
    <w:rsid w:val="42FD16EC"/>
    <w:rsid w:val="42FF66E1"/>
    <w:rsid w:val="43013D61"/>
    <w:rsid w:val="43014794"/>
    <w:rsid w:val="4303659C"/>
    <w:rsid w:val="43037529"/>
    <w:rsid w:val="43046EBA"/>
    <w:rsid w:val="43047617"/>
    <w:rsid w:val="43047E31"/>
    <w:rsid w:val="430542F0"/>
    <w:rsid w:val="43086AEF"/>
    <w:rsid w:val="430B7122"/>
    <w:rsid w:val="430C05C4"/>
    <w:rsid w:val="430C7AC9"/>
    <w:rsid w:val="430D2B1B"/>
    <w:rsid w:val="430D5563"/>
    <w:rsid w:val="4310326F"/>
    <w:rsid w:val="43110036"/>
    <w:rsid w:val="43110167"/>
    <w:rsid w:val="431153BB"/>
    <w:rsid w:val="4311770F"/>
    <w:rsid w:val="43131A1A"/>
    <w:rsid w:val="43142F99"/>
    <w:rsid w:val="43166F50"/>
    <w:rsid w:val="431A1569"/>
    <w:rsid w:val="431A7754"/>
    <w:rsid w:val="431B304C"/>
    <w:rsid w:val="431C2A6B"/>
    <w:rsid w:val="431E59A3"/>
    <w:rsid w:val="431F621E"/>
    <w:rsid w:val="432057F6"/>
    <w:rsid w:val="4321712B"/>
    <w:rsid w:val="43230BFE"/>
    <w:rsid w:val="432514F3"/>
    <w:rsid w:val="43255B4E"/>
    <w:rsid w:val="43270C55"/>
    <w:rsid w:val="43283114"/>
    <w:rsid w:val="432A3BE2"/>
    <w:rsid w:val="432A5857"/>
    <w:rsid w:val="432A63C7"/>
    <w:rsid w:val="432B1534"/>
    <w:rsid w:val="432B1796"/>
    <w:rsid w:val="432B54D5"/>
    <w:rsid w:val="432B77FD"/>
    <w:rsid w:val="432C248C"/>
    <w:rsid w:val="432D3529"/>
    <w:rsid w:val="432D5B64"/>
    <w:rsid w:val="432D6585"/>
    <w:rsid w:val="4330147C"/>
    <w:rsid w:val="4331449D"/>
    <w:rsid w:val="43325F79"/>
    <w:rsid w:val="433428BF"/>
    <w:rsid w:val="43354370"/>
    <w:rsid w:val="43365428"/>
    <w:rsid w:val="433705D7"/>
    <w:rsid w:val="433A3A84"/>
    <w:rsid w:val="433B1FC7"/>
    <w:rsid w:val="433D21B0"/>
    <w:rsid w:val="433D2C9C"/>
    <w:rsid w:val="433D443B"/>
    <w:rsid w:val="433E19E5"/>
    <w:rsid w:val="433E5EA2"/>
    <w:rsid w:val="433F4D03"/>
    <w:rsid w:val="434033AD"/>
    <w:rsid w:val="434257FB"/>
    <w:rsid w:val="4347226E"/>
    <w:rsid w:val="43480F76"/>
    <w:rsid w:val="43484DFB"/>
    <w:rsid w:val="43486B87"/>
    <w:rsid w:val="434E482D"/>
    <w:rsid w:val="43513BC3"/>
    <w:rsid w:val="4352476A"/>
    <w:rsid w:val="43530B55"/>
    <w:rsid w:val="435502C3"/>
    <w:rsid w:val="43596EFC"/>
    <w:rsid w:val="435A6381"/>
    <w:rsid w:val="435C2A48"/>
    <w:rsid w:val="435C6117"/>
    <w:rsid w:val="435D1417"/>
    <w:rsid w:val="435F46DE"/>
    <w:rsid w:val="4361642D"/>
    <w:rsid w:val="43620275"/>
    <w:rsid w:val="43625A4F"/>
    <w:rsid w:val="43630221"/>
    <w:rsid w:val="43632BB2"/>
    <w:rsid w:val="43632F40"/>
    <w:rsid w:val="43635A3E"/>
    <w:rsid w:val="43645E66"/>
    <w:rsid w:val="43652679"/>
    <w:rsid w:val="4369069F"/>
    <w:rsid w:val="4369240F"/>
    <w:rsid w:val="436A2C2D"/>
    <w:rsid w:val="436C0A3F"/>
    <w:rsid w:val="436D4B79"/>
    <w:rsid w:val="436E0BE1"/>
    <w:rsid w:val="436E1891"/>
    <w:rsid w:val="436F5205"/>
    <w:rsid w:val="43704A92"/>
    <w:rsid w:val="43724D12"/>
    <w:rsid w:val="4372511B"/>
    <w:rsid w:val="43761475"/>
    <w:rsid w:val="437721C5"/>
    <w:rsid w:val="43792CB2"/>
    <w:rsid w:val="437A3AC6"/>
    <w:rsid w:val="437C2E74"/>
    <w:rsid w:val="437F4E66"/>
    <w:rsid w:val="43827FC9"/>
    <w:rsid w:val="43833BD1"/>
    <w:rsid w:val="43841D84"/>
    <w:rsid w:val="43854653"/>
    <w:rsid w:val="4385633F"/>
    <w:rsid w:val="438631E7"/>
    <w:rsid w:val="438644F3"/>
    <w:rsid w:val="43870B76"/>
    <w:rsid w:val="438B0C89"/>
    <w:rsid w:val="438B1495"/>
    <w:rsid w:val="438D1B10"/>
    <w:rsid w:val="438E69E0"/>
    <w:rsid w:val="4392011C"/>
    <w:rsid w:val="43924062"/>
    <w:rsid w:val="439460E5"/>
    <w:rsid w:val="43947F54"/>
    <w:rsid w:val="43961427"/>
    <w:rsid w:val="43964759"/>
    <w:rsid w:val="43986A89"/>
    <w:rsid w:val="439B610F"/>
    <w:rsid w:val="439B7536"/>
    <w:rsid w:val="439C31A8"/>
    <w:rsid w:val="439E61A3"/>
    <w:rsid w:val="43A20D15"/>
    <w:rsid w:val="43A24CE0"/>
    <w:rsid w:val="43A438E1"/>
    <w:rsid w:val="43A43B6A"/>
    <w:rsid w:val="43A769A0"/>
    <w:rsid w:val="43AA3960"/>
    <w:rsid w:val="43AA6092"/>
    <w:rsid w:val="43AD4CCE"/>
    <w:rsid w:val="43AE7A44"/>
    <w:rsid w:val="43AF200B"/>
    <w:rsid w:val="43B0660D"/>
    <w:rsid w:val="43B10330"/>
    <w:rsid w:val="43B2550A"/>
    <w:rsid w:val="43B4270A"/>
    <w:rsid w:val="43B504BF"/>
    <w:rsid w:val="43B56280"/>
    <w:rsid w:val="43B61C2E"/>
    <w:rsid w:val="43B70668"/>
    <w:rsid w:val="43B707EE"/>
    <w:rsid w:val="43B73765"/>
    <w:rsid w:val="43B81C02"/>
    <w:rsid w:val="43B82411"/>
    <w:rsid w:val="43B84E46"/>
    <w:rsid w:val="43B97D35"/>
    <w:rsid w:val="43BA0921"/>
    <w:rsid w:val="43BF0EB4"/>
    <w:rsid w:val="43BF4970"/>
    <w:rsid w:val="43BF587D"/>
    <w:rsid w:val="43C1355B"/>
    <w:rsid w:val="43C32F5F"/>
    <w:rsid w:val="43C34A20"/>
    <w:rsid w:val="43C52BA5"/>
    <w:rsid w:val="43C5332A"/>
    <w:rsid w:val="43C8030E"/>
    <w:rsid w:val="43C824C6"/>
    <w:rsid w:val="43C93D8C"/>
    <w:rsid w:val="43C9794F"/>
    <w:rsid w:val="43CD7F5D"/>
    <w:rsid w:val="43CE022A"/>
    <w:rsid w:val="43CE3865"/>
    <w:rsid w:val="43CE55A9"/>
    <w:rsid w:val="43D16D1A"/>
    <w:rsid w:val="43D26538"/>
    <w:rsid w:val="43D3129B"/>
    <w:rsid w:val="43D33A7D"/>
    <w:rsid w:val="43D408A8"/>
    <w:rsid w:val="43D44124"/>
    <w:rsid w:val="43D45529"/>
    <w:rsid w:val="43D54F65"/>
    <w:rsid w:val="43D57C56"/>
    <w:rsid w:val="43D678A8"/>
    <w:rsid w:val="43D86570"/>
    <w:rsid w:val="43D86CF6"/>
    <w:rsid w:val="43D92CA2"/>
    <w:rsid w:val="43D94384"/>
    <w:rsid w:val="43DE065A"/>
    <w:rsid w:val="43DE556C"/>
    <w:rsid w:val="43E237B4"/>
    <w:rsid w:val="43E244AC"/>
    <w:rsid w:val="43EA5EED"/>
    <w:rsid w:val="43EB42B1"/>
    <w:rsid w:val="43EC3FE0"/>
    <w:rsid w:val="43EE5C5F"/>
    <w:rsid w:val="43F20D79"/>
    <w:rsid w:val="43F46C5A"/>
    <w:rsid w:val="43F61238"/>
    <w:rsid w:val="43F672BD"/>
    <w:rsid w:val="43F7728E"/>
    <w:rsid w:val="43F93904"/>
    <w:rsid w:val="43FA3825"/>
    <w:rsid w:val="43FB7D1D"/>
    <w:rsid w:val="43FD20A0"/>
    <w:rsid w:val="44014B55"/>
    <w:rsid w:val="44053115"/>
    <w:rsid w:val="44057700"/>
    <w:rsid w:val="44074D1E"/>
    <w:rsid w:val="44097960"/>
    <w:rsid w:val="440B0013"/>
    <w:rsid w:val="440C4FCC"/>
    <w:rsid w:val="440D612B"/>
    <w:rsid w:val="4410524A"/>
    <w:rsid w:val="44123C3E"/>
    <w:rsid w:val="44137FE5"/>
    <w:rsid w:val="441451F8"/>
    <w:rsid w:val="441472C0"/>
    <w:rsid w:val="4415500F"/>
    <w:rsid w:val="441903F7"/>
    <w:rsid w:val="44190748"/>
    <w:rsid w:val="441A088D"/>
    <w:rsid w:val="441B7314"/>
    <w:rsid w:val="441F1AEF"/>
    <w:rsid w:val="441F41E8"/>
    <w:rsid w:val="441F604D"/>
    <w:rsid w:val="44202E89"/>
    <w:rsid w:val="44203B10"/>
    <w:rsid w:val="442131C5"/>
    <w:rsid w:val="44224182"/>
    <w:rsid w:val="442556A0"/>
    <w:rsid w:val="44257EBF"/>
    <w:rsid w:val="442726C6"/>
    <w:rsid w:val="44287965"/>
    <w:rsid w:val="442A3F50"/>
    <w:rsid w:val="442A490F"/>
    <w:rsid w:val="442C6AB1"/>
    <w:rsid w:val="442D1448"/>
    <w:rsid w:val="442D7455"/>
    <w:rsid w:val="442D761C"/>
    <w:rsid w:val="442E13B7"/>
    <w:rsid w:val="442E6C8C"/>
    <w:rsid w:val="44303298"/>
    <w:rsid w:val="44330FEF"/>
    <w:rsid w:val="4434101C"/>
    <w:rsid w:val="44355DD1"/>
    <w:rsid w:val="44373263"/>
    <w:rsid w:val="44374FB5"/>
    <w:rsid w:val="44380311"/>
    <w:rsid w:val="443808CA"/>
    <w:rsid w:val="44380E21"/>
    <w:rsid w:val="443C1E80"/>
    <w:rsid w:val="443C619F"/>
    <w:rsid w:val="443F04F3"/>
    <w:rsid w:val="443F302A"/>
    <w:rsid w:val="443F3D30"/>
    <w:rsid w:val="44426B83"/>
    <w:rsid w:val="44431EFA"/>
    <w:rsid w:val="44450CBD"/>
    <w:rsid w:val="4446038A"/>
    <w:rsid w:val="4447232D"/>
    <w:rsid w:val="44475913"/>
    <w:rsid w:val="444A2721"/>
    <w:rsid w:val="444C09C5"/>
    <w:rsid w:val="444D7B43"/>
    <w:rsid w:val="444F6C14"/>
    <w:rsid w:val="44507E8D"/>
    <w:rsid w:val="4451100F"/>
    <w:rsid w:val="445220DE"/>
    <w:rsid w:val="4452277F"/>
    <w:rsid w:val="4453755D"/>
    <w:rsid w:val="4457722C"/>
    <w:rsid w:val="44585B46"/>
    <w:rsid w:val="445A728C"/>
    <w:rsid w:val="445B5902"/>
    <w:rsid w:val="445C46A9"/>
    <w:rsid w:val="445F0594"/>
    <w:rsid w:val="446049E9"/>
    <w:rsid w:val="446207EF"/>
    <w:rsid w:val="4462507A"/>
    <w:rsid w:val="44631865"/>
    <w:rsid w:val="446507DB"/>
    <w:rsid w:val="446676C2"/>
    <w:rsid w:val="44686C9F"/>
    <w:rsid w:val="446B5BF1"/>
    <w:rsid w:val="446D0580"/>
    <w:rsid w:val="446E029A"/>
    <w:rsid w:val="446E2197"/>
    <w:rsid w:val="446E258A"/>
    <w:rsid w:val="446F5E0B"/>
    <w:rsid w:val="447631A4"/>
    <w:rsid w:val="44787E34"/>
    <w:rsid w:val="44790EDB"/>
    <w:rsid w:val="447915A7"/>
    <w:rsid w:val="447C137E"/>
    <w:rsid w:val="447D0867"/>
    <w:rsid w:val="447D4620"/>
    <w:rsid w:val="447E3B3E"/>
    <w:rsid w:val="447E58AC"/>
    <w:rsid w:val="447E725A"/>
    <w:rsid w:val="4482362C"/>
    <w:rsid w:val="448261E6"/>
    <w:rsid w:val="4487720E"/>
    <w:rsid w:val="448775B9"/>
    <w:rsid w:val="4489160D"/>
    <w:rsid w:val="448A0D92"/>
    <w:rsid w:val="448A275A"/>
    <w:rsid w:val="448E2420"/>
    <w:rsid w:val="448F7AA5"/>
    <w:rsid w:val="44956D75"/>
    <w:rsid w:val="4497775E"/>
    <w:rsid w:val="44983C4F"/>
    <w:rsid w:val="44985FBC"/>
    <w:rsid w:val="44993FEF"/>
    <w:rsid w:val="44996A1E"/>
    <w:rsid w:val="449A2E4D"/>
    <w:rsid w:val="449D5BE7"/>
    <w:rsid w:val="449E15A7"/>
    <w:rsid w:val="44A00C0A"/>
    <w:rsid w:val="44A36C73"/>
    <w:rsid w:val="44A67943"/>
    <w:rsid w:val="44AC70C8"/>
    <w:rsid w:val="44AD050B"/>
    <w:rsid w:val="44AD4C98"/>
    <w:rsid w:val="44AD4F4A"/>
    <w:rsid w:val="44B17488"/>
    <w:rsid w:val="44B57A6F"/>
    <w:rsid w:val="44B632BB"/>
    <w:rsid w:val="44BA3C94"/>
    <w:rsid w:val="44BC65E3"/>
    <w:rsid w:val="44BC749B"/>
    <w:rsid w:val="44BD724D"/>
    <w:rsid w:val="44BF06E5"/>
    <w:rsid w:val="44BF11D1"/>
    <w:rsid w:val="44BF3205"/>
    <w:rsid w:val="44BF4102"/>
    <w:rsid w:val="44BF58EA"/>
    <w:rsid w:val="44C037C4"/>
    <w:rsid w:val="44C12795"/>
    <w:rsid w:val="44C217AC"/>
    <w:rsid w:val="44C23273"/>
    <w:rsid w:val="44C31AA9"/>
    <w:rsid w:val="44C46F83"/>
    <w:rsid w:val="44C5445C"/>
    <w:rsid w:val="44C554F0"/>
    <w:rsid w:val="44C60667"/>
    <w:rsid w:val="44CA7A44"/>
    <w:rsid w:val="44CB2CA9"/>
    <w:rsid w:val="44CB4DA3"/>
    <w:rsid w:val="44CC23B4"/>
    <w:rsid w:val="44CD57A6"/>
    <w:rsid w:val="44D12EFD"/>
    <w:rsid w:val="44D22A15"/>
    <w:rsid w:val="44D373C2"/>
    <w:rsid w:val="44D507FE"/>
    <w:rsid w:val="44D535D3"/>
    <w:rsid w:val="44D83234"/>
    <w:rsid w:val="44D845A6"/>
    <w:rsid w:val="44D9065F"/>
    <w:rsid w:val="44DA7CD3"/>
    <w:rsid w:val="44DB2B2B"/>
    <w:rsid w:val="44DC6591"/>
    <w:rsid w:val="44DE2E8D"/>
    <w:rsid w:val="44E25368"/>
    <w:rsid w:val="44E3715F"/>
    <w:rsid w:val="44E614F8"/>
    <w:rsid w:val="44E6238C"/>
    <w:rsid w:val="44EA208B"/>
    <w:rsid w:val="44EB02F9"/>
    <w:rsid w:val="44F033CF"/>
    <w:rsid w:val="44F03BDF"/>
    <w:rsid w:val="44F42973"/>
    <w:rsid w:val="44F56D84"/>
    <w:rsid w:val="44F628DB"/>
    <w:rsid w:val="44F6799F"/>
    <w:rsid w:val="44F71727"/>
    <w:rsid w:val="44F93F24"/>
    <w:rsid w:val="44FE1639"/>
    <w:rsid w:val="44FE40B0"/>
    <w:rsid w:val="44FF009A"/>
    <w:rsid w:val="44FF2932"/>
    <w:rsid w:val="4501046B"/>
    <w:rsid w:val="45016033"/>
    <w:rsid w:val="450562B5"/>
    <w:rsid w:val="450640A6"/>
    <w:rsid w:val="45081804"/>
    <w:rsid w:val="45084E76"/>
    <w:rsid w:val="45093BB8"/>
    <w:rsid w:val="450B738D"/>
    <w:rsid w:val="450C2738"/>
    <w:rsid w:val="450C6CD0"/>
    <w:rsid w:val="45100523"/>
    <w:rsid w:val="4512551C"/>
    <w:rsid w:val="451429E8"/>
    <w:rsid w:val="45186129"/>
    <w:rsid w:val="45190760"/>
    <w:rsid w:val="451B1453"/>
    <w:rsid w:val="451B56A0"/>
    <w:rsid w:val="451C0260"/>
    <w:rsid w:val="451C6E63"/>
    <w:rsid w:val="451C7129"/>
    <w:rsid w:val="45201ECA"/>
    <w:rsid w:val="45213655"/>
    <w:rsid w:val="45233CE3"/>
    <w:rsid w:val="45244871"/>
    <w:rsid w:val="45281091"/>
    <w:rsid w:val="45294F02"/>
    <w:rsid w:val="452A0765"/>
    <w:rsid w:val="452B1601"/>
    <w:rsid w:val="452C547C"/>
    <w:rsid w:val="452E7B0B"/>
    <w:rsid w:val="45301114"/>
    <w:rsid w:val="45303AAF"/>
    <w:rsid w:val="4531025B"/>
    <w:rsid w:val="453174E3"/>
    <w:rsid w:val="453437DB"/>
    <w:rsid w:val="453563A7"/>
    <w:rsid w:val="45367443"/>
    <w:rsid w:val="4538524A"/>
    <w:rsid w:val="453B50B8"/>
    <w:rsid w:val="453B5521"/>
    <w:rsid w:val="453C7191"/>
    <w:rsid w:val="4540650D"/>
    <w:rsid w:val="45445B28"/>
    <w:rsid w:val="45445E37"/>
    <w:rsid w:val="45453F36"/>
    <w:rsid w:val="45487038"/>
    <w:rsid w:val="454A64DB"/>
    <w:rsid w:val="454C11F8"/>
    <w:rsid w:val="454F5D39"/>
    <w:rsid w:val="4552087E"/>
    <w:rsid w:val="45551F07"/>
    <w:rsid w:val="45551FEB"/>
    <w:rsid w:val="45561F7D"/>
    <w:rsid w:val="45571F48"/>
    <w:rsid w:val="455A722E"/>
    <w:rsid w:val="455A7C6C"/>
    <w:rsid w:val="455E03E5"/>
    <w:rsid w:val="455E2FFD"/>
    <w:rsid w:val="4560310A"/>
    <w:rsid w:val="456233CE"/>
    <w:rsid w:val="45643749"/>
    <w:rsid w:val="45652486"/>
    <w:rsid w:val="45656801"/>
    <w:rsid w:val="456744CB"/>
    <w:rsid w:val="456B4379"/>
    <w:rsid w:val="456C2E3C"/>
    <w:rsid w:val="456E5E14"/>
    <w:rsid w:val="45704268"/>
    <w:rsid w:val="4570768B"/>
    <w:rsid w:val="45721CFF"/>
    <w:rsid w:val="4572277D"/>
    <w:rsid w:val="4572345B"/>
    <w:rsid w:val="45725EE4"/>
    <w:rsid w:val="45727418"/>
    <w:rsid w:val="45767578"/>
    <w:rsid w:val="45771F78"/>
    <w:rsid w:val="45777A36"/>
    <w:rsid w:val="4578192D"/>
    <w:rsid w:val="45783E0B"/>
    <w:rsid w:val="45794E27"/>
    <w:rsid w:val="457C0C2A"/>
    <w:rsid w:val="457D7B73"/>
    <w:rsid w:val="457E2104"/>
    <w:rsid w:val="457E2511"/>
    <w:rsid w:val="45821CA4"/>
    <w:rsid w:val="4584071A"/>
    <w:rsid w:val="45844139"/>
    <w:rsid w:val="45872D5B"/>
    <w:rsid w:val="4588781E"/>
    <w:rsid w:val="45890C6A"/>
    <w:rsid w:val="458F460F"/>
    <w:rsid w:val="45920194"/>
    <w:rsid w:val="45944AB3"/>
    <w:rsid w:val="4594600D"/>
    <w:rsid w:val="459614B6"/>
    <w:rsid w:val="4596375E"/>
    <w:rsid w:val="45985EAB"/>
    <w:rsid w:val="459C12AF"/>
    <w:rsid w:val="45A440B2"/>
    <w:rsid w:val="45A86E59"/>
    <w:rsid w:val="45AB7827"/>
    <w:rsid w:val="45AC2415"/>
    <w:rsid w:val="45AC7C93"/>
    <w:rsid w:val="45AF0D24"/>
    <w:rsid w:val="45AF3E69"/>
    <w:rsid w:val="45B12AF8"/>
    <w:rsid w:val="45B30B0D"/>
    <w:rsid w:val="45B37A5A"/>
    <w:rsid w:val="45B426B5"/>
    <w:rsid w:val="45B557B2"/>
    <w:rsid w:val="45B86A5D"/>
    <w:rsid w:val="45BC3475"/>
    <w:rsid w:val="45BF1DB0"/>
    <w:rsid w:val="45C05073"/>
    <w:rsid w:val="45C109C1"/>
    <w:rsid w:val="45C248C9"/>
    <w:rsid w:val="45C268BF"/>
    <w:rsid w:val="45C7385E"/>
    <w:rsid w:val="45C82A91"/>
    <w:rsid w:val="45C86E0C"/>
    <w:rsid w:val="45C87317"/>
    <w:rsid w:val="45D14BB2"/>
    <w:rsid w:val="45D862CD"/>
    <w:rsid w:val="45D96CF8"/>
    <w:rsid w:val="45DB0275"/>
    <w:rsid w:val="45DB2396"/>
    <w:rsid w:val="45DF25A3"/>
    <w:rsid w:val="45E06374"/>
    <w:rsid w:val="45E13ACE"/>
    <w:rsid w:val="45E430F0"/>
    <w:rsid w:val="45E5124B"/>
    <w:rsid w:val="45E84DCF"/>
    <w:rsid w:val="45EA0FF2"/>
    <w:rsid w:val="45EA2A1E"/>
    <w:rsid w:val="45ED352A"/>
    <w:rsid w:val="45F07E17"/>
    <w:rsid w:val="45F316DD"/>
    <w:rsid w:val="45F71978"/>
    <w:rsid w:val="45FD4B05"/>
    <w:rsid w:val="4600780B"/>
    <w:rsid w:val="46057802"/>
    <w:rsid w:val="46066A7A"/>
    <w:rsid w:val="46077B5C"/>
    <w:rsid w:val="46084958"/>
    <w:rsid w:val="46085F31"/>
    <w:rsid w:val="460869D1"/>
    <w:rsid w:val="460B014D"/>
    <w:rsid w:val="460C17BC"/>
    <w:rsid w:val="460C3F96"/>
    <w:rsid w:val="460D5FEB"/>
    <w:rsid w:val="46100C55"/>
    <w:rsid w:val="46100EC4"/>
    <w:rsid w:val="46105D87"/>
    <w:rsid w:val="46124AAF"/>
    <w:rsid w:val="46125133"/>
    <w:rsid w:val="461265D1"/>
    <w:rsid w:val="46137058"/>
    <w:rsid w:val="4614093E"/>
    <w:rsid w:val="46143882"/>
    <w:rsid w:val="46146169"/>
    <w:rsid w:val="46146525"/>
    <w:rsid w:val="46147697"/>
    <w:rsid w:val="46150379"/>
    <w:rsid w:val="46162EF2"/>
    <w:rsid w:val="4616773E"/>
    <w:rsid w:val="461749AC"/>
    <w:rsid w:val="461B42F2"/>
    <w:rsid w:val="461C05B2"/>
    <w:rsid w:val="461D7491"/>
    <w:rsid w:val="461E0113"/>
    <w:rsid w:val="461E04DE"/>
    <w:rsid w:val="46201467"/>
    <w:rsid w:val="4621495F"/>
    <w:rsid w:val="46230AC1"/>
    <w:rsid w:val="4623740B"/>
    <w:rsid w:val="462378AE"/>
    <w:rsid w:val="4625066D"/>
    <w:rsid w:val="46283E8A"/>
    <w:rsid w:val="462B5265"/>
    <w:rsid w:val="462E4021"/>
    <w:rsid w:val="462E7661"/>
    <w:rsid w:val="462F3B20"/>
    <w:rsid w:val="463003B1"/>
    <w:rsid w:val="4635721D"/>
    <w:rsid w:val="46363F9A"/>
    <w:rsid w:val="463652CA"/>
    <w:rsid w:val="46372357"/>
    <w:rsid w:val="463865DF"/>
    <w:rsid w:val="463D3477"/>
    <w:rsid w:val="463E5031"/>
    <w:rsid w:val="463F3877"/>
    <w:rsid w:val="463F4EA2"/>
    <w:rsid w:val="463F5E3B"/>
    <w:rsid w:val="464102BA"/>
    <w:rsid w:val="46412407"/>
    <w:rsid w:val="464128B2"/>
    <w:rsid w:val="46422120"/>
    <w:rsid w:val="46440020"/>
    <w:rsid w:val="46454004"/>
    <w:rsid w:val="46465EB5"/>
    <w:rsid w:val="4646696B"/>
    <w:rsid w:val="46472746"/>
    <w:rsid w:val="46490C9D"/>
    <w:rsid w:val="464C2280"/>
    <w:rsid w:val="464E09A5"/>
    <w:rsid w:val="4650460A"/>
    <w:rsid w:val="46514F55"/>
    <w:rsid w:val="46520D2C"/>
    <w:rsid w:val="46560C50"/>
    <w:rsid w:val="46566E84"/>
    <w:rsid w:val="4657163C"/>
    <w:rsid w:val="46571D81"/>
    <w:rsid w:val="46581370"/>
    <w:rsid w:val="46583512"/>
    <w:rsid w:val="46597E69"/>
    <w:rsid w:val="465B013C"/>
    <w:rsid w:val="465C45A7"/>
    <w:rsid w:val="465C7032"/>
    <w:rsid w:val="465D478C"/>
    <w:rsid w:val="465E44AF"/>
    <w:rsid w:val="465F1400"/>
    <w:rsid w:val="465F3EE2"/>
    <w:rsid w:val="465F40D9"/>
    <w:rsid w:val="465F7226"/>
    <w:rsid w:val="4664526C"/>
    <w:rsid w:val="466740DA"/>
    <w:rsid w:val="466742A0"/>
    <w:rsid w:val="466B473B"/>
    <w:rsid w:val="466C277A"/>
    <w:rsid w:val="466C32EE"/>
    <w:rsid w:val="466D768D"/>
    <w:rsid w:val="466E3D37"/>
    <w:rsid w:val="466F5AAF"/>
    <w:rsid w:val="466F5BE3"/>
    <w:rsid w:val="46701E50"/>
    <w:rsid w:val="46720208"/>
    <w:rsid w:val="46720B4A"/>
    <w:rsid w:val="467363A6"/>
    <w:rsid w:val="46760D92"/>
    <w:rsid w:val="46776899"/>
    <w:rsid w:val="467A3F9D"/>
    <w:rsid w:val="467B48AB"/>
    <w:rsid w:val="467B6F76"/>
    <w:rsid w:val="467D67A6"/>
    <w:rsid w:val="467E4C43"/>
    <w:rsid w:val="468015BF"/>
    <w:rsid w:val="468031F3"/>
    <w:rsid w:val="46836EFE"/>
    <w:rsid w:val="46851728"/>
    <w:rsid w:val="46852D3E"/>
    <w:rsid w:val="46857DDD"/>
    <w:rsid w:val="4687488C"/>
    <w:rsid w:val="46877FC7"/>
    <w:rsid w:val="46887EC0"/>
    <w:rsid w:val="468A0FD3"/>
    <w:rsid w:val="468C0603"/>
    <w:rsid w:val="468D686D"/>
    <w:rsid w:val="468D6F0A"/>
    <w:rsid w:val="468E68CD"/>
    <w:rsid w:val="46900948"/>
    <w:rsid w:val="4693248A"/>
    <w:rsid w:val="46961CC4"/>
    <w:rsid w:val="46961CE7"/>
    <w:rsid w:val="46971180"/>
    <w:rsid w:val="46974427"/>
    <w:rsid w:val="46985054"/>
    <w:rsid w:val="46990345"/>
    <w:rsid w:val="46992E85"/>
    <w:rsid w:val="469D3AA6"/>
    <w:rsid w:val="469F0D8A"/>
    <w:rsid w:val="469F3251"/>
    <w:rsid w:val="469F5513"/>
    <w:rsid w:val="46A04F9C"/>
    <w:rsid w:val="46A3246B"/>
    <w:rsid w:val="46A5765D"/>
    <w:rsid w:val="46A61A81"/>
    <w:rsid w:val="46A634FC"/>
    <w:rsid w:val="46A70EF1"/>
    <w:rsid w:val="46A8724C"/>
    <w:rsid w:val="46AA3B39"/>
    <w:rsid w:val="46AB0980"/>
    <w:rsid w:val="46B125B8"/>
    <w:rsid w:val="46B17AE1"/>
    <w:rsid w:val="46B22F9E"/>
    <w:rsid w:val="46B24079"/>
    <w:rsid w:val="46B404FC"/>
    <w:rsid w:val="46B41629"/>
    <w:rsid w:val="46B71D8B"/>
    <w:rsid w:val="46BA258B"/>
    <w:rsid w:val="46BA3CA8"/>
    <w:rsid w:val="46BA6964"/>
    <w:rsid w:val="46BA732D"/>
    <w:rsid w:val="46BD0E6B"/>
    <w:rsid w:val="46BE2CD2"/>
    <w:rsid w:val="46C2519B"/>
    <w:rsid w:val="46C4671E"/>
    <w:rsid w:val="46C51982"/>
    <w:rsid w:val="46C6263C"/>
    <w:rsid w:val="46C62D7B"/>
    <w:rsid w:val="46C918EB"/>
    <w:rsid w:val="46CB1B31"/>
    <w:rsid w:val="46CE7D93"/>
    <w:rsid w:val="46D11094"/>
    <w:rsid w:val="46D33BBF"/>
    <w:rsid w:val="46D42AF5"/>
    <w:rsid w:val="46D61336"/>
    <w:rsid w:val="46D71B8F"/>
    <w:rsid w:val="46D975C7"/>
    <w:rsid w:val="46DA1E41"/>
    <w:rsid w:val="46DA75F8"/>
    <w:rsid w:val="46DA7783"/>
    <w:rsid w:val="46DC2019"/>
    <w:rsid w:val="46DC3FDC"/>
    <w:rsid w:val="46DE6B84"/>
    <w:rsid w:val="46DF063B"/>
    <w:rsid w:val="46DF5AF6"/>
    <w:rsid w:val="46E045AD"/>
    <w:rsid w:val="46E21665"/>
    <w:rsid w:val="46E54314"/>
    <w:rsid w:val="46E82440"/>
    <w:rsid w:val="46E9311F"/>
    <w:rsid w:val="46E94B2B"/>
    <w:rsid w:val="46EC1F59"/>
    <w:rsid w:val="46EC28CB"/>
    <w:rsid w:val="46EE179D"/>
    <w:rsid w:val="46EE6796"/>
    <w:rsid w:val="46F26642"/>
    <w:rsid w:val="46F80545"/>
    <w:rsid w:val="46F85EAF"/>
    <w:rsid w:val="46F9351F"/>
    <w:rsid w:val="46FA0104"/>
    <w:rsid w:val="46FA3AAB"/>
    <w:rsid w:val="46FB2D45"/>
    <w:rsid w:val="46FB7D85"/>
    <w:rsid w:val="46FE4BB9"/>
    <w:rsid w:val="46FE5BD4"/>
    <w:rsid w:val="46FF71F6"/>
    <w:rsid w:val="4700473A"/>
    <w:rsid w:val="47005D87"/>
    <w:rsid w:val="4701015D"/>
    <w:rsid w:val="47024FEB"/>
    <w:rsid w:val="47030071"/>
    <w:rsid w:val="4703051E"/>
    <w:rsid w:val="470576A3"/>
    <w:rsid w:val="47085E59"/>
    <w:rsid w:val="47094043"/>
    <w:rsid w:val="470D0BD1"/>
    <w:rsid w:val="470E47A1"/>
    <w:rsid w:val="470F07D1"/>
    <w:rsid w:val="47124698"/>
    <w:rsid w:val="47156A85"/>
    <w:rsid w:val="4716145C"/>
    <w:rsid w:val="47165248"/>
    <w:rsid w:val="471706CB"/>
    <w:rsid w:val="471B4BF3"/>
    <w:rsid w:val="471E561D"/>
    <w:rsid w:val="4721265D"/>
    <w:rsid w:val="472167B9"/>
    <w:rsid w:val="4723400B"/>
    <w:rsid w:val="47256A47"/>
    <w:rsid w:val="47263E45"/>
    <w:rsid w:val="47274CCF"/>
    <w:rsid w:val="47292EB2"/>
    <w:rsid w:val="47293DBF"/>
    <w:rsid w:val="472B15DF"/>
    <w:rsid w:val="472C2BC5"/>
    <w:rsid w:val="472C3C46"/>
    <w:rsid w:val="472D0D6A"/>
    <w:rsid w:val="472D4927"/>
    <w:rsid w:val="472E3E61"/>
    <w:rsid w:val="472F0521"/>
    <w:rsid w:val="473078E3"/>
    <w:rsid w:val="4731292D"/>
    <w:rsid w:val="473302E7"/>
    <w:rsid w:val="473303EC"/>
    <w:rsid w:val="473364A5"/>
    <w:rsid w:val="473644FE"/>
    <w:rsid w:val="473776AF"/>
    <w:rsid w:val="4738755C"/>
    <w:rsid w:val="473922C8"/>
    <w:rsid w:val="473C5C70"/>
    <w:rsid w:val="473C79BD"/>
    <w:rsid w:val="473F3329"/>
    <w:rsid w:val="473F6A6E"/>
    <w:rsid w:val="47404C2D"/>
    <w:rsid w:val="4743560C"/>
    <w:rsid w:val="47450C61"/>
    <w:rsid w:val="47451198"/>
    <w:rsid w:val="47452BD4"/>
    <w:rsid w:val="4745624E"/>
    <w:rsid w:val="47477BC4"/>
    <w:rsid w:val="474A2AD9"/>
    <w:rsid w:val="474C0396"/>
    <w:rsid w:val="474C3108"/>
    <w:rsid w:val="474F4D27"/>
    <w:rsid w:val="47505436"/>
    <w:rsid w:val="47513C67"/>
    <w:rsid w:val="475341EB"/>
    <w:rsid w:val="4756675E"/>
    <w:rsid w:val="475712E1"/>
    <w:rsid w:val="47580051"/>
    <w:rsid w:val="475858F3"/>
    <w:rsid w:val="475954A3"/>
    <w:rsid w:val="475B15CD"/>
    <w:rsid w:val="475B2415"/>
    <w:rsid w:val="475B3433"/>
    <w:rsid w:val="475B5F71"/>
    <w:rsid w:val="475D03BC"/>
    <w:rsid w:val="475D74B5"/>
    <w:rsid w:val="475F18C2"/>
    <w:rsid w:val="47601575"/>
    <w:rsid w:val="47636D3A"/>
    <w:rsid w:val="47637FC8"/>
    <w:rsid w:val="47642C7B"/>
    <w:rsid w:val="4765425E"/>
    <w:rsid w:val="4766183E"/>
    <w:rsid w:val="476654B9"/>
    <w:rsid w:val="47682049"/>
    <w:rsid w:val="476A022E"/>
    <w:rsid w:val="476B7C6E"/>
    <w:rsid w:val="476D785A"/>
    <w:rsid w:val="476E1125"/>
    <w:rsid w:val="476E6C79"/>
    <w:rsid w:val="4771239D"/>
    <w:rsid w:val="4771797C"/>
    <w:rsid w:val="4772124F"/>
    <w:rsid w:val="47732A77"/>
    <w:rsid w:val="4773526C"/>
    <w:rsid w:val="47763F0B"/>
    <w:rsid w:val="4776573E"/>
    <w:rsid w:val="47786A66"/>
    <w:rsid w:val="47792E44"/>
    <w:rsid w:val="47794B34"/>
    <w:rsid w:val="477A43D6"/>
    <w:rsid w:val="478206B8"/>
    <w:rsid w:val="47833721"/>
    <w:rsid w:val="47851F32"/>
    <w:rsid w:val="47855D81"/>
    <w:rsid w:val="478868D7"/>
    <w:rsid w:val="478B0663"/>
    <w:rsid w:val="478E4491"/>
    <w:rsid w:val="47906228"/>
    <w:rsid w:val="479157B5"/>
    <w:rsid w:val="479229B9"/>
    <w:rsid w:val="4794135E"/>
    <w:rsid w:val="47952764"/>
    <w:rsid w:val="479538CE"/>
    <w:rsid w:val="47961770"/>
    <w:rsid w:val="479A4471"/>
    <w:rsid w:val="479B284C"/>
    <w:rsid w:val="479D0B37"/>
    <w:rsid w:val="47A044FC"/>
    <w:rsid w:val="47A04E27"/>
    <w:rsid w:val="47A07777"/>
    <w:rsid w:val="47A106BB"/>
    <w:rsid w:val="47A16D61"/>
    <w:rsid w:val="47A25B9C"/>
    <w:rsid w:val="47A311CA"/>
    <w:rsid w:val="47A413C7"/>
    <w:rsid w:val="47A44CE7"/>
    <w:rsid w:val="47A61972"/>
    <w:rsid w:val="47A87EF2"/>
    <w:rsid w:val="47A938D4"/>
    <w:rsid w:val="47A93B7B"/>
    <w:rsid w:val="47A946A4"/>
    <w:rsid w:val="47A94802"/>
    <w:rsid w:val="47AD4F0F"/>
    <w:rsid w:val="47AF565E"/>
    <w:rsid w:val="47B24484"/>
    <w:rsid w:val="47B453BD"/>
    <w:rsid w:val="47B559A9"/>
    <w:rsid w:val="47B6080B"/>
    <w:rsid w:val="47B73427"/>
    <w:rsid w:val="47B73881"/>
    <w:rsid w:val="47B90239"/>
    <w:rsid w:val="47B92973"/>
    <w:rsid w:val="47B944BA"/>
    <w:rsid w:val="47BA26F3"/>
    <w:rsid w:val="47BB16F3"/>
    <w:rsid w:val="47BD65F0"/>
    <w:rsid w:val="47BE027B"/>
    <w:rsid w:val="47BE10A8"/>
    <w:rsid w:val="47BE3ABB"/>
    <w:rsid w:val="47C14413"/>
    <w:rsid w:val="47C20E0E"/>
    <w:rsid w:val="47C61C00"/>
    <w:rsid w:val="47C741F7"/>
    <w:rsid w:val="47C924E7"/>
    <w:rsid w:val="47CC4279"/>
    <w:rsid w:val="47CF1577"/>
    <w:rsid w:val="47CF242E"/>
    <w:rsid w:val="47CF55EB"/>
    <w:rsid w:val="47CF5BF6"/>
    <w:rsid w:val="47CF73AD"/>
    <w:rsid w:val="47D0041B"/>
    <w:rsid w:val="47D17B78"/>
    <w:rsid w:val="47D40452"/>
    <w:rsid w:val="47D62F2E"/>
    <w:rsid w:val="47D67659"/>
    <w:rsid w:val="47D81D47"/>
    <w:rsid w:val="47D85763"/>
    <w:rsid w:val="47D97AAF"/>
    <w:rsid w:val="47DA3030"/>
    <w:rsid w:val="47DA4F20"/>
    <w:rsid w:val="47DD4BCE"/>
    <w:rsid w:val="47DD503F"/>
    <w:rsid w:val="47E3106A"/>
    <w:rsid w:val="47E66827"/>
    <w:rsid w:val="47EA1D3B"/>
    <w:rsid w:val="47ED3704"/>
    <w:rsid w:val="47ED759F"/>
    <w:rsid w:val="47EF035C"/>
    <w:rsid w:val="47EF05AD"/>
    <w:rsid w:val="47F24E30"/>
    <w:rsid w:val="47F26E6D"/>
    <w:rsid w:val="47F33A18"/>
    <w:rsid w:val="47F67111"/>
    <w:rsid w:val="47F813A4"/>
    <w:rsid w:val="47F911A2"/>
    <w:rsid w:val="47FB1E8D"/>
    <w:rsid w:val="47FB5E0E"/>
    <w:rsid w:val="48020959"/>
    <w:rsid w:val="48041D66"/>
    <w:rsid w:val="4805164B"/>
    <w:rsid w:val="4806537E"/>
    <w:rsid w:val="48091648"/>
    <w:rsid w:val="480A251E"/>
    <w:rsid w:val="480A469C"/>
    <w:rsid w:val="480A60A4"/>
    <w:rsid w:val="480B5568"/>
    <w:rsid w:val="480F2EEF"/>
    <w:rsid w:val="48103824"/>
    <w:rsid w:val="481124F5"/>
    <w:rsid w:val="481174BF"/>
    <w:rsid w:val="481272E6"/>
    <w:rsid w:val="48145803"/>
    <w:rsid w:val="48166B4D"/>
    <w:rsid w:val="481804B7"/>
    <w:rsid w:val="481C1655"/>
    <w:rsid w:val="481D7AAB"/>
    <w:rsid w:val="481E0EBA"/>
    <w:rsid w:val="48226767"/>
    <w:rsid w:val="482375BA"/>
    <w:rsid w:val="48240BA5"/>
    <w:rsid w:val="48243A9A"/>
    <w:rsid w:val="482626A5"/>
    <w:rsid w:val="4827558C"/>
    <w:rsid w:val="48280E54"/>
    <w:rsid w:val="4829294C"/>
    <w:rsid w:val="48294320"/>
    <w:rsid w:val="48296CD5"/>
    <w:rsid w:val="482B7C2D"/>
    <w:rsid w:val="482C5EC4"/>
    <w:rsid w:val="482D01F8"/>
    <w:rsid w:val="482E39ED"/>
    <w:rsid w:val="48334205"/>
    <w:rsid w:val="48334601"/>
    <w:rsid w:val="48352AFA"/>
    <w:rsid w:val="48360407"/>
    <w:rsid w:val="483612F0"/>
    <w:rsid w:val="48375B4F"/>
    <w:rsid w:val="4838250E"/>
    <w:rsid w:val="483875C5"/>
    <w:rsid w:val="48387BDB"/>
    <w:rsid w:val="483B5D8B"/>
    <w:rsid w:val="483C196C"/>
    <w:rsid w:val="483C1DDB"/>
    <w:rsid w:val="483D4D0D"/>
    <w:rsid w:val="483E6832"/>
    <w:rsid w:val="483F153F"/>
    <w:rsid w:val="48423B3B"/>
    <w:rsid w:val="48435DA2"/>
    <w:rsid w:val="4844039B"/>
    <w:rsid w:val="48467247"/>
    <w:rsid w:val="484A7512"/>
    <w:rsid w:val="484C7D58"/>
    <w:rsid w:val="484F61D3"/>
    <w:rsid w:val="48521101"/>
    <w:rsid w:val="48542499"/>
    <w:rsid w:val="485552DE"/>
    <w:rsid w:val="485612CF"/>
    <w:rsid w:val="4856318F"/>
    <w:rsid w:val="48567105"/>
    <w:rsid w:val="48580053"/>
    <w:rsid w:val="48584C0D"/>
    <w:rsid w:val="485A0179"/>
    <w:rsid w:val="485B1FC8"/>
    <w:rsid w:val="485C2ECA"/>
    <w:rsid w:val="485C3C4B"/>
    <w:rsid w:val="485D344E"/>
    <w:rsid w:val="485D449F"/>
    <w:rsid w:val="485E78FE"/>
    <w:rsid w:val="48633670"/>
    <w:rsid w:val="48637F49"/>
    <w:rsid w:val="4865475A"/>
    <w:rsid w:val="48673D26"/>
    <w:rsid w:val="48681E27"/>
    <w:rsid w:val="486A5D86"/>
    <w:rsid w:val="486B048C"/>
    <w:rsid w:val="486C6977"/>
    <w:rsid w:val="486D5E67"/>
    <w:rsid w:val="486E16CF"/>
    <w:rsid w:val="486F6882"/>
    <w:rsid w:val="486F73A4"/>
    <w:rsid w:val="48706BCD"/>
    <w:rsid w:val="48735B08"/>
    <w:rsid w:val="487711AB"/>
    <w:rsid w:val="487A7CA7"/>
    <w:rsid w:val="487C02A4"/>
    <w:rsid w:val="487C120D"/>
    <w:rsid w:val="487F0F7B"/>
    <w:rsid w:val="48820CD7"/>
    <w:rsid w:val="488478B2"/>
    <w:rsid w:val="48847BE3"/>
    <w:rsid w:val="488B3561"/>
    <w:rsid w:val="488F24B3"/>
    <w:rsid w:val="48923709"/>
    <w:rsid w:val="489318D3"/>
    <w:rsid w:val="4896066A"/>
    <w:rsid w:val="48960D82"/>
    <w:rsid w:val="48965A2D"/>
    <w:rsid w:val="48972883"/>
    <w:rsid w:val="48973DC3"/>
    <w:rsid w:val="48986CAE"/>
    <w:rsid w:val="4899794E"/>
    <w:rsid w:val="489B4BDB"/>
    <w:rsid w:val="489C3EB1"/>
    <w:rsid w:val="489E4456"/>
    <w:rsid w:val="489F1F21"/>
    <w:rsid w:val="489F64F5"/>
    <w:rsid w:val="48A01041"/>
    <w:rsid w:val="48A25B8D"/>
    <w:rsid w:val="48A30AF2"/>
    <w:rsid w:val="48A44892"/>
    <w:rsid w:val="48A45BCC"/>
    <w:rsid w:val="48A74CCD"/>
    <w:rsid w:val="48A77658"/>
    <w:rsid w:val="48AA2B7B"/>
    <w:rsid w:val="48AB288A"/>
    <w:rsid w:val="48AC43C7"/>
    <w:rsid w:val="48AD12C3"/>
    <w:rsid w:val="48AD7B85"/>
    <w:rsid w:val="48AE2757"/>
    <w:rsid w:val="48B2552F"/>
    <w:rsid w:val="48B31180"/>
    <w:rsid w:val="48B53914"/>
    <w:rsid w:val="48B551AF"/>
    <w:rsid w:val="48B73FF2"/>
    <w:rsid w:val="48B86DCB"/>
    <w:rsid w:val="48B920A3"/>
    <w:rsid w:val="48B95297"/>
    <w:rsid w:val="48B96001"/>
    <w:rsid w:val="48BB40ED"/>
    <w:rsid w:val="48BE4F8B"/>
    <w:rsid w:val="48BF37DB"/>
    <w:rsid w:val="48C2004D"/>
    <w:rsid w:val="48C2401C"/>
    <w:rsid w:val="48C348EC"/>
    <w:rsid w:val="48C54941"/>
    <w:rsid w:val="48CD530E"/>
    <w:rsid w:val="48CD73A5"/>
    <w:rsid w:val="48CF0098"/>
    <w:rsid w:val="48CF26AA"/>
    <w:rsid w:val="48D00D9A"/>
    <w:rsid w:val="48D04E53"/>
    <w:rsid w:val="48D06AAC"/>
    <w:rsid w:val="48D527DE"/>
    <w:rsid w:val="48D6381D"/>
    <w:rsid w:val="48D836C6"/>
    <w:rsid w:val="48DB2355"/>
    <w:rsid w:val="48DF2987"/>
    <w:rsid w:val="48E20867"/>
    <w:rsid w:val="48E25225"/>
    <w:rsid w:val="48E303B8"/>
    <w:rsid w:val="48E30B1B"/>
    <w:rsid w:val="48E37C8A"/>
    <w:rsid w:val="48E75679"/>
    <w:rsid w:val="48E759FF"/>
    <w:rsid w:val="48E82975"/>
    <w:rsid w:val="48EE0CEE"/>
    <w:rsid w:val="48EE108C"/>
    <w:rsid w:val="48EE5AA5"/>
    <w:rsid w:val="48EF0765"/>
    <w:rsid w:val="48F24E10"/>
    <w:rsid w:val="48F24E9B"/>
    <w:rsid w:val="48F7004E"/>
    <w:rsid w:val="48F845DF"/>
    <w:rsid w:val="48F96D1E"/>
    <w:rsid w:val="48FC686F"/>
    <w:rsid w:val="49015C82"/>
    <w:rsid w:val="4902548C"/>
    <w:rsid w:val="490442E2"/>
    <w:rsid w:val="490442F6"/>
    <w:rsid w:val="490600CE"/>
    <w:rsid w:val="490763CE"/>
    <w:rsid w:val="490A3AE0"/>
    <w:rsid w:val="490A46B3"/>
    <w:rsid w:val="490C2BB4"/>
    <w:rsid w:val="490F0F1C"/>
    <w:rsid w:val="490F4D7C"/>
    <w:rsid w:val="490F6986"/>
    <w:rsid w:val="49127D30"/>
    <w:rsid w:val="491466E9"/>
    <w:rsid w:val="4915173F"/>
    <w:rsid w:val="49157BAC"/>
    <w:rsid w:val="4916609A"/>
    <w:rsid w:val="491819EB"/>
    <w:rsid w:val="491A0C63"/>
    <w:rsid w:val="491A2839"/>
    <w:rsid w:val="491C6FEF"/>
    <w:rsid w:val="491E3758"/>
    <w:rsid w:val="491F141F"/>
    <w:rsid w:val="49200454"/>
    <w:rsid w:val="492161E7"/>
    <w:rsid w:val="49236DD9"/>
    <w:rsid w:val="49251303"/>
    <w:rsid w:val="4925718A"/>
    <w:rsid w:val="49266B06"/>
    <w:rsid w:val="49266D57"/>
    <w:rsid w:val="492726D6"/>
    <w:rsid w:val="492A521E"/>
    <w:rsid w:val="492E578F"/>
    <w:rsid w:val="492F483E"/>
    <w:rsid w:val="49305797"/>
    <w:rsid w:val="49357058"/>
    <w:rsid w:val="493913D0"/>
    <w:rsid w:val="49391D22"/>
    <w:rsid w:val="493A72EB"/>
    <w:rsid w:val="493B4108"/>
    <w:rsid w:val="493E5F28"/>
    <w:rsid w:val="493F363A"/>
    <w:rsid w:val="49410B08"/>
    <w:rsid w:val="49421CB8"/>
    <w:rsid w:val="49424AAA"/>
    <w:rsid w:val="49436735"/>
    <w:rsid w:val="494421D1"/>
    <w:rsid w:val="494445DE"/>
    <w:rsid w:val="49447344"/>
    <w:rsid w:val="49463391"/>
    <w:rsid w:val="49485456"/>
    <w:rsid w:val="494C17C3"/>
    <w:rsid w:val="494D2E94"/>
    <w:rsid w:val="494E5CD1"/>
    <w:rsid w:val="494E7500"/>
    <w:rsid w:val="495143DE"/>
    <w:rsid w:val="49516F1A"/>
    <w:rsid w:val="4955762A"/>
    <w:rsid w:val="49561776"/>
    <w:rsid w:val="49574DE9"/>
    <w:rsid w:val="49580209"/>
    <w:rsid w:val="49592F23"/>
    <w:rsid w:val="495B2A06"/>
    <w:rsid w:val="495C1FF4"/>
    <w:rsid w:val="495C7D79"/>
    <w:rsid w:val="495E1958"/>
    <w:rsid w:val="495E326E"/>
    <w:rsid w:val="495E3D51"/>
    <w:rsid w:val="495F50CA"/>
    <w:rsid w:val="49607CC1"/>
    <w:rsid w:val="49611CD4"/>
    <w:rsid w:val="49613501"/>
    <w:rsid w:val="49621E69"/>
    <w:rsid w:val="49631C7E"/>
    <w:rsid w:val="49675331"/>
    <w:rsid w:val="49680CB4"/>
    <w:rsid w:val="496A1DD0"/>
    <w:rsid w:val="496B60BE"/>
    <w:rsid w:val="496E1B87"/>
    <w:rsid w:val="49721FD3"/>
    <w:rsid w:val="497372B5"/>
    <w:rsid w:val="49763E40"/>
    <w:rsid w:val="49773202"/>
    <w:rsid w:val="497C03C0"/>
    <w:rsid w:val="497C3822"/>
    <w:rsid w:val="497D0498"/>
    <w:rsid w:val="497D11D2"/>
    <w:rsid w:val="497E4E02"/>
    <w:rsid w:val="49825B6F"/>
    <w:rsid w:val="498370BA"/>
    <w:rsid w:val="498430D9"/>
    <w:rsid w:val="49857CE0"/>
    <w:rsid w:val="498645D2"/>
    <w:rsid w:val="498B79C3"/>
    <w:rsid w:val="49903991"/>
    <w:rsid w:val="499112FB"/>
    <w:rsid w:val="49913085"/>
    <w:rsid w:val="499163DB"/>
    <w:rsid w:val="49930186"/>
    <w:rsid w:val="499348F9"/>
    <w:rsid w:val="4993627F"/>
    <w:rsid w:val="49951597"/>
    <w:rsid w:val="49956ECA"/>
    <w:rsid w:val="49961365"/>
    <w:rsid w:val="49974EAA"/>
    <w:rsid w:val="4997613D"/>
    <w:rsid w:val="4997678E"/>
    <w:rsid w:val="49982D9F"/>
    <w:rsid w:val="499B10DE"/>
    <w:rsid w:val="499D5541"/>
    <w:rsid w:val="499D66AF"/>
    <w:rsid w:val="49A17C8F"/>
    <w:rsid w:val="49A20329"/>
    <w:rsid w:val="49A27065"/>
    <w:rsid w:val="49A416EC"/>
    <w:rsid w:val="49A5127B"/>
    <w:rsid w:val="49A94E36"/>
    <w:rsid w:val="49AB241E"/>
    <w:rsid w:val="49AB6574"/>
    <w:rsid w:val="49AC7E15"/>
    <w:rsid w:val="49AD72B3"/>
    <w:rsid w:val="49AE108F"/>
    <w:rsid w:val="49AE628A"/>
    <w:rsid w:val="49B20F97"/>
    <w:rsid w:val="49B74FF6"/>
    <w:rsid w:val="49B77554"/>
    <w:rsid w:val="49B83D6D"/>
    <w:rsid w:val="49BB4270"/>
    <w:rsid w:val="49BC4E38"/>
    <w:rsid w:val="49BD6961"/>
    <w:rsid w:val="49BE6FFA"/>
    <w:rsid w:val="49C34009"/>
    <w:rsid w:val="49C4179A"/>
    <w:rsid w:val="49C6023A"/>
    <w:rsid w:val="49C60478"/>
    <w:rsid w:val="49C74436"/>
    <w:rsid w:val="49C74D92"/>
    <w:rsid w:val="49C91683"/>
    <w:rsid w:val="49C93C03"/>
    <w:rsid w:val="49CA5561"/>
    <w:rsid w:val="49CB25D6"/>
    <w:rsid w:val="49CC1129"/>
    <w:rsid w:val="49D01766"/>
    <w:rsid w:val="49D13EF3"/>
    <w:rsid w:val="49D32E3A"/>
    <w:rsid w:val="49D33564"/>
    <w:rsid w:val="49D542C4"/>
    <w:rsid w:val="49D74821"/>
    <w:rsid w:val="49DA150B"/>
    <w:rsid w:val="49DA1BDE"/>
    <w:rsid w:val="49DA5927"/>
    <w:rsid w:val="49DD51A1"/>
    <w:rsid w:val="49DF124E"/>
    <w:rsid w:val="49E31C36"/>
    <w:rsid w:val="49E36113"/>
    <w:rsid w:val="49E82169"/>
    <w:rsid w:val="49E83263"/>
    <w:rsid w:val="49E842F1"/>
    <w:rsid w:val="49E8490C"/>
    <w:rsid w:val="49E91976"/>
    <w:rsid w:val="49E9764D"/>
    <w:rsid w:val="49EA5121"/>
    <w:rsid w:val="49EF2983"/>
    <w:rsid w:val="49EF6392"/>
    <w:rsid w:val="49EF7E70"/>
    <w:rsid w:val="49F16BE8"/>
    <w:rsid w:val="49F206CF"/>
    <w:rsid w:val="49FA3A9E"/>
    <w:rsid w:val="49FB187C"/>
    <w:rsid w:val="49FB652A"/>
    <w:rsid w:val="49FC49E8"/>
    <w:rsid w:val="49FE72D6"/>
    <w:rsid w:val="4A004618"/>
    <w:rsid w:val="4A030777"/>
    <w:rsid w:val="4A031DB3"/>
    <w:rsid w:val="4A036FA7"/>
    <w:rsid w:val="4A04462D"/>
    <w:rsid w:val="4A06567A"/>
    <w:rsid w:val="4A0F16A0"/>
    <w:rsid w:val="4A102FF4"/>
    <w:rsid w:val="4A105FE8"/>
    <w:rsid w:val="4A110638"/>
    <w:rsid w:val="4A11213A"/>
    <w:rsid w:val="4A153B8F"/>
    <w:rsid w:val="4A18201E"/>
    <w:rsid w:val="4A1A3340"/>
    <w:rsid w:val="4A1A5D14"/>
    <w:rsid w:val="4A1A7486"/>
    <w:rsid w:val="4A1C6639"/>
    <w:rsid w:val="4A1C6B57"/>
    <w:rsid w:val="4A1E6B15"/>
    <w:rsid w:val="4A1F35E0"/>
    <w:rsid w:val="4A226E43"/>
    <w:rsid w:val="4A2600F1"/>
    <w:rsid w:val="4A262A31"/>
    <w:rsid w:val="4A281230"/>
    <w:rsid w:val="4A284814"/>
    <w:rsid w:val="4A290A12"/>
    <w:rsid w:val="4A2B5361"/>
    <w:rsid w:val="4A2C0455"/>
    <w:rsid w:val="4A2C5A99"/>
    <w:rsid w:val="4A2D1743"/>
    <w:rsid w:val="4A2E2638"/>
    <w:rsid w:val="4A2E361B"/>
    <w:rsid w:val="4A32023C"/>
    <w:rsid w:val="4A322B94"/>
    <w:rsid w:val="4A32696B"/>
    <w:rsid w:val="4A33219C"/>
    <w:rsid w:val="4A366457"/>
    <w:rsid w:val="4A371F79"/>
    <w:rsid w:val="4A385E63"/>
    <w:rsid w:val="4A3C79E7"/>
    <w:rsid w:val="4A454964"/>
    <w:rsid w:val="4A464AF5"/>
    <w:rsid w:val="4A4815E7"/>
    <w:rsid w:val="4A49116B"/>
    <w:rsid w:val="4A4A7FE7"/>
    <w:rsid w:val="4A4D4E97"/>
    <w:rsid w:val="4A512924"/>
    <w:rsid w:val="4A541C89"/>
    <w:rsid w:val="4A5548E0"/>
    <w:rsid w:val="4A573A42"/>
    <w:rsid w:val="4A581AE5"/>
    <w:rsid w:val="4A5A62BE"/>
    <w:rsid w:val="4A5C39BD"/>
    <w:rsid w:val="4A5D0FE2"/>
    <w:rsid w:val="4A62193D"/>
    <w:rsid w:val="4A626BAD"/>
    <w:rsid w:val="4A632D88"/>
    <w:rsid w:val="4A636D4D"/>
    <w:rsid w:val="4A640DF6"/>
    <w:rsid w:val="4A642BF6"/>
    <w:rsid w:val="4A6528BF"/>
    <w:rsid w:val="4A653DFE"/>
    <w:rsid w:val="4A6814BE"/>
    <w:rsid w:val="4A6B7A5F"/>
    <w:rsid w:val="4A6E1A93"/>
    <w:rsid w:val="4A6E5800"/>
    <w:rsid w:val="4A711F37"/>
    <w:rsid w:val="4A7147E6"/>
    <w:rsid w:val="4A725836"/>
    <w:rsid w:val="4A7418BB"/>
    <w:rsid w:val="4A745534"/>
    <w:rsid w:val="4A7A168C"/>
    <w:rsid w:val="4A7F1251"/>
    <w:rsid w:val="4A7F5A14"/>
    <w:rsid w:val="4A801EAE"/>
    <w:rsid w:val="4A805F19"/>
    <w:rsid w:val="4A811A4D"/>
    <w:rsid w:val="4A841D1A"/>
    <w:rsid w:val="4A845E85"/>
    <w:rsid w:val="4A873593"/>
    <w:rsid w:val="4A8905BF"/>
    <w:rsid w:val="4A8A23AC"/>
    <w:rsid w:val="4A8B273F"/>
    <w:rsid w:val="4A8B5630"/>
    <w:rsid w:val="4A8C11C9"/>
    <w:rsid w:val="4A8E28EC"/>
    <w:rsid w:val="4A8F316D"/>
    <w:rsid w:val="4A9045A2"/>
    <w:rsid w:val="4A914174"/>
    <w:rsid w:val="4A944F8D"/>
    <w:rsid w:val="4A956AC6"/>
    <w:rsid w:val="4A960DB9"/>
    <w:rsid w:val="4A9B62E0"/>
    <w:rsid w:val="4A9C1665"/>
    <w:rsid w:val="4A9D2C14"/>
    <w:rsid w:val="4A9E455B"/>
    <w:rsid w:val="4A9E4682"/>
    <w:rsid w:val="4AA21BEC"/>
    <w:rsid w:val="4AA277B3"/>
    <w:rsid w:val="4AA52E07"/>
    <w:rsid w:val="4AA86630"/>
    <w:rsid w:val="4AA96771"/>
    <w:rsid w:val="4AAB4C8A"/>
    <w:rsid w:val="4AAD2676"/>
    <w:rsid w:val="4AAD513E"/>
    <w:rsid w:val="4AAF6D83"/>
    <w:rsid w:val="4AB373DB"/>
    <w:rsid w:val="4AB57D94"/>
    <w:rsid w:val="4AB6188A"/>
    <w:rsid w:val="4AB6641D"/>
    <w:rsid w:val="4AB71566"/>
    <w:rsid w:val="4AB761EA"/>
    <w:rsid w:val="4AB81F4F"/>
    <w:rsid w:val="4ABB4BFB"/>
    <w:rsid w:val="4ABE671C"/>
    <w:rsid w:val="4ABF3B44"/>
    <w:rsid w:val="4AC02DBF"/>
    <w:rsid w:val="4AC03A3D"/>
    <w:rsid w:val="4AC139F0"/>
    <w:rsid w:val="4AC21A49"/>
    <w:rsid w:val="4AC50532"/>
    <w:rsid w:val="4AC636C2"/>
    <w:rsid w:val="4AC639A8"/>
    <w:rsid w:val="4AC63C18"/>
    <w:rsid w:val="4AC725DF"/>
    <w:rsid w:val="4AC736CF"/>
    <w:rsid w:val="4AC74CC9"/>
    <w:rsid w:val="4AC76F23"/>
    <w:rsid w:val="4ACB563E"/>
    <w:rsid w:val="4ACD5C84"/>
    <w:rsid w:val="4ACD646E"/>
    <w:rsid w:val="4ACE4C60"/>
    <w:rsid w:val="4ACE574B"/>
    <w:rsid w:val="4ACF3104"/>
    <w:rsid w:val="4AD04030"/>
    <w:rsid w:val="4AD51394"/>
    <w:rsid w:val="4AD62D54"/>
    <w:rsid w:val="4AD873BD"/>
    <w:rsid w:val="4AD97EB1"/>
    <w:rsid w:val="4ADA7FCE"/>
    <w:rsid w:val="4ADD606F"/>
    <w:rsid w:val="4ADE3FA2"/>
    <w:rsid w:val="4ADE4E86"/>
    <w:rsid w:val="4ADE7BD4"/>
    <w:rsid w:val="4ADF0FE5"/>
    <w:rsid w:val="4AE11DAD"/>
    <w:rsid w:val="4AE4710C"/>
    <w:rsid w:val="4AE6778C"/>
    <w:rsid w:val="4AE714FE"/>
    <w:rsid w:val="4AE72668"/>
    <w:rsid w:val="4AE920E6"/>
    <w:rsid w:val="4AEA2272"/>
    <w:rsid w:val="4AEA5D31"/>
    <w:rsid w:val="4AEB09FE"/>
    <w:rsid w:val="4AED5561"/>
    <w:rsid w:val="4AF01A71"/>
    <w:rsid w:val="4AF2133D"/>
    <w:rsid w:val="4AF25404"/>
    <w:rsid w:val="4AF54CA7"/>
    <w:rsid w:val="4AF60155"/>
    <w:rsid w:val="4AF62AAA"/>
    <w:rsid w:val="4AF727B9"/>
    <w:rsid w:val="4AF91A3E"/>
    <w:rsid w:val="4AFB2961"/>
    <w:rsid w:val="4AFC5199"/>
    <w:rsid w:val="4AFD63FE"/>
    <w:rsid w:val="4AFE1F1D"/>
    <w:rsid w:val="4AFE5047"/>
    <w:rsid w:val="4AFF5B78"/>
    <w:rsid w:val="4B011499"/>
    <w:rsid w:val="4B017851"/>
    <w:rsid w:val="4B024A7E"/>
    <w:rsid w:val="4B025F29"/>
    <w:rsid w:val="4B031F1F"/>
    <w:rsid w:val="4B0326A9"/>
    <w:rsid w:val="4B0429DB"/>
    <w:rsid w:val="4B043BFC"/>
    <w:rsid w:val="4B061FE1"/>
    <w:rsid w:val="4B08434A"/>
    <w:rsid w:val="4B0C57A7"/>
    <w:rsid w:val="4B0E082F"/>
    <w:rsid w:val="4B0E0FE1"/>
    <w:rsid w:val="4B0F3897"/>
    <w:rsid w:val="4B100F18"/>
    <w:rsid w:val="4B121509"/>
    <w:rsid w:val="4B13222F"/>
    <w:rsid w:val="4B154EEC"/>
    <w:rsid w:val="4B1731BB"/>
    <w:rsid w:val="4B175AF9"/>
    <w:rsid w:val="4B17792D"/>
    <w:rsid w:val="4B183387"/>
    <w:rsid w:val="4B1849E1"/>
    <w:rsid w:val="4B192EAD"/>
    <w:rsid w:val="4B19715E"/>
    <w:rsid w:val="4B197414"/>
    <w:rsid w:val="4B1A61F4"/>
    <w:rsid w:val="4B1B7ECC"/>
    <w:rsid w:val="4B1F0852"/>
    <w:rsid w:val="4B1F7638"/>
    <w:rsid w:val="4B211DE6"/>
    <w:rsid w:val="4B214968"/>
    <w:rsid w:val="4B236D7D"/>
    <w:rsid w:val="4B255B12"/>
    <w:rsid w:val="4B257E8E"/>
    <w:rsid w:val="4B262620"/>
    <w:rsid w:val="4B26705D"/>
    <w:rsid w:val="4B2673B1"/>
    <w:rsid w:val="4B2B4D7F"/>
    <w:rsid w:val="4B2B5C2E"/>
    <w:rsid w:val="4B2C1457"/>
    <w:rsid w:val="4B2C7DD9"/>
    <w:rsid w:val="4B2E5EEF"/>
    <w:rsid w:val="4B2E6178"/>
    <w:rsid w:val="4B307019"/>
    <w:rsid w:val="4B3147DE"/>
    <w:rsid w:val="4B317F29"/>
    <w:rsid w:val="4B332CBB"/>
    <w:rsid w:val="4B3344DE"/>
    <w:rsid w:val="4B3537BA"/>
    <w:rsid w:val="4B353E9D"/>
    <w:rsid w:val="4B382562"/>
    <w:rsid w:val="4B3A3D83"/>
    <w:rsid w:val="4B3C5145"/>
    <w:rsid w:val="4B3C7A0C"/>
    <w:rsid w:val="4B3D6292"/>
    <w:rsid w:val="4B3E064F"/>
    <w:rsid w:val="4B403B3D"/>
    <w:rsid w:val="4B4047D2"/>
    <w:rsid w:val="4B4460FF"/>
    <w:rsid w:val="4B4601BE"/>
    <w:rsid w:val="4B46270B"/>
    <w:rsid w:val="4B49003C"/>
    <w:rsid w:val="4B492374"/>
    <w:rsid w:val="4B493072"/>
    <w:rsid w:val="4B4B6F1B"/>
    <w:rsid w:val="4B4B7123"/>
    <w:rsid w:val="4B4D53A4"/>
    <w:rsid w:val="4B4E30FD"/>
    <w:rsid w:val="4B517BE5"/>
    <w:rsid w:val="4B520777"/>
    <w:rsid w:val="4B521051"/>
    <w:rsid w:val="4B524B70"/>
    <w:rsid w:val="4B534F3E"/>
    <w:rsid w:val="4B5514A3"/>
    <w:rsid w:val="4B564DA4"/>
    <w:rsid w:val="4B57753A"/>
    <w:rsid w:val="4B5A0428"/>
    <w:rsid w:val="4B5A5443"/>
    <w:rsid w:val="4B5B2EFF"/>
    <w:rsid w:val="4B5C1658"/>
    <w:rsid w:val="4B5C41B2"/>
    <w:rsid w:val="4B5F4DCA"/>
    <w:rsid w:val="4B611B0C"/>
    <w:rsid w:val="4B657291"/>
    <w:rsid w:val="4B6617D8"/>
    <w:rsid w:val="4B6626AB"/>
    <w:rsid w:val="4B665AB8"/>
    <w:rsid w:val="4B67564F"/>
    <w:rsid w:val="4B690DAD"/>
    <w:rsid w:val="4B6B03EF"/>
    <w:rsid w:val="4B6E480F"/>
    <w:rsid w:val="4B7109C4"/>
    <w:rsid w:val="4B712DC2"/>
    <w:rsid w:val="4B721E27"/>
    <w:rsid w:val="4B725C96"/>
    <w:rsid w:val="4B725F7E"/>
    <w:rsid w:val="4B7339CE"/>
    <w:rsid w:val="4B756FEA"/>
    <w:rsid w:val="4B757051"/>
    <w:rsid w:val="4B794F21"/>
    <w:rsid w:val="4B795822"/>
    <w:rsid w:val="4B7B1658"/>
    <w:rsid w:val="4B7C0939"/>
    <w:rsid w:val="4B820124"/>
    <w:rsid w:val="4B84382E"/>
    <w:rsid w:val="4B8479F4"/>
    <w:rsid w:val="4B874F52"/>
    <w:rsid w:val="4B890B6D"/>
    <w:rsid w:val="4B89209B"/>
    <w:rsid w:val="4B89363E"/>
    <w:rsid w:val="4B8C54A8"/>
    <w:rsid w:val="4B8D3321"/>
    <w:rsid w:val="4B8E5395"/>
    <w:rsid w:val="4B8E549A"/>
    <w:rsid w:val="4B8E6B6E"/>
    <w:rsid w:val="4B8E7B2F"/>
    <w:rsid w:val="4B8F60FD"/>
    <w:rsid w:val="4B910F21"/>
    <w:rsid w:val="4B9129C0"/>
    <w:rsid w:val="4B922152"/>
    <w:rsid w:val="4B9333BD"/>
    <w:rsid w:val="4B935BFD"/>
    <w:rsid w:val="4B9538EB"/>
    <w:rsid w:val="4B96196D"/>
    <w:rsid w:val="4B966375"/>
    <w:rsid w:val="4B9C4F38"/>
    <w:rsid w:val="4B9E5BB4"/>
    <w:rsid w:val="4B9F5621"/>
    <w:rsid w:val="4B9F5A99"/>
    <w:rsid w:val="4BA03EF2"/>
    <w:rsid w:val="4BA15CA2"/>
    <w:rsid w:val="4BA3662D"/>
    <w:rsid w:val="4BA568B7"/>
    <w:rsid w:val="4BA77CC0"/>
    <w:rsid w:val="4BA828D1"/>
    <w:rsid w:val="4BA8397E"/>
    <w:rsid w:val="4BA85757"/>
    <w:rsid w:val="4BA93CF4"/>
    <w:rsid w:val="4BAB1829"/>
    <w:rsid w:val="4BAD7B23"/>
    <w:rsid w:val="4BAF211F"/>
    <w:rsid w:val="4BB11BEE"/>
    <w:rsid w:val="4BB55D1C"/>
    <w:rsid w:val="4BB70F7C"/>
    <w:rsid w:val="4BB8250E"/>
    <w:rsid w:val="4BB87A49"/>
    <w:rsid w:val="4BB9639F"/>
    <w:rsid w:val="4BBD70D8"/>
    <w:rsid w:val="4BBE72BD"/>
    <w:rsid w:val="4BC033E8"/>
    <w:rsid w:val="4BC47C2C"/>
    <w:rsid w:val="4BC75A26"/>
    <w:rsid w:val="4BC77D22"/>
    <w:rsid w:val="4BC86342"/>
    <w:rsid w:val="4BCA0DD2"/>
    <w:rsid w:val="4BCB2250"/>
    <w:rsid w:val="4BCE3344"/>
    <w:rsid w:val="4BCE7E15"/>
    <w:rsid w:val="4BCF21D6"/>
    <w:rsid w:val="4BD12A2A"/>
    <w:rsid w:val="4BD2484A"/>
    <w:rsid w:val="4BD27E1D"/>
    <w:rsid w:val="4BD32B26"/>
    <w:rsid w:val="4BD35915"/>
    <w:rsid w:val="4BD63BAB"/>
    <w:rsid w:val="4BD808A0"/>
    <w:rsid w:val="4BD85678"/>
    <w:rsid w:val="4BDA10FE"/>
    <w:rsid w:val="4BDA3584"/>
    <w:rsid w:val="4BDC2D76"/>
    <w:rsid w:val="4BDD7B17"/>
    <w:rsid w:val="4BDF4722"/>
    <w:rsid w:val="4BE1011F"/>
    <w:rsid w:val="4BE308EB"/>
    <w:rsid w:val="4BE90059"/>
    <w:rsid w:val="4BEA2B6C"/>
    <w:rsid w:val="4BEA72E2"/>
    <w:rsid w:val="4BED221E"/>
    <w:rsid w:val="4BEE1E28"/>
    <w:rsid w:val="4BEE4443"/>
    <w:rsid w:val="4BF03F5B"/>
    <w:rsid w:val="4BF43776"/>
    <w:rsid w:val="4BF45B1F"/>
    <w:rsid w:val="4BF6755F"/>
    <w:rsid w:val="4BF86A61"/>
    <w:rsid w:val="4BFB0024"/>
    <w:rsid w:val="4BFB3EAF"/>
    <w:rsid w:val="4BFC287C"/>
    <w:rsid w:val="4BFC4BFF"/>
    <w:rsid w:val="4BFE479E"/>
    <w:rsid w:val="4C0036EE"/>
    <w:rsid w:val="4C021442"/>
    <w:rsid w:val="4C034A78"/>
    <w:rsid w:val="4C037C4B"/>
    <w:rsid w:val="4C061715"/>
    <w:rsid w:val="4C066FF6"/>
    <w:rsid w:val="4C085FA7"/>
    <w:rsid w:val="4C0915B9"/>
    <w:rsid w:val="4C0A45A7"/>
    <w:rsid w:val="4C0B6845"/>
    <w:rsid w:val="4C0C26EF"/>
    <w:rsid w:val="4C0C2D8B"/>
    <w:rsid w:val="4C0C3BAF"/>
    <w:rsid w:val="4C0E130E"/>
    <w:rsid w:val="4C0E2E73"/>
    <w:rsid w:val="4C103864"/>
    <w:rsid w:val="4C141E8D"/>
    <w:rsid w:val="4C152BA5"/>
    <w:rsid w:val="4C170594"/>
    <w:rsid w:val="4C17743D"/>
    <w:rsid w:val="4C18277E"/>
    <w:rsid w:val="4C1A594A"/>
    <w:rsid w:val="4C1D4E11"/>
    <w:rsid w:val="4C1D74AE"/>
    <w:rsid w:val="4C1E301B"/>
    <w:rsid w:val="4C222BA5"/>
    <w:rsid w:val="4C233CA6"/>
    <w:rsid w:val="4C245628"/>
    <w:rsid w:val="4C2769EC"/>
    <w:rsid w:val="4C2A31B8"/>
    <w:rsid w:val="4C2B176A"/>
    <w:rsid w:val="4C2C5D05"/>
    <w:rsid w:val="4C2D1F2A"/>
    <w:rsid w:val="4C2E593D"/>
    <w:rsid w:val="4C2E5DFE"/>
    <w:rsid w:val="4C3035CA"/>
    <w:rsid w:val="4C307BEB"/>
    <w:rsid w:val="4C325AEC"/>
    <w:rsid w:val="4C3274A5"/>
    <w:rsid w:val="4C336BF6"/>
    <w:rsid w:val="4C346F87"/>
    <w:rsid w:val="4C353FF5"/>
    <w:rsid w:val="4C382C66"/>
    <w:rsid w:val="4C3832F5"/>
    <w:rsid w:val="4C3A1052"/>
    <w:rsid w:val="4C3D43D2"/>
    <w:rsid w:val="4C3F5826"/>
    <w:rsid w:val="4C41087C"/>
    <w:rsid w:val="4C413E33"/>
    <w:rsid w:val="4C441C9F"/>
    <w:rsid w:val="4C4609A6"/>
    <w:rsid w:val="4C462344"/>
    <w:rsid w:val="4C4634A5"/>
    <w:rsid w:val="4C486E75"/>
    <w:rsid w:val="4C494627"/>
    <w:rsid w:val="4C4A7878"/>
    <w:rsid w:val="4C4B08FF"/>
    <w:rsid w:val="4C4C3723"/>
    <w:rsid w:val="4C4C506C"/>
    <w:rsid w:val="4C4C5570"/>
    <w:rsid w:val="4C4C7487"/>
    <w:rsid w:val="4C4E38DF"/>
    <w:rsid w:val="4C4F7FE6"/>
    <w:rsid w:val="4C5169E0"/>
    <w:rsid w:val="4C521952"/>
    <w:rsid w:val="4C53613C"/>
    <w:rsid w:val="4C5410CA"/>
    <w:rsid w:val="4C552C64"/>
    <w:rsid w:val="4C557B42"/>
    <w:rsid w:val="4C5740E7"/>
    <w:rsid w:val="4C575B03"/>
    <w:rsid w:val="4C576145"/>
    <w:rsid w:val="4C5B30E9"/>
    <w:rsid w:val="4C5C34E7"/>
    <w:rsid w:val="4C5F4C7F"/>
    <w:rsid w:val="4C603899"/>
    <w:rsid w:val="4C622B67"/>
    <w:rsid w:val="4C626E9A"/>
    <w:rsid w:val="4C63500B"/>
    <w:rsid w:val="4C66226D"/>
    <w:rsid w:val="4C6715A2"/>
    <w:rsid w:val="4C691630"/>
    <w:rsid w:val="4C6930F0"/>
    <w:rsid w:val="4C70384C"/>
    <w:rsid w:val="4C707809"/>
    <w:rsid w:val="4C730DBA"/>
    <w:rsid w:val="4C7324DE"/>
    <w:rsid w:val="4C736E68"/>
    <w:rsid w:val="4C746056"/>
    <w:rsid w:val="4C755154"/>
    <w:rsid w:val="4C757EED"/>
    <w:rsid w:val="4C766CD2"/>
    <w:rsid w:val="4C7674A8"/>
    <w:rsid w:val="4C767E76"/>
    <w:rsid w:val="4C772028"/>
    <w:rsid w:val="4C7775F2"/>
    <w:rsid w:val="4C7A1249"/>
    <w:rsid w:val="4C7A6563"/>
    <w:rsid w:val="4C7B1276"/>
    <w:rsid w:val="4C7C13DA"/>
    <w:rsid w:val="4C7D0D9E"/>
    <w:rsid w:val="4C800A99"/>
    <w:rsid w:val="4C8115C7"/>
    <w:rsid w:val="4C8240BE"/>
    <w:rsid w:val="4C824A6E"/>
    <w:rsid w:val="4C834862"/>
    <w:rsid w:val="4C8521F4"/>
    <w:rsid w:val="4C857D88"/>
    <w:rsid w:val="4C8609E4"/>
    <w:rsid w:val="4C8771B1"/>
    <w:rsid w:val="4C8E0208"/>
    <w:rsid w:val="4C914D87"/>
    <w:rsid w:val="4C9315C5"/>
    <w:rsid w:val="4C937E2E"/>
    <w:rsid w:val="4C965710"/>
    <w:rsid w:val="4C966832"/>
    <w:rsid w:val="4C981AFC"/>
    <w:rsid w:val="4C982560"/>
    <w:rsid w:val="4C9876DA"/>
    <w:rsid w:val="4C9974AE"/>
    <w:rsid w:val="4C9E2A78"/>
    <w:rsid w:val="4C9E2B30"/>
    <w:rsid w:val="4C9F0633"/>
    <w:rsid w:val="4C9F0B37"/>
    <w:rsid w:val="4C9F187B"/>
    <w:rsid w:val="4CA0019F"/>
    <w:rsid w:val="4CA340EF"/>
    <w:rsid w:val="4CA35948"/>
    <w:rsid w:val="4CA40699"/>
    <w:rsid w:val="4CA60C82"/>
    <w:rsid w:val="4CA65D3D"/>
    <w:rsid w:val="4CA81171"/>
    <w:rsid w:val="4CA833FF"/>
    <w:rsid w:val="4CA83C0B"/>
    <w:rsid w:val="4CA901DE"/>
    <w:rsid w:val="4CA910B2"/>
    <w:rsid w:val="4CAC20DD"/>
    <w:rsid w:val="4CAD1879"/>
    <w:rsid w:val="4CAF5B12"/>
    <w:rsid w:val="4CAF5DB5"/>
    <w:rsid w:val="4CB02351"/>
    <w:rsid w:val="4CB14454"/>
    <w:rsid w:val="4CB25888"/>
    <w:rsid w:val="4CB30892"/>
    <w:rsid w:val="4CB83A78"/>
    <w:rsid w:val="4CB84699"/>
    <w:rsid w:val="4CB87658"/>
    <w:rsid w:val="4CBA5E21"/>
    <w:rsid w:val="4CBB7E3A"/>
    <w:rsid w:val="4CBC4BFA"/>
    <w:rsid w:val="4CBC71A6"/>
    <w:rsid w:val="4CBE2C76"/>
    <w:rsid w:val="4CBE4842"/>
    <w:rsid w:val="4CC16600"/>
    <w:rsid w:val="4CCA4859"/>
    <w:rsid w:val="4CCC087E"/>
    <w:rsid w:val="4CCD3334"/>
    <w:rsid w:val="4CCD767C"/>
    <w:rsid w:val="4CCE0537"/>
    <w:rsid w:val="4CCE0666"/>
    <w:rsid w:val="4CCE369E"/>
    <w:rsid w:val="4CD13B8E"/>
    <w:rsid w:val="4CD36AEA"/>
    <w:rsid w:val="4CD36B55"/>
    <w:rsid w:val="4CD40C97"/>
    <w:rsid w:val="4CD4131E"/>
    <w:rsid w:val="4CD7644B"/>
    <w:rsid w:val="4CD85325"/>
    <w:rsid w:val="4CD92BB0"/>
    <w:rsid w:val="4CD936A1"/>
    <w:rsid w:val="4CDB6406"/>
    <w:rsid w:val="4CDC342B"/>
    <w:rsid w:val="4CDC55E5"/>
    <w:rsid w:val="4CDD4F1B"/>
    <w:rsid w:val="4CDF0258"/>
    <w:rsid w:val="4CE04225"/>
    <w:rsid w:val="4CE07147"/>
    <w:rsid w:val="4CE62F50"/>
    <w:rsid w:val="4CE804B5"/>
    <w:rsid w:val="4CEC2749"/>
    <w:rsid w:val="4CEC4D5D"/>
    <w:rsid w:val="4CEC658D"/>
    <w:rsid w:val="4CED0106"/>
    <w:rsid w:val="4CED0B92"/>
    <w:rsid w:val="4CED2EFA"/>
    <w:rsid w:val="4CEE198B"/>
    <w:rsid w:val="4CEE56E2"/>
    <w:rsid w:val="4CF31717"/>
    <w:rsid w:val="4CF548B8"/>
    <w:rsid w:val="4CF63C63"/>
    <w:rsid w:val="4CF64B1C"/>
    <w:rsid w:val="4CF707BE"/>
    <w:rsid w:val="4CF83AC8"/>
    <w:rsid w:val="4CF84D80"/>
    <w:rsid w:val="4CF90896"/>
    <w:rsid w:val="4CFA6705"/>
    <w:rsid w:val="4CFD38A8"/>
    <w:rsid w:val="4CFE2D00"/>
    <w:rsid w:val="4CFE3735"/>
    <w:rsid w:val="4CFF61CA"/>
    <w:rsid w:val="4D012B6A"/>
    <w:rsid w:val="4D022FDC"/>
    <w:rsid w:val="4D0507C1"/>
    <w:rsid w:val="4D052200"/>
    <w:rsid w:val="4D05454B"/>
    <w:rsid w:val="4D090768"/>
    <w:rsid w:val="4D091F58"/>
    <w:rsid w:val="4D0B3F7A"/>
    <w:rsid w:val="4D0C175D"/>
    <w:rsid w:val="4D0E4869"/>
    <w:rsid w:val="4D0E6F8B"/>
    <w:rsid w:val="4D0F0F33"/>
    <w:rsid w:val="4D0F23FB"/>
    <w:rsid w:val="4D106094"/>
    <w:rsid w:val="4D127E3B"/>
    <w:rsid w:val="4D174ACC"/>
    <w:rsid w:val="4D174FDB"/>
    <w:rsid w:val="4D1A49F7"/>
    <w:rsid w:val="4D1C2CD1"/>
    <w:rsid w:val="4D1E3E10"/>
    <w:rsid w:val="4D1F0C1B"/>
    <w:rsid w:val="4D202B75"/>
    <w:rsid w:val="4D2305A9"/>
    <w:rsid w:val="4D234D50"/>
    <w:rsid w:val="4D266C9F"/>
    <w:rsid w:val="4D2756FE"/>
    <w:rsid w:val="4D2B19B9"/>
    <w:rsid w:val="4D2C3FF3"/>
    <w:rsid w:val="4D2D0E23"/>
    <w:rsid w:val="4D303FE3"/>
    <w:rsid w:val="4D304ADA"/>
    <w:rsid w:val="4D317A6C"/>
    <w:rsid w:val="4D3235D8"/>
    <w:rsid w:val="4D334B90"/>
    <w:rsid w:val="4D3355C9"/>
    <w:rsid w:val="4D370437"/>
    <w:rsid w:val="4D394550"/>
    <w:rsid w:val="4D3950CD"/>
    <w:rsid w:val="4D3A25DB"/>
    <w:rsid w:val="4D3D78F7"/>
    <w:rsid w:val="4D3F22F5"/>
    <w:rsid w:val="4D413971"/>
    <w:rsid w:val="4D416A39"/>
    <w:rsid w:val="4D424EBE"/>
    <w:rsid w:val="4D472379"/>
    <w:rsid w:val="4D4A29FE"/>
    <w:rsid w:val="4D4A5ED1"/>
    <w:rsid w:val="4D4D25BB"/>
    <w:rsid w:val="4D4D2F8D"/>
    <w:rsid w:val="4D4E44B3"/>
    <w:rsid w:val="4D5138E7"/>
    <w:rsid w:val="4D5263F8"/>
    <w:rsid w:val="4D531943"/>
    <w:rsid w:val="4D544F43"/>
    <w:rsid w:val="4D553236"/>
    <w:rsid w:val="4D560626"/>
    <w:rsid w:val="4D564ADE"/>
    <w:rsid w:val="4D565F76"/>
    <w:rsid w:val="4D596C8A"/>
    <w:rsid w:val="4D5B6444"/>
    <w:rsid w:val="4D5D2822"/>
    <w:rsid w:val="4D5E567D"/>
    <w:rsid w:val="4D600A62"/>
    <w:rsid w:val="4D621B35"/>
    <w:rsid w:val="4D674795"/>
    <w:rsid w:val="4D690A1A"/>
    <w:rsid w:val="4D690CA7"/>
    <w:rsid w:val="4D6D2087"/>
    <w:rsid w:val="4D6F21F6"/>
    <w:rsid w:val="4D6F5420"/>
    <w:rsid w:val="4D71150D"/>
    <w:rsid w:val="4D7173EE"/>
    <w:rsid w:val="4D721F5B"/>
    <w:rsid w:val="4D7643E0"/>
    <w:rsid w:val="4D773C76"/>
    <w:rsid w:val="4D775F74"/>
    <w:rsid w:val="4D783D75"/>
    <w:rsid w:val="4D7B0306"/>
    <w:rsid w:val="4D7C427C"/>
    <w:rsid w:val="4D7E73FB"/>
    <w:rsid w:val="4D8253B0"/>
    <w:rsid w:val="4D831A43"/>
    <w:rsid w:val="4D86527F"/>
    <w:rsid w:val="4D8A4BDE"/>
    <w:rsid w:val="4D8C312B"/>
    <w:rsid w:val="4D8C350F"/>
    <w:rsid w:val="4D8C4C81"/>
    <w:rsid w:val="4D8D2CFF"/>
    <w:rsid w:val="4D8E1C75"/>
    <w:rsid w:val="4D8E2380"/>
    <w:rsid w:val="4D917BDC"/>
    <w:rsid w:val="4D9306E1"/>
    <w:rsid w:val="4D933C0E"/>
    <w:rsid w:val="4D972E13"/>
    <w:rsid w:val="4D9900EF"/>
    <w:rsid w:val="4D9B1767"/>
    <w:rsid w:val="4D9C192D"/>
    <w:rsid w:val="4DA01D8B"/>
    <w:rsid w:val="4DA14D2B"/>
    <w:rsid w:val="4DA20A68"/>
    <w:rsid w:val="4DA222DB"/>
    <w:rsid w:val="4DAD74D5"/>
    <w:rsid w:val="4DB1681B"/>
    <w:rsid w:val="4DB263B2"/>
    <w:rsid w:val="4DB32D02"/>
    <w:rsid w:val="4DB32E42"/>
    <w:rsid w:val="4DB33ECC"/>
    <w:rsid w:val="4DB51AFA"/>
    <w:rsid w:val="4DB77E17"/>
    <w:rsid w:val="4DB82F3A"/>
    <w:rsid w:val="4DBA3222"/>
    <w:rsid w:val="4DBA6E15"/>
    <w:rsid w:val="4DBA74BF"/>
    <w:rsid w:val="4DC07828"/>
    <w:rsid w:val="4DC07F2D"/>
    <w:rsid w:val="4DC37341"/>
    <w:rsid w:val="4DC57676"/>
    <w:rsid w:val="4DC67F31"/>
    <w:rsid w:val="4DC864FD"/>
    <w:rsid w:val="4DC86AD3"/>
    <w:rsid w:val="4DC909B8"/>
    <w:rsid w:val="4DCA5148"/>
    <w:rsid w:val="4DCA5440"/>
    <w:rsid w:val="4DCB4388"/>
    <w:rsid w:val="4DCD74EB"/>
    <w:rsid w:val="4DCE709F"/>
    <w:rsid w:val="4DCF1BE2"/>
    <w:rsid w:val="4DCF49CC"/>
    <w:rsid w:val="4DD34964"/>
    <w:rsid w:val="4DD356FE"/>
    <w:rsid w:val="4DD51B0E"/>
    <w:rsid w:val="4DD665A3"/>
    <w:rsid w:val="4DD8131E"/>
    <w:rsid w:val="4DD94D5D"/>
    <w:rsid w:val="4DDA6195"/>
    <w:rsid w:val="4DDB0D2C"/>
    <w:rsid w:val="4DDB18F9"/>
    <w:rsid w:val="4DE74AD9"/>
    <w:rsid w:val="4DE75535"/>
    <w:rsid w:val="4DEC0407"/>
    <w:rsid w:val="4DED037A"/>
    <w:rsid w:val="4DED521F"/>
    <w:rsid w:val="4DEF1D5D"/>
    <w:rsid w:val="4DEF3D3B"/>
    <w:rsid w:val="4DF301D5"/>
    <w:rsid w:val="4DF87A5E"/>
    <w:rsid w:val="4DF927A5"/>
    <w:rsid w:val="4DF956C5"/>
    <w:rsid w:val="4DFA1E8B"/>
    <w:rsid w:val="4DFA55CF"/>
    <w:rsid w:val="4DFC47EB"/>
    <w:rsid w:val="4E011E5A"/>
    <w:rsid w:val="4E014708"/>
    <w:rsid w:val="4E04530D"/>
    <w:rsid w:val="4E0669CD"/>
    <w:rsid w:val="4E0670F1"/>
    <w:rsid w:val="4E072DDB"/>
    <w:rsid w:val="4E085936"/>
    <w:rsid w:val="4E0935FF"/>
    <w:rsid w:val="4E095E60"/>
    <w:rsid w:val="4E0B611D"/>
    <w:rsid w:val="4E0C0705"/>
    <w:rsid w:val="4E0D1F12"/>
    <w:rsid w:val="4E0D5726"/>
    <w:rsid w:val="4E0E0AA8"/>
    <w:rsid w:val="4E100E59"/>
    <w:rsid w:val="4E11307F"/>
    <w:rsid w:val="4E121802"/>
    <w:rsid w:val="4E141C54"/>
    <w:rsid w:val="4E152DF8"/>
    <w:rsid w:val="4E1661D6"/>
    <w:rsid w:val="4E176485"/>
    <w:rsid w:val="4E184D3D"/>
    <w:rsid w:val="4E190F9D"/>
    <w:rsid w:val="4E1B12A1"/>
    <w:rsid w:val="4E1B21C9"/>
    <w:rsid w:val="4E1F596B"/>
    <w:rsid w:val="4E216D71"/>
    <w:rsid w:val="4E217FFF"/>
    <w:rsid w:val="4E22159A"/>
    <w:rsid w:val="4E237C9B"/>
    <w:rsid w:val="4E237D77"/>
    <w:rsid w:val="4E247B76"/>
    <w:rsid w:val="4E264437"/>
    <w:rsid w:val="4E267BC9"/>
    <w:rsid w:val="4E267F3D"/>
    <w:rsid w:val="4E28359A"/>
    <w:rsid w:val="4E285787"/>
    <w:rsid w:val="4E2B2C47"/>
    <w:rsid w:val="4E2B457D"/>
    <w:rsid w:val="4E2B62F5"/>
    <w:rsid w:val="4E2C5C5B"/>
    <w:rsid w:val="4E2C79BA"/>
    <w:rsid w:val="4E2E2107"/>
    <w:rsid w:val="4E336FD2"/>
    <w:rsid w:val="4E3409AA"/>
    <w:rsid w:val="4E351DBB"/>
    <w:rsid w:val="4E351EF6"/>
    <w:rsid w:val="4E37198F"/>
    <w:rsid w:val="4E397100"/>
    <w:rsid w:val="4E3C077F"/>
    <w:rsid w:val="4E3C3792"/>
    <w:rsid w:val="4E3C6022"/>
    <w:rsid w:val="4E3F0EA7"/>
    <w:rsid w:val="4E3F326B"/>
    <w:rsid w:val="4E4049ED"/>
    <w:rsid w:val="4E4059D3"/>
    <w:rsid w:val="4E420DE5"/>
    <w:rsid w:val="4E43184D"/>
    <w:rsid w:val="4E4443AD"/>
    <w:rsid w:val="4E452946"/>
    <w:rsid w:val="4E4814C6"/>
    <w:rsid w:val="4E4900C9"/>
    <w:rsid w:val="4E497D25"/>
    <w:rsid w:val="4E4A2512"/>
    <w:rsid w:val="4E4F7C1B"/>
    <w:rsid w:val="4E545E43"/>
    <w:rsid w:val="4E5536EC"/>
    <w:rsid w:val="4E556F20"/>
    <w:rsid w:val="4E557CB8"/>
    <w:rsid w:val="4E5A012B"/>
    <w:rsid w:val="4E5A540E"/>
    <w:rsid w:val="4E5B5090"/>
    <w:rsid w:val="4E5D7883"/>
    <w:rsid w:val="4E5E7C4E"/>
    <w:rsid w:val="4E5F00B9"/>
    <w:rsid w:val="4E6330F0"/>
    <w:rsid w:val="4E646389"/>
    <w:rsid w:val="4E672FC8"/>
    <w:rsid w:val="4E6C5CE3"/>
    <w:rsid w:val="4E6C6CA6"/>
    <w:rsid w:val="4E6D5E34"/>
    <w:rsid w:val="4E70163C"/>
    <w:rsid w:val="4E7166AF"/>
    <w:rsid w:val="4E7207F5"/>
    <w:rsid w:val="4E730801"/>
    <w:rsid w:val="4E7349F5"/>
    <w:rsid w:val="4E774BBA"/>
    <w:rsid w:val="4E7B2D64"/>
    <w:rsid w:val="4E7B7989"/>
    <w:rsid w:val="4E7D4565"/>
    <w:rsid w:val="4E7F23C3"/>
    <w:rsid w:val="4E807B59"/>
    <w:rsid w:val="4E815E4D"/>
    <w:rsid w:val="4E84183A"/>
    <w:rsid w:val="4E851276"/>
    <w:rsid w:val="4E890BE8"/>
    <w:rsid w:val="4E8A412E"/>
    <w:rsid w:val="4E8B29C1"/>
    <w:rsid w:val="4E936A51"/>
    <w:rsid w:val="4E940BB4"/>
    <w:rsid w:val="4E9539C0"/>
    <w:rsid w:val="4E9544B0"/>
    <w:rsid w:val="4E962F04"/>
    <w:rsid w:val="4E966B6F"/>
    <w:rsid w:val="4E973D10"/>
    <w:rsid w:val="4E980AB5"/>
    <w:rsid w:val="4E986B2C"/>
    <w:rsid w:val="4E9A0823"/>
    <w:rsid w:val="4E9A52CB"/>
    <w:rsid w:val="4E9B474E"/>
    <w:rsid w:val="4E9C4816"/>
    <w:rsid w:val="4E9E35E1"/>
    <w:rsid w:val="4EA00FFA"/>
    <w:rsid w:val="4EA11BBE"/>
    <w:rsid w:val="4EA27DD1"/>
    <w:rsid w:val="4EA3354D"/>
    <w:rsid w:val="4EA3544C"/>
    <w:rsid w:val="4EA40EFD"/>
    <w:rsid w:val="4EA63DA3"/>
    <w:rsid w:val="4EA826FC"/>
    <w:rsid w:val="4EA912C0"/>
    <w:rsid w:val="4EAA4920"/>
    <w:rsid w:val="4EAB2320"/>
    <w:rsid w:val="4EAB285A"/>
    <w:rsid w:val="4EAC69D3"/>
    <w:rsid w:val="4EAD799D"/>
    <w:rsid w:val="4EAE68AD"/>
    <w:rsid w:val="4EB02C20"/>
    <w:rsid w:val="4EB04569"/>
    <w:rsid w:val="4EB232E1"/>
    <w:rsid w:val="4EB37035"/>
    <w:rsid w:val="4EB55BDA"/>
    <w:rsid w:val="4EB7619D"/>
    <w:rsid w:val="4EB77D18"/>
    <w:rsid w:val="4EB8542A"/>
    <w:rsid w:val="4EBA06AE"/>
    <w:rsid w:val="4EBB73CC"/>
    <w:rsid w:val="4EBF149E"/>
    <w:rsid w:val="4EBF7209"/>
    <w:rsid w:val="4EC0052D"/>
    <w:rsid w:val="4EC111E2"/>
    <w:rsid w:val="4EC17C37"/>
    <w:rsid w:val="4EC454D4"/>
    <w:rsid w:val="4EC46E2D"/>
    <w:rsid w:val="4EC523CB"/>
    <w:rsid w:val="4EC7684E"/>
    <w:rsid w:val="4ECB55D8"/>
    <w:rsid w:val="4ECC19A9"/>
    <w:rsid w:val="4ECC1B1F"/>
    <w:rsid w:val="4ECC4A56"/>
    <w:rsid w:val="4ECD0E4A"/>
    <w:rsid w:val="4ECE12AD"/>
    <w:rsid w:val="4ECE4153"/>
    <w:rsid w:val="4ED47C26"/>
    <w:rsid w:val="4ED81A4C"/>
    <w:rsid w:val="4ED832A3"/>
    <w:rsid w:val="4ED84D30"/>
    <w:rsid w:val="4EDA004C"/>
    <w:rsid w:val="4EDA46E7"/>
    <w:rsid w:val="4EDC228C"/>
    <w:rsid w:val="4EDD7820"/>
    <w:rsid w:val="4EDE2169"/>
    <w:rsid w:val="4EE017ED"/>
    <w:rsid w:val="4EE15CF8"/>
    <w:rsid w:val="4EE21211"/>
    <w:rsid w:val="4EE24A9A"/>
    <w:rsid w:val="4EE63CD1"/>
    <w:rsid w:val="4EE75950"/>
    <w:rsid w:val="4EE87353"/>
    <w:rsid w:val="4EEC29CF"/>
    <w:rsid w:val="4EEC3AEE"/>
    <w:rsid w:val="4EEC4543"/>
    <w:rsid w:val="4EEC59D0"/>
    <w:rsid w:val="4EEC64FF"/>
    <w:rsid w:val="4EEE5D1E"/>
    <w:rsid w:val="4EEF1412"/>
    <w:rsid w:val="4EEF532A"/>
    <w:rsid w:val="4EEF5E84"/>
    <w:rsid w:val="4EF04A26"/>
    <w:rsid w:val="4EF14E58"/>
    <w:rsid w:val="4EF40BF0"/>
    <w:rsid w:val="4EF53CDD"/>
    <w:rsid w:val="4EF66038"/>
    <w:rsid w:val="4EF97EBA"/>
    <w:rsid w:val="4EF97F67"/>
    <w:rsid w:val="4EFB1D18"/>
    <w:rsid w:val="4EFB5B52"/>
    <w:rsid w:val="4EFE1F45"/>
    <w:rsid w:val="4EFE33C7"/>
    <w:rsid w:val="4EFE36F4"/>
    <w:rsid w:val="4F005CA8"/>
    <w:rsid w:val="4F014D5D"/>
    <w:rsid w:val="4F015602"/>
    <w:rsid w:val="4F024773"/>
    <w:rsid w:val="4F067BB0"/>
    <w:rsid w:val="4F07267B"/>
    <w:rsid w:val="4F07574A"/>
    <w:rsid w:val="4F0820E0"/>
    <w:rsid w:val="4F08604B"/>
    <w:rsid w:val="4F0B2099"/>
    <w:rsid w:val="4F0E53DF"/>
    <w:rsid w:val="4F144C53"/>
    <w:rsid w:val="4F147FB6"/>
    <w:rsid w:val="4F157469"/>
    <w:rsid w:val="4F164843"/>
    <w:rsid w:val="4F1812C1"/>
    <w:rsid w:val="4F190C83"/>
    <w:rsid w:val="4F197717"/>
    <w:rsid w:val="4F1B29DC"/>
    <w:rsid w:val="4F1B7EBE"/>
    <w:rsid w:val="4F1D2245"/>
    <w:rsid w:val="4F1D320D"/>
    <w:rsid w:val="4F1E0B7A"/>
    <w:rsid w:val="4F1E1658"/>
    <w:rsid w:val="4F1E5008"/>
    <w:rsid w:val="4F1E6452"/>
    <w:rsid w:val="4F1F07E3"/>
    <w:rsid w:val="4F1F7303"/>
    <w:rsid w:val="4F252712"/>
    <w:rsid w:val="4F273C3B"/>
    <w:rsid w:val="4F274B5A"/>
    <w:rsid w:val="4F2848D0"/>
    <w:rsid w:val="4F28765F"/>
    <w:rsid w:val="4F2A6329"/>
    <w:rsid w:val="4F2B7DEF"/>
    <w:rsid w:val="4F2C07C9"/>
    <w:rsid w:val="4F2D3DFE"/>
    <w:rsid w:val="4F2E735E"/>
    <w:rsid w:val="4F2F41B6"/>
    <w:rsid w:val="4F300C34"/>
    <w:rsid w:val="4F300C4C"/>
    <w:rsid w:val="4F3359E0"/>
    <w:rsid w:val="4F357CB7"/>
    <w:rsid w:val="4F38536A"/>
    <w:rsid w:val="4F39209F"/>
    <w:rsid w:val="4F3A6F23"/>
    <w:rsid w:val="4F3B1BC1"/>
    <w:rsid w:val="4F3C3F3E"/>
    <w:rsid w:val="4F3D0F0A"/>
    <w:rsid w:val="4F3D794F"/>
    <w:rsid w:val="4F3F7C15"/>
    <w:rsid w:val="4F40164B"/>
    <w:rsid w:val="4F401B4B"/>
    <w:rsid w:val="4F410ECF"/>
    <w:rsid w:val="4F425B19"/>
    <w:rsid w:val="4F4423A1"/>
    <w:rsid w:val="4F442BB9"/>
    <w:rsid w:val="4F463494"/>
    <w:rsid w:val="4F476CF9"/>
    <w:rsid w:val="4F4F5CC9"/>
    <w:rsid w:val="4F4F6BD6"/>
    <w:rsid w:val="4F50554D"/>
    <w:rsid w:val="4F507BC5"/>
    <w:rsid w:val="4F513A7B"/>
    <w:rsid w:val="4F52459C"/>
    <w:rsid w:val="4F5564BB"/>
    <w:rsid w:val="4F556CD8"/>
    <w:rsid w:val="4F5713E9"/>
    <w:rsid w:val="4F58683A"/>
    <w:rsid w:val="4F586A89"/>
    <w:rsid w:val="4F595817"/>
    <w:rsid w:val="4F5B698B"/>
    <w:rsid w:val="4F5C1BDF"/>
    <w:rsid w:val="4F5E7D00"/>
    <w:rsid w:val="4F5F4E24"/>
    <w:rsid w:val="4F625C9F"/>
    <w:rsid w:val="4F62608C"/>
    <w:rsid w:val="4F631314"/>
    <w:rsid w:val="4F644A55"/>
    <w:rsid w:val="4F6548D2"/>
    <w:rsid w:val="4F66017F"/>
    <w:rsid w:val="4F6662B6"/>
    <w:rsid w:val="4F675136"/>
    <w:rsid w:val="4F685307"/>
    <w:rsid w:val="4F6B74F5"/>
    <w:rsid w:val="4F6F7FD8"/>
    <w:rsid w:val="4F70307A"/>
    <w:rsid w:val="4F7224FA"/>
    <w:rsid w:val="4F723D96"/>
    <w:rsid w:val="4F753A5C"/>
    <w:rsid w:val="4F756F9F"/>
    <w:rsid w:val="4F757230"/>
    <w:rsid w:val="4F78168D"/>
    <w:rsid w:val="4F7A2406"/>
    <w:rsid w:val="4F7B3F5F"/>
    <w:rsid w:val="4F7B7BEC"/>
    <w:rsid w:val="4F7D5748"/>
    <w:rsid w:val="4F7D6475"/>
    <w:rsid w:val="4F7E0868"/>
    <w:rsid w:val="4F7E300F"/>
    <w:rsid w:val="4F821A5B"/>
    <w:rsid w:val="4F854A70"/>
    <w:rsid w:val="4F88230C"/>
    <w:rsid w:val="4F892A6D"/>
    <w:rsid w:val="4F8B4EA0"/>
    <w:rsid w:val="4F8D1ED1"/>
    <w:rsid w:val="4F8E7C2C"/>
    <w:rsid w:val="4F8F32BE"/>
    <w:rsid w:val="4F9127E6"/>
    <w:rsid w:val="4F936D4A"/>
    <w:rsid w:val="4F937464"/>
    <w:rsid w:val="4F9426E5"/>
    <w:rsid w:val="4F971360"/>
    <w:rsid w:val="4F974CEB"/>
    <w:rsid w:val="4F995EE8"/>
    <w:rsid w:val="4F9A1A1F"/>
    <w:rsid w:val="4F9C4635"/>
    <w:rsid w:val="4F9C70D1"/>
    <w:rsid w:val="4F9D709A"/>
    <w:rsid w:val="4FA063CD"/>
    <w:rsid w:val="4FA241B9"/>
    <w:rsid w:val="4FA26CB1"/>
    <w:rsid w:val="4FA31E0F"/>
    <w:rsid w:val="4FA37D31"/>
    <w:rsid w:val="4FA518D2"/>
    <w:rsid w:val="4FA60E25"/>
    <w:rsid w:val="4FA76B99"/>
    <w:rsid w:val="4FAA3780"/>
    <w:rsid w:val="4FAB1265"/>
    <w:rsid w:val="4FAB1A81"/>
    <w:rsid w:val="4FAD5E5B"/>
    <w:rsid w:val="4FAD7B9E"/>
    <w:rsid w:val="4FAE27D2"/>
    <w:rsid w:val="4FB028D4"/>
    <w:rsid w:val="4FB03CF1"/>
    <w:rsid w:val="4FB133E0"/>
    <w:rsid w:val="4FB745DD"/>
    <w:rsid w:val="4FB81F13"/>
    <w:rsid w:val="4FB85AE6"/>
    <w:rsid w:val="4FBA1A02"/>
    <w:rsid w:val="4FBD7712"/>
    <w:rsid w:val="4FBE1E2D"/>
    <w:rsid w:val="4FBF4AFB"/>
    <w:rsid w:val="4FC059DF"/>
    <w:rsid w:val="4FC07BA9"/>
    <w:rsid w:val="4FC11CA0"/>
    <w:rsid w:val="4FC14A1D"/>
    <w:rsid w:val="4FC167CC"/>
    <w:rsid w:val="4FC16A25"/>
    <w:rsid w:val="4FC24E2C"/>
    <w:rsid w:val="4FC30DBE"/>
    <w:rsid w:val="4FC3416D"/>
    <w:rsid w:val="4FC37CC0"/>
    <w:rsid w:val="4FC47EFC"/>
    <w:rsid w:val="4FC74058"/>
    <w:rsid w:val="4FC80F4C"/>
    <w:rsid w:val="4FC93F0C"/>
    <w:rsid w:val="4FCA6A3D"/>
    <w:rsid w:val="4FCB37AF"/>
    <w:rsid w:val="4FCB5B18"/>
    <w:rsid w:val="4FCC2D58"/>
    <w:rsid w:val="4FCF0C90"/>
    <w:rsid w:val="4FD04EC7"/>
    <w:rsid w:val="4FD05098"/>
    <w:rsid w:val="4FD1214C"/>
    <w:rsid w:val="4FD7655C"/>
    <w:rsid w:val="4FD83AC5"/>
    <w:rsid w:val="4FD849CF"/>
    <w:rsid w:val="4FD8615A"/>
    <w:rsid w:val="4FDA1953"/>
    <w:rsid w:val="4FDA4FE8"/>
    <w:rsid w:val="4FE07677"/>
    <w:rsid w:val="4FE14DA8"/>
    <w:rsid w:val="4FE307A8"/>
    <w:rsid w:val="4FE3508E"/>
    <w:rsid w:val="4FE525D8"/>
    <w:rsid w:val="4FE52E53"/>
    <w:rsid w:val="4FE538DA"/>
    <w:rsid w:val="4FE62621"/>
    <w:rsid w:val="4FE67EE2"/>
    <w:rsid w:val="4FE85987"/>
    <w:rsid w:val="4FE87C1A"/>
    <w:rsid w:val="4FEA43E0"/>
    <w:rsid w:val="4FED0365"/>
    <w:rsid w:val="4FED2F03"/>
    <w:rsid w:val="4FED3F69"/>
    <w:rsid w:val="4FED66EE"/>
    <w:rsid w:val="4FF050A4"/>
    <w:rsid w:val="4FF34633"/>
    <w:rsid w:val="4FF50543"/>
    <w:rsid w:val="4FF61AAB"/>
    <w:rsid w:val="4FF63C51"/>
    <w:rsid w:val="4FF83759"/>
    <w:rsid w:val="4FFB7DC4"/>
    <w:rsid w:val="5000008A"/>
    <w:rsid w:val="50024D6C"/>
    <w:rsid w:val="50030850"/>
    <w:rsid w:val="50043916"/>
    <w:rsid w:val="500613AF"/>
    <w:rsid w:val="500940BA"/>
    <w:rsid w:val="500C1C6C"/>
    <w:rsid w:val="500C3744"/>
    <w:rsid w:val="500C5C27"/>
    <w:rsid w:val="501118B1"/>
    <w:rsid w:val="50126074"/>
    <w:rsid w:val="50142D09"/>
    <w:rsid w:val="501500A9"/>
    <w:rsid w:val="50160B7D"/>
    <w:rsid w:val="50165F8B"/>
    <w:rsid w:val="5017193B"/>
    <w:rsid w:val="501C33DC"/>
    <w:rsid w:val="501F1081"/>
    <w:rsid w:val="501F1099"/>
    <w:rsid w:val="50212321"/>
    <w:rsid w:val="5022089C"/>
    <w:rsid w:val="5027294F"/>
    <w:rsid w:val="502766AF"/>
    <w:rsid w:val="502912E1"/>
    <w:rsid w:val="502C1044"/>
    <w:rsid w:val="502D5137"/>
    <w:rsid w:val="50304045"/>
    <w:rsid w:val="50314388"/>
    <w:rsid w:val="503776B3"/>
    <w:rsid w:val="50384C6B"/>
    <w:rsid w:val="5039592A"/>
    <w:rsid w:val="503F628C"/>
    <w:rsid w:val="5040104A"/>
    <w:rsid w:val="50424316"/>
    <w:rsid w:val="50452876"/>
    <w:rsid w:val="504555D6"/>
    <w:rsid w:val="504B6EED"/>
    <w:rsid w:val="504C7AA6"/>
    <w:rsid w:val="505149F7"/>
    <w:rsid w:val="50527D88"/>
    <w:rsid w:val="505464BF"/>
    <w:rsid w:val="50547DE6"/>
    <w:rsid w:val="50550910"/>
    <w:rsid w:val="50555026"/>
    <w:rsid w:val="50556D44"/>
    <w:rsid w:val="50560854"/>
    <w:rsid w:val="50561250"/>
    <w:rsid w:val="5056233C"/>
    <w:rsid w:val="505640FD"/>
    <w:rsid w:val="505728EB"/>
    <w:rsid w:val="5058622F"/>
    <w:rsid w:val="5059284F"/>
    <w:rsid w:val="505936CF"/>
    <w:rsid w:val="505A1966"/>
    <w:rsid w:val="505B67A1"/>
    <w:rsid w:val="505C3B19"/>
    <w:rsid w:val="505F2F2A"/>
    <w:rsid w:val="505F76AE"/>
    <w:rsid w:val="50600569"/>
    <w:rsid w:val="5061356B"/>
    <w:rsid w:val="506170F3"/>
    <w:rsid w:val="506369D8"/>
    <w:rsid w:val="5064161B"/>
    <w:rsid w:val="50660016"/>
    <w:rsid w:val="506674A0"/>
    <w:rsid w:val="5067283E"/>
    <w:rsid w:val="50693FEE"/>
    <w:rsid w:val="50702D66"/>
    <w:rsid w:val="50703F2F"/>
    <w:rsid w:val="507067C0"/>
    <w:rsid w:val="5070705D"/>
    <w:rsid w:val="507216CF"/>
    <w:rsid w:val="50724710"/>
    <w:rsid w:val="50740F82"/>
    <w:rsid w:val="50741129"/>
    <w:rsid w:val="50741291"/>
    <w:rsid w:val="50784A80"/>
    <w:rsid w:val="507874C0"/>
    <w:rsid w:val="507A2E03"/>
    <w:rsid w:val="507E0729"/>
    <w:rsid w:val="507E27C3"/>
    <w:rsid w:val="507F0E25"/>
    <w:rsid w:val="507F7F28"/>
    <w:rsid w:val="508013CC"/>
    <w:rsid w:val="50846ED4"/>
    <w:rsid w:val="50853031"/>
    <w:rsid w:val="50867229"/>
    <w:rsid w:val="50881E22"/>
    <w:rsid w:val="50882CE4"/>
    <w:rsid w:val="50890791"/>
    <w:rsid w:val="508B6E00"/>
    <w:rsid w:val="508C5B44"/>
    <w:rsid w:val="508C5F4A"/>
    <w:rsid w:val="508E0F98"/>
    <w:rsid w:val="50912620"/>
    <w:rsid w:val="50930144"/>
    <w:rsid w:val="50931630"/>
    <w:rsid w:val="50961375"/>
    <w:rsid w:val="50962C6E"/>
    <w:rsid w:val="5096371F"/>
    <w:rsid w:val="50991362"/>
    <w:rsid w:val="50996E5D"/>
    <w:rsid w:val="509A4DA3"/>
    <w:rsid w:val="509B318E"/>
    <w:rsid w:val="509B3335"/>
    <w:rsid w:val="509E0D8A"/>
    <w:rsid w:val="509E195D"/>
    <w:rsid w:val="509E510E"/>
    <w:rsid w:val="509E5F6E"/>
    <w:rsid w:val="509F4F16"/>
    <w:rsid w:val="50A16E8F"/>
    <w:rsid w:val="50A17146"/>
    <w:rsid w:val="50A21C04"/>
    <w:rsid w:val="50A247D9"/>
    <w:rsid w:val="50A415C3"/>
    <w:rsid w:val="50A53D16"/>
    <w:rsid w:val="50A74AE2"/>
    <w:rsid w:val="50A75293"/>
    <w:rsid w:val="50A947B5"/>
    <w:rsid w:val="50A95B3F"/>
    <w:rsid w:val="50A95E5C"/>
    <w:rsid w:val="50A95F3D"/>
    <w:rsid w:val="50AB4914"/>
    <w:rsid w:val="50AB68C4"/>
    <w:rsid w:val="50AC6E02"/>
    <w:rsid w:val="50B03122"/>
    <w:rsid w:val="50B06AAB"/>
    <w:rsid w:val="50B1211C"/>
    <w:rsid w:val="50B16112"/>
    <w:rsid w:val="50B26EFB"/>
    <w:rsid w:val="50B32BB8"/>
    <w:rsid w:val="50B42370"/>
    <w:rsid w:val="50BE73BD"/>
    <w:rsid w:val="50C02B28"/>
    <w:rsid w:val="50C0487F"/>
    <w:rsid w:val="50C1026D"/>
    <w:rsid w:val="50C13C02"/>
    <w:rsid w:val="50C30DA4"/>
    <w:rsid w:val="50C421B8"/>
    <w:rsid w:val="50C709EC"/>
    <w:rsid w:val="50C914A6"/>
    <w:rsid w:val="50CA5758"/>
    <w:rsid w:val="50CA69CB"/>
    <w:rsid w:val="50CB5240"/>
    <w:rsid w:val="50CC71A3"/>
    <w:rsid w:val="50CD2865"/>
    <w:rsid w:val="50CF0191"/>
    <w:rsid w:val="50D03865"/>
    <w:rsid w:val="50D1400D"/>
    <w:rsid w:val="50D20BF2"/>
    <w:rsid w:val="50DA7D18"/>
    <w:rsid w:val="50DC0743"/>
    <w:rsid w:val="50DD0694"/>
    <w:rsid w:val="50DE5AA6"/>
    <w:rsid w:val="50DF0465"/>
    <w:rsid w:val="50DF0B12"/>
    <w:rsid w:val="50E02146"/>
    <w:rsid w:val="50E02236"/>
    <w:rsid w:val="50E22CCA"/>
    <w:rsid w:val="50E2300B"/>
    <w:rsid w:val="50E44AFC"/>
    <w:rsid w:val="50E477B1"/>
    <w:rsid w:val="50E60657"/>
    <w:rsid w:val="50EB0D55"/>
    <w:rsid w:val="50EF3454"/>
    <w:rsid w:val="50F129A3"/>
    <w:rsid w:val="50F41783"/>
    <w:rsid w:val="50F50531"/>
    <w:rsid w:val="50F63170"/>
    <w:rsid w:val="50F71A33"/>
    <w:rsid w:val="50F87697"/>
    <w:rsid w:val="50F95DDF"/>
    <w:rsid w:val="50FA6825"/>
    <w:rsid w:val="50FB76D7"/>
    <w:rsid w:val="50FB7C69"/>
    <w:rsid w:val="50FE000C"/>
    <w:rsid w:val="50FE3E76"/>
    <w:rsid w:val="50FE4BE6"/>
    <w:rsid w:val="51012323"/>
    <w:rsid w:val="51017494"/>
    <w:rsid w:val="51034880"/>
    <w:rsid w:val="51036217"/>
    <w:rsid w:val="51046B5F"/>
    <w:rsid w:val="51046CD5"/>
    <w:rsid w:val="510504D1"/>
    <w:rsid w:val="51050AF4"/>
    <w:rsid w:val="51060CDA"/>
    <w:rsid w:val="51082256"/>
    <w:rsid w:val="510855AB"/>
    <w:rsid w:val="510B37FA"/>
    <w:rsid w:val="510C451B"/>
    <w:rsid w:val="510F715C"/>
    <w:rsid w:val="5111528E"/>
    <w:rsid w:val="5112419E"/>
    <w:rsid w:val="51127D94"/>
    <w:rsid w:val="511303E5"/>
    <w:rsid w:val="51157F78"/>
    <w:rsid w:val="51162EB8"/>
    <w:rsid w:val="51163E19"/>
    <w:rsid w:val="511B1741"/>
    <w:rsid w:val="511C6D73"/>
    <w:rsid w:val="51204432"/>
    <w:rsid w:val="5120752E"/>
    <w:rsid w:val="51226B76"/>
    <w:rsid w:val="51285FD5"/>
    <w:rsid w:val="51293EB6"/>
    <w:rsid w:val="51297EB8"/>
    <w:rsid w:val="512B6776"/>
    <w:rsid w:val="512D64EF"/>
    <w:rsid w:val="513027AB"/>
    <w:rsid w:val="513372F9"/>
    <w:rsid w:val="513473B4"/>
    <w:rsid w:val="5137531E"/>
    <w:rsid w:val="513A4D24"/>
    <w:rsid w:val="513E007F"/>
    <w:rsid w:val="513E4E18"/>
    <w:rsid w:val="51421005"/>
    <w:rsid w:val="51430223"/>
    <w:rsid w:val="514309E6"/>
    <w:rsid w:val="51444270"/>
    <w:rsid w:val="51454068"/>
    <w:rsid w:val="5146776D"/>
    <w:rsid w:val="51492CDB"/>
    <w:rsid w:val="514B213B"/>
    <w:rsid w:val="514D4380"/>
    <w:rsid w:val="514D4EC8"/>
    <w:rsid w:val="514E0A53"/>
    <w:rsid w:val="514F0ED7"/>
    <w:rsid w:val="514F79CF"/>
    <w:rsid w:val="515177DA"/>
    <w:rsid w:val="5152224F"/>
    <w:rsid w:val="51532377"/>
    <w:rsid w:val="5155055F"/>
    <w:rsid w:val="51550E8E"/>
    <w:rsid w:val="51570D04"/>
    <w:rsid w:val="515B09D0"/>
    <w:rsid w:val="515C677C"/>
    <w:rsid w:val="515F5F19"/>
    <w:rsid w:val="515F6B6F"/>
    <w:rsid w:val="51637829"/>
    <w:rsid w:val="516525C6"/>
    <w:rsid w:val="51655A08"/>
    <w:rsid w:val="5165665C"/>
    <w:rsid w:val="51661137"/>
    <w:rsid w:val="51694592"/>
    <w:rsid w:val="516A042B"/>
    <w:rsid w:val="516B103E"/>
    <w:rsid w:val="516C58B3"/>
    <w:rsid w:val="516D2934"/>
    <w:rsid w:val="51727859"/>
    <w:rsid w:val="51740074"/>
    <w:rsid w:val="51754E1B"/>
    <w:rsid w:val="517E3880"/>
    <w:rsid w:val="517F7456"/>
    <w:rsid w:val="51800FDF"/>
    <w:rsid w:val="51804C58"/>
    <w:rsid w:val="51816633"/>
    <w:rsid w:val="51825262"/>
    <w:rsid w:val="51840BD1"/>
    <w:rsid w:val="51845D12"/>
    <w:rsid w:val="51856963"/>
    <w:rsid w:val="51866373"/>
    <w:rsid w:val="518809F5"/>
    <w:rsid w:val="5188670B"/>
    <w:rsid w:val="5189082B"/>
    <w:rsid w:val="51892A05"/>
    <w:rsid w:val="518A5D30"/>
    <w:rsid w:val="518A64A4"/>
    <w:rsid w:val="518A7978"/>
    <w:rsid w:val="518B7BBA"/>
    <w:rsid w:val="518D5D8C"/>
    <w:rsid w:val="518E0585"/>
    <w:rsid w:val="518E38E1"/>
    <w:rsid w:val="518F2344"/>
    <w:rsid w:val="51907BC5"/>
    <w:rsid w:val="519203B5"/>
    <w:rsid w:val="51945045"/>
    <w:rsid w:val="51954CDD"/>
    <w:rsid w:val="519671DF"/>
    <w:rsid w:val="519725C9"/>
    <w:rsid w:val="519A465D"/>
    <w:rsid w:val="519B2BF2"/>
    <w:rsid w:val="519D7A5E"/>
    <w:rsid w:val="519F3C9A"/>
    <w:rsid w:val="51A333E3"/>
    <w:rsid w:val="51A44CC5"/>
    <w:rsid w:val="51A44FA6"/>
    <w:rsid w:val="51A50555"/>
    <w:rsid w:val="51A50EB5"/>
    <w:rsid w:val="51A672C1"/>
    <w:rsid w:val="51A8263E"/>
    <w:rsid w:val="51AA1091"/>
    <w:rsid w:val="51AA12A7"/>
    <w:rsid w:val="51AA1339"/>
    <w:rsid w:val="51B03FB5"/>
    <w:rsid w:val="51B11ECF"/>
    <w:rsid w:val="51B35135"/>
    <w:rsid w:val="51B37BF1"/>
    <w:rsid w:val="51B4257C"/>
    <w:rsid w:val="51B5317A"/>
    <w:rsid w:val="51B56032"/>
    <w:rsid w:val="51B72B91"/>
    <w:rsid w:val="51B83B3E"/>
    <w:rsid w:val="51B95A66"/>
    <w:rsid w:val="51BA6C4B"/>
    <w:rsid w:val="51BC267C"/>
    <w:rsid w:val="51C17811"/>
    <w:rsid w:val="51C205E2"/>
    <w:rsid w:val="51C23937"/>
    <w:rsid w:val="51C30BDF"/>
    <w:rsid w:val="51C3545B"/>
    <w:rsid w:val="51C46C4D"/>
    <w:rsid w:val="51C50A32"/>
    <w:rsid w:val="51C55AF2"/>
    <w:rsid w:val="51C6449F"/>
    <w:rsid w:val="51C72BB3"/>
    <w:rsid w:val="51C75031"/>
    <w:rsid w:val="51CB4729"/>
    <w:rsid w:val="51CC14D3"/>
    <w:rsid w:val="51CC5602"/>
    <w:rsid w:val="51CD3858"/>
    <w:rsid w:val="51CE73A9"/>
    <w:rsid w:val="51D153A6"/>
    <w:rsid w:val="51D643EE"/>
    <w:rsid w:val="51D76C90"/>
    <w:rsid w:val="51D901F4"/>
    <w:rsid w:val="51DB1EA8"/>
    <w:rsid w:val="51DC3E1D"/>
    <w:rsid w:val="51DE004F"/>
    <w:rsid w:val="51DF00B5"/>
    <w:rsid w:val="51DF5A03"/>
    <w:rsid w:val="51DF6508"/>
    <w:rsid w:val="51E15B99"/>
    <w:rsid w:val="51E24656"/>
    <w:rsid w:val="51E3517D"/>
    <w:rsid w:val="51E37DB6"/>
    <w:rsid w:val="51E54E5B"/>
    <w:rsid w:val="51E650D9"/>
    <w:rsid w:val="51E71BB8"/>
    <w:rsid w:val="51E8298E"/>
    <w:rsid w:val="51ED024B"/>
    <w:rsid w:val="51EE5488"/>
    <w:rsid w:val="51EF386B"/>
    <w:rsid w:val="51F0080E"/>
    <w:rsid w:val="51F05C35"/>
    <w:rsid w:val="51F11170"/>
    <w:rsid w:val="51F354EA"/>
    <w:rsid w:val="51F4173B"/>
    <w:rsid w:val="51F46B90"/>
    <w:rsid w:val="51F6651D"/>
    <w:rsid w:val="51F83209"/>
    <w:rsid w:val="51FD1661"/>
    <w:rsid w:val="51FE0457"/>
    <w:rsid w:val="51FF7549"/>
    <w:rsid w:val="520166AB"/>
    <w:rsid w:val="52060499"/>
    <w:rsid w:val="52074A59"/>
    <w:rsid w:val="520756B5"/>
    <w:rsid w:val="520877A4"/>
    <w:rsid w:val="520A275F"/>
    <w:rsid w:val="520B4967"/>
    <w:rsid w:val="520D21AF"/>
    <w:rsid w:val="52124363"/>
    <w:rsid w:val="52130D31"/>
    <w:rsid w:val="52147E9A"/>
    <w:rsid w:val="521529C5"/>
    <w:rsid w:val="5216151E"/>
    <w:rsid w:val="52162633"/>
    <w:rsid w:val="521759A6"/>
    <w:rsid w:val="521877CC"/>
    <w:rsid w:val="52194E07"/>
    <w:rsid w:val="521972D2"/>
    <w:rsid w:val="521D5D06"/>
    <w:rsid w:val="521E2CEA"/>
    <w:rsid w:val="52203B08"/>
    <w:rsid w:val="5223163D"/>
    <w:rsid w:val="522337EA"/>
    <w:rsid w:val="52245505"/>
    <w:rsid w:val="52262B85"/>
    <w:rsid w:val="5226787D"/>
    <w:rsid w:val="52267EF3"/>
    <w:rsid w:val="52272E17"/>
    <w:rsid w:val="5229615B"/>
    <w:rsid w:val="522968D3"/>
    <w:rsid w:val="522A4170"/>
    <w:rsid w:val="522B0947"/>
    <w:rsid w:val="522B139F"/>
    <w:rsid w:val="522E27EB"/>
    <w:rsid w:val="52304024"/>
    <w:rsid w:val="523176BB"/>
    <w:rsid w:val="52320278"/>
    <w:rsid w:val="52340771"/>
    <w:rsid w:val="5235413C"/>
    <w:rsid w:val="52355B1B"/>
    <w:rsid w:val="523566AB"/>
    <w:rsid w:val="52360BEE"/>
    <w:rsid w:val="5238410F"/>
    <w:rsid w:val="523A47C8"/>
    <w:rsid w:val="523B41AD"/>
    <w:rsid w:val="523B5E32"/>
    <w:rsid w:val="523B754C"/>
    <w:rsid w:val="523C1F2B"/>
    <w:rsid w:val="523F5227"/>
    <w:rsid w:val="52420F24"/>
    <w:rsid w:val="524232E5"/>
    <w:rsid w:val="5242332E"/>
    <w:rsid w:val="52424A59"/>
    <w:rsid w:val="524360C4"/>
    <w:rsid w:val="52443532"/>
    <w:rsid w:val="52463C8E"/>
    <w:rsid w:val="52475F50"/>
    <w:rsid w:val="524841FE"/>
    <w:rsid w:val="52484817"/>
    <w:rsid w:val="52493D54"/>
    <w:rsid w:val="524A43BC"/>
    <w:rsid w:val="524C06A4"/>
    <w:rsid w:val="524D68FD"/>
    <w:rsid w:val="524E1EA2"/>
    <w:rsid w:val="524F6D7E"/>
    <w:rsid w:val="524F7A5E"/>
    <w:rsid w:val="5252471E"/>
    <w:rsid w:val="52541F28"/>
    <w:rsid w:val="525545B3"/>
    <w:rsid w:val="52557962"/>
    <w:rsid w:val="5256509F"/>
    <w:rsid w:val="52593267"/>
    <w:rsid w:val="52597FE3"/>
    <w:rsid w:val="525B3D3B"/>
    <w:rsid w:val="525B7F29"/>
    <w:rsid w:val="525C4467"/>
    <w:rsid w:val="525E37B4"/>
    <w:rsid w:val="52607E84"/>
    <w:rsid w:val="52611370"/>
    <w:rsid w:val="52611BBD"/>
    <w:rsid w:val="52630D30"/>
    <w:rsid w:val="52671358"/>
    <w:rsid w:val="526716CE"/>
    <w:rsid w:val="52676E29"/>
    <w:rsid w:val="526916AB"/>
    <w:rsid w:val="52691B2D"/>
    <w:rsid w:val="526B110A"/>
    <w:rsid w:val="526C4F56"/>
    <w:rsid w:val="526D53DA"/>
    <w:rsid w:val="527019A7"/>
    <w:rsid w:val="52733CD8"/>
    <w:rsid w:val="52744B1D"/>
    <w:rsid w:val="5274781B"/>
    <w:rsid w:val="52757D66"/>
    <w:rsid w:val="52764C2A"/>
    <w:rsid w:val="527B665A"/>
    <w:rsid w:val="528214ED"/>
    <w:rsid w:val="52834919"/>
    <w:rsid w:val="52837045"/>
    <w:rsid w:val="52886D8D"/>
    <w:rsid w:val="52891620"/>
    <w:rsid w:val="528A0C73"/>
    <w:rsid w:val="528E65CA"/>
    <w:rsid w:val="528F38CE"/>
    <w:rsid w:val="529050F3"/>
    <w:rsid w:val="52952A36"/>
    <w:rsid w:val="529955DF"/>
    <w:rsid w:val="529A51CC"/>
    <w:rsid w:val="529C1F9D"/>
    <w:rsid w:val="529D2C6B"/>
    <w:rsid w:val="529E7869"/>
    <w:rsid w:val="52A06BD7"/>
    <w:rsid w:val="52A253EE"/>
    <w:rsid w:val="52A92140"/>
    <w:rsid w:val="52AA1EB5"/>
    <w:rsid w:val="52AC63AE"/>
    <w:rsid w:val="52AD7C81"/>
    <w:rsid w:val="52B0388E"/>
    <w:rsid w:val="52B05134"/>
    <w:rsid w:val="52B1159F"/>
    <w:rsid w:val="52B24B9D"/>
    <w:rsid w:val="52B50EAD"/>
    <w:rsid w:val="52B62F35"/>
    <w:rsid w:val="52B715C6"/>
    <w:rsid w:val="52BA127B"/>
    <w:rsid w:val="52BA78DC"/>
    <w:rsid w:val="52BC3AFD"/>
    <w:rsid w:val="52BD2373"/>
    <w:rsid w:val="52BF2088"/>
    <w:rsid w:val="52BF2D9D"/>
    <w:rsid w:val="52C03612"/>
    <w:rsid w:val="52C23E9B"/>
    <w:rsid w:val="52C325A4"/>
    <w:rsid w:val="52C47010"/>
    <w:rsid w:val="52C51A86"/>
    <w:rsid w:val="52C678C1"/>
    <w:rsid w:val="52C97675"/>
    <w:rsid w:val="52CA276F"/>
    <w:rsid w:val="52CC557C"/>
    <w:rsid w:val="52CD7D98"/>
    <w:rsid w:val="52CE0533"/>
    <w:rsid w:val="52CE19C8"/>
    <w:rsid w:val="52CF231E"/>
    <w:rsid w:val="52CF432B"/>
    <w:rsid w:val="52D26B72"/>
    <w:rsid w:val="52D40790"/>
    <w:rsid w:val="52D53D77"/>
    <w:rsid w:val="52D55F90"/>
    <w:rsid w:val="52D6149C"/>
    <w:rsid w:val="52DC5E57"/>
    <w:rsid w:val="52E00F37"/>
    <w:rsid w:val="52E35B0A"/>
    <w:rsid w:val="52E543CE"/>
    <w:rsid w:val="52E921A8"/>
    <w:rsid w:val="52E93F2C"/>
    <w:rsid w:val="52EA1F4A"/>
    <w:rsid w:val="52EA3849"/>
    <w:rsid w:val="52EB3F59"/>
    <w:rsid w:val="52ED1436"/>
    <w:rsid w:val="52EE1DC4"/>
    <w:rsid w:val="52EF0295"/>
    <w:rsid w:val="52EF280A"/>
    <w:rsid w:val="52F03292"/>
    <w:rsid w:val="52F11421"/>
    <w:rsid w:val="52F20BFE"/>
    <w:rsid w:val="52F2673C"/>
    <w:rsid w:val="52F41015"/>
    <w:rsid w:val="52F4641C"/>
    <w:rsid w:val="52F62D3F"/>
    <w:rsid w:val="52F715A4"/>
    <w:rsid w:val="52F73BE7"/>
    <w:rsid w:val="52FA0E81"/>
    <w:rsid w:val="52FB2499"/>
    <w:rsid w:val="52FB4443"/>
    <w:rsid w:val="52FC3CA4"/>
    <w:rsid w:val="530111D2"/>
    <w:rsid w:val="53013435"/>
    <w:rsid w:val="53014C56"/>
    <w:rsid w:val="53031946"/>
    <w:rsid w:val="530718B0"/>
    <w:rsid w:val="53081FA7"/>
    <w:rsid w:val="53085804"/>
    <w:rsid w:val="530A10E4"/>
    <w:rsid w:val="530B3F49"/>
    <w:rsid w:val="530D1E07"/>
    <w:rsid w:val="530D21C0"/>
    <w:rsid w:val="530D3475"/>
    <w:rsid w:val="530F1794"/>
    <w:rsid w:val="530F40F9"/>
    <w:rsid w:val="53123C90"/>
    <w:rsid w:val="5312519D"/>
    <w:rsid w:val="53130650"/>
    <w:rsid w:val="53142B34"/>
    <w:rsid w:val="53143D6D"/>
    <w:rsid w:val="53163407"/>
    <w:rsid w:val="53170B92"/>
    <w:rsid w:val="53197546"/>
    <w:rsid w:val="531A1FFF"/>
    <w:rsid w:val="531A26BE"/>
    <w:rsid w:val="531B0CC8"/>
    <w:rsid w:val="531D49A9"/>
    <w:rsid w:val="531D521C"/>
    <w:rsid w:val="531D645B"/>
    <w:rsid w:val="531E7207"/>
    <w:rsid w:val="5323175B"/>
    <w:rsid w:val="53231823"/>
    <w:rsid w:val="53236BC9"/>
    <w:rsid w:val="532429FA"/>
    <w:rsid w:val="532639FB"/>
    <w:rsid w:val="53270707"/>
    <w:rsid w:val="5327718C"/>
    <w:rsid w:val="532B2735"/>
    <w:rsid w:val="532C0E1D"/>
    <w:rsid w:val="532C6B5C"/>
    <w:rsid w:val="532E2C5B"/>
    <w:rsid w:val="53303948"/>
    <w:rsid w:val="53312063"/>
    <w:rsid w:val="5331374C"/>
    <w:rsid w:val="5331403B"/>
    <w:rsid w:val="53317168"/>
    <w:rsid w:val="53333024"/>
    <w:rsid w:val="5333640A"/>
    <w:rsid w:val="53353E49"/>
    <w:rsid w:val="533632A1"/>
    <w:rsid w:val="53374DB2"/>
    <w:rsid w:val="53397DD2"/>
    <w:rsid w:val="533A17D1"/>
    <w:rsid w:val="533B4338"/>
    <w:rsid w:val="533C4826"/>
    <w:rsid w:val="533E6B18"/>
    <w:rsid w:val="53401B19"/>
    <w:rsid w:val="534238C9"/>
    <w:rsid w:val="534265B8"/>
    <w:rsid w:val="53454096"/>
    <w:rsid w:val="53456AE1"/>
    <w:rsid w:val="534574E6"/>
    <w:rsid w:val="53457DC4"/>
    <w:rsid w:val="53476FF9"/>
    <w:rsid w:val="53492D7A"/>
    <w:rsid w:val="53494151"/>
    <w:rsid w:val="534A4C37"/>
    <w:rsid w:val="534B2360"/>
    <w:rsid w:val="534B3C6A"/>
    <w:rsid w:val="534C1E12"/>
    <w:rsid w:val="534D2F06"/>
    <w:rsid w:val="534F0933"/>
    <w:rsid w:val="534F7F57"/>
    <w:rsid w:val="53512E34"/>
    <w:rsid w:val="53526E61"/>
    <w:rsid w:val="53537D24"/>
    <w:rsid w:val="53583C08"/>
    <w:rsid w:val="5359072C"/>
    <w:rsid w:val="53590AA0"/>
    <w:rsid w:val="535A2BAB"/>
    <w:rsid w:val="535B13DD"/>
    <w:rsid w:val="535D7D6E"/>
    <w:rsid w:val="53615E06"/>
    <w:rsid w:val="53672611"/>
    <w:rsid w:val="53681173"/>
    <w:rsid w:val="536974F7"/>
    <w:rsid w:val="536B108F"/>
    <w:rsid w:val="536C63A5"/>
    <w:rsid w:val="53725C9E"/>
    <w:rsid w:val="53740714"/>
    <w:rsid w:val="537414DA"/>
    <w:rsid w:val="53747EDB"/>
    <w:rsid w:val="53753AE1"/>
    <w:rsid w:val="53772070"/>
    <w:rsid w:val="53773D70"/>
    <w:rsid w:val="537906DC"/>
    <w:rsid w:val="537A3B19"/>
    <w:rsid w:val="537A3D79"/>
    <w:rsid w:val="537C0681"/>
    <w:rsid w:val="537C141A"/>
    <w:rsid w:val="537C2FB0"/>
    <w:rsid w:val="537C5B10"/>
    <w:rsid w:val="537C6328"/>
    <w:rsid w:val="537D242E"/>
    <w:rsid w:val="537F205E"/>
    <w:rsid w:val="537F3358"/>
    <w:rsid w:val="5380056F"/>
    <w:rsid w:val="5380514A"/>
    <w:rsid w:val="5381293F"/>
    <w:rsid w:val="53812A1D"/>
    <w:rsid w:val="53821E86"/>
    <w:rsid w:val="53831294"/>
    <w:rsid w:val="53881500"/>
    <w:rsid w:val="5388188D"/>
    <w:rsid w:val="53887FBA"/>
    <w:rsid w:val="53892EF2"/>
    <w:rsid w:val="538B4391"/>
    <w:rsid w:val="53920DA7"/>
    <w:rsid w:val="53940B02"/>
    <w:rsid w:val="53944681"/>
    <w:rsid w:val="539466ED"/>
    <w:rsid w:val="53990361"/>
    <w:rsid w:val="539A67A7"/>
    <w:rsid w:val="539B680B"/>
    <w:rsid w:val="539E1370"/>
    <w:rsid w:val="539F53E7"/>
    <w:rsid w:val="53A120EB"/>
    <w:rsid w:val="53A242EA"/>
    <w:rsid w:val="53A47DDC"/>
    <w:rsid w:val="53A5211E"/>
    <w:rsid w:val="53A52E6A"/>
    <w:rsid w:val="53A64579"/>
    <w:rsid w:val="53A8042C"/>
    <w:rsid w:val="53A8485C"/>
    <w:rsid w:val="53A9355D"/>
    <w:rsid w:val="53AC4B44"/>
    <w:rsid w:val="53AE5F10"/>
    <w:rsid w:val="53B069BA"/>
    <w:rsid w:val="53B3190E"/>
    <w:rsid w:val="53B56009"/>
    <w:rsid w:val="53B91391"/>
    <w:rsid w:val="53BA6B45"/>
    <w:rsid w:val="53BC3670"/>
    <w:rsid w:val="53BC39DA"/>
    <w:rsid w:val="53BF061E"/>
    <w:rsid w:val="53C229F8"/>
    <w:rsid w:val="53C36181"/>
    <w:rsid w:val="53C60E6E"/>
    <w:rsid w:val="53C64FFA"/>
    <w:rsid w:val="53C84469"/>
    <w:rsid w:val="53C91A73"/>
    <w:rsid w:val="53C97D19"/>
    <w:rsid w:val="53CD53E4"/>
    <w:rsid w:val="53CD76B3"/>
    <w:rsid w:val="53CF0601"/>
    <w:rsid w:val="53CF228E"/>
    <w:rsid w:val="53CF694E"/>
    <w:rsid w:val="53D021D6"/>
    <w:rsid w:val="53D2080A"/>
    <w:rsid w:val="53D271B2"/>
    <w:rsid w:val="53D278D1"/>
    <w:rsid w:val="53D3459C"/>
    <w:rsid w:val="53D8789B"/>
    <w:rsid w:val="53D97768"/>
    <w:rsid w:val="53DC59F5"/>
    <w:rsid w:val="53DD1866"/>
    <w:rsid w:val="53DF68A3"/>
    <w:rsid w:val="53E0690C"/>
    <w:rsid w:val="53E205AB"/>
    <w:rsid w:val="53E27B2A"/>
    <w:rsid w:val="53E6452D"/>
    <w:rsid w:val="53E677C2"/>
    <w:rsid w:val="53E73FB0"/>
    <w:rsid w:val="53E832A0"/>
    <w:rsid w:val="53E83721"/>
    <w:rsid w:val="53EB43B3"/>
    <w:rsid w:val="53EC4388"/>
    <w:rsid w:val="53EE2274"/>
    <w:rsid w:val="53EE7A7E"/>
    <w:rsid w:val="53EF3007"/>
    <w:rsid w:val="53EF5BEA"/>
    <w:rsid w:val="53EF736A"/>
    <w:rsid w:val="53F02277"/>
    <w:rsid w:val="53F11253"/>
    <w:rsid w:val="53F11545"/>
    <w:rsid w:val="53F165D7"/>
    <w:rsid w:val="53F32C60"/>
    <w:rsid w:val="53F63197"/>
    <w:rsid w:val="53F65258"/>
    <w:rsid w:val="53F967CD"/>
    <w:rsid w:val="53FA0504"/>
    <w:rsid w:val="53FA586A"/>
    <w:rsid w:val="53FA5FA4"/>
    <w:rsid w:val="53FD6053"/>
    <w:rsid w:val="53FE2FE3"/>
    <w:rsid w:val="53FE350D"/>
    <w:rsid w:val="53FE6947"/>
    <w:rsid w:val="540109AA"/>
    <w:rsid w:val="54060E1C"/>
    <w:rsid w:val="54064815"/>
    <w:rsid w:val="540655C7"/>
    <w:rsid w:val="540667B4"/>
    <w:rsid w:val="54076E48"/>
    <w:rsid w:val="5408237F"/>
    <w:rsid w:val="5409354A"/>
    <w:rsid w:val="54093BDA"/>
    <w:rsid w:val="54095A3B"/>
    <w:rsid w:val="540A296C"/>
    <w:rsid w:val="540B030B"/>
    <w:rsid w:val="540B1A23"/>
    <w:rsid w:val="540F2FD5"/>
    <w:rsid w:val="540F647C"/>
    <w:rsid w:val="541033AA"/>
    <w:rsid w:val="54113140"/>
    <w:rsid w:val="541613C8"/>
    <w:rsid w:val="541839B8"/>
    <w:rsid w:val="54190646"/>
    <w:rsid w:val="541D6622"/>
    <w:rsid w:val="541E1BCB"/>
    <w:rsid w:val="541E2C95"/>
    <w:rsid w:val="541E2E94"/>
    <w:rsid w:val="541E6EF5"/>
    <w:rsid w:val="541F3BD4"/>
    <w:rsid w:val="542120BD"/>
    <w:rsid w:val="54222DBD"/>
    <w:rsid w:val="542252CC"/>
    <w:rsid w:val="54225A27"/>
    <w:rsid w:val="54227840"/>
    <w:rsid w:val="54262865"/>
    <w:rsid w:val="54276404"/>
    <w:rsid w:val="54284D11"/>
    <w:rsid w:val="54287145"/>
    <w:rsid w:val="54293D07"/>
    <w:rsid w:val="5430541B"/>
    <w:rsid w:val="54344485"/>
    <w:rsid w:val="54345D59"/>
    <w:rsid w:val="543911D4"/>
    <w:rsid w:val="54396D24"/>
    <w:rsid w:val="543A163F"/>
    <w:rsid w:val="543B1EBC"/>
    <w:rsid w:val="543B2A87"/>
    <w:rsid w:val="543D5626"/>
    <w:rsid w:val="543D7048"/>
    <w:rsid w:val="54426068"/>
    <w:rsid w:val="54435E0E"/>
    <w:rsid w:val="54436B53"/>
    <w:rsid w:val="54442C58"/>
    <w:rsid w:val="54443565"/>
    <w:rsid w:val="54495964"/>
    <w:rsid w:val="544A3591"/>
    <w:rsid w:val="544A5811"/>
    <w:rsid w:val="544A5DE2"/>
    <w:rsid w:val="544C6246"/>
    <w:rsid w:val="544D2C6E"/>
    <w:rsid w:val="544E5872"/>
    <w:rsid w:val="544E7C4E"/>
    <w:rsid w:val="54505660"/>
    <w:rsid w:val="54510CEE"/>
    <w:rsid w:val="54531F70"/>
    <w:rsid w:val="54544786"/>
    <w:rsid w:val="54544EAF"/>
    <w:rsid w:val="545554A4"/>
    <w:rsid w:val="54561467"/>
    <w:rsid w:val="54566258"/>
    <w:rsid w:val="54567A5F"/>
    <w:rsid w:val="54584570"/>
    <w:rsid w:val="545E6B4F"/>
    <w:rsid w:val="5461002A"/>
    <w:rsid w:val="5462220B"/>
    <w:rsid w:val="54632BEC"/>
    <w:rsid w:val="54637EB5"/>
    <w:rsid w:val="54665B69"/>
    <w:rsid w:val="5467454B"/>
    <w:rsid w:val="54687135"/>
    <w:rsid w:val="546B22D7"/>
    <w:rsid w:val="546B58A7"/>
    <w:rsid w:val="546C75C5"/>
    <w:rsid w:val="546F3D05"/>
    <w:rsid w:val="54702B62"/>
    <w:rsid w:val="54710723"/>
    <w:rsid w:val="54714E4C"/>
    <w:rsid w:val="5473217F"/>
    <w:rsid w:val="54741989"/>
    <w:rsid w:val="54751AA5"/>
    <w:rsid w:val="54752628"/>
    <w:rsid w:val="54762F4D"/>
    <w:rsid w:val="54796B10"/>
    <w:rsid w:val="547C0F53"/>
    <w:rsid w:val="547D0FFC"/>
    <w:rsid w:val="547D4044"/>
    <w:rsid w:val="547E69AC"/>
    <w:rsid w:val="54803B02"/>
    <w:rsid w:val="54804D64"/>
    <w:rsid w:val="5483216F"/>
    <w:rsid w:val="54833F8D"/>
    <w:rsid w:val="54875993"/>
    <w:rsid w:val="5488003F"/>
    <w:rsid w:val="54884052"/>
    <w:rsid w:val="548A38EA"/>
    <w:rsid w:val="548B2101"/>
    <w:rsid w:val="548B44C8"/>
    <w:rsid w:val="548D1BB9"/>
    <w:rsid w:val="548D5984"/>
    <w:rsid w:val="548F16C6"/>
    <w:rsid w:val="54910B81"/>
    <w:rsid w:val="54927B1C"/>
    <w:rsid w:val="549411E6"/>
    <w:rsid w:val="54943AF3"/>
    <w:rsid w:val="5496314C"/>
    <w:rsid w:val="54982D71"/>
    <w:rsid w:val="549855C0"/>
    <w:rsid w:val="549941A4"/>
    <w:rsid w:val="549945BC"/>
    <w:rsid w:val="549A46E2"/>
    <w:rsid w:val="549A5182"/>
    <w:rsid w:val="549B6B98"/>
    <w:rsid w:val="549D0972"/>
    <w:rsid w:val="549E6949"/>
    <w:rsid w:val="549F62F7"/>
    <w:rsid w:val="54A13E36"/>
    <w:rsid w:val="54A16E6C"/>
    <w:rsid w:val="54A374A4"/>
    <w:rsid w:val="54A52D6D"/>
    <w:rsid w:val="54A941D9"/>
    <w:rsid w:val="54AA2336"/>
    <w:rsid w:val="54AA616C"/>
    <w:rsid w:val="54AE42C6"/>
    <w:rsid w:val="54B029DD"/>
    <w:rsid w:val="54B10315"/>
    <w:rsid w:val="54B1387B"/>
    <w:rsid w:val="54B17BAB"/>
    <w:rsid w:val="54B17EA2"/>
    <w:rsid w:val="54B47658"/>
    <w:rsid w:val="54B575BB"/>
    <w:rsid w:val="54B81C27"/>
    <w:rsid w:val="54BA4B0E"/>
    <w:rsid w:val="54BB0441"/>
    <w:rsid w:val="54BF06BB"/>
    <w:rsid w:val="54C33D48"/>
    <w:rsid w:val="54C776D8"/>
    <w:rsid w:val="54C856F6"/>
    <w:rsid w:val="54CA7A9D"/>
    <w:rsid w:val="54CC31A0"/>
    <w:rsid w:val="54CD1656"/>
    <w:rsid w:val="54CD4A0B"/>
    <w:rsid w:val="54D226CB"/>
    <w:rsid w:val="54D30FC0"/>
    <w:rsid w:val="54D325E8"/>
    <w:rsid w:val="54D45881"/>
    <w:rsid w:val="54D50814"/>
    <w:rsid w:val="54D819A2"/>
    <w:rsid w:val="54D86C6A"/>
    <w:rsid w:val="54D87E10"/>
    <w:rsid w:val="54D96278"/>
    <w:rsid w:val="54D9651C"/>
    <w:rsid w:val="54DC15F7"/>
    <w:rsid w:val="54DC4C9A"/>
    <w:rsid w:val="54DD0C50"/>
    <w:rsid w:val="54DE0B2A"/>
    <w:rsid w:val="54DE5DEA"/>
    <w:rsid w:val="54E147C8"/>
    <w:rsid w:val="54E224F7"/>
    <w:rsid w:val="54E62448"/>
    <w:rsid w:val="54E8699B"/>
    <w:rsid w:val="54EA134A"/>
    <w:rsid w:val="54ED4BE1"/>
    <w:rsid w:val="54F00878"/>
    <w:rsid w:val="54F06A72"/>
    <w:rsid w:val="54F40C6A"/>
    <w:rsid w:val="54F54581"/>
    <w:rsid w:val="54F54799"/>
    <w:rsid w:val="54F831D0"/>
    <w:rsid w:val="54F86D71"/>
    <w:rsid w:val="54F90A10"/>
    <w:rsid w:val="54FA695C"/>
    <w:rsid w:val="54FC1588"/>
    <w:rsid w:val="54FE3959"/>
    <w:rsid w:val="54FE7928"/>
    <w:rsid w:val="550049DE"/>
    <w:rsid w:val="55004CDC"/>
    <w:rsid w:val="5501214B"/>
    <w:rsid w:val="5503215F"/>
    <w:rsid w:val="55051657"/>
    <w:rsid w:val="550623A0"/>
    <w:rsid w:val="55092436"/>
    <w:rsid w:val="55092E20"/>
    <w:rsid w:val="55093241"/>
    <w:rsid w:val="550A5E81"/>
    <w:rsid w:val="550B4456"/>
    <w:rsid w:val="550C1DA4"/>
    <w:rsid w:val="551110CA"/>
    <w:rsid w:val="551154E0"/>
    <w:rsid w:val="55132466"/>
    <w:rsid w:val="55151491"/>
    <w:rsid w:val="55160204"/>
    <w:rsid w:val="55173107"/>
    <w:rsid w:val="55193B83"/>
    <w:rsid w:val="55196108"/>
    <w:rsid w:val="551B489E"/>
    <w:rsid w:val="551E6FA6"/>
    <w:rsid w:val="55210F50"/>
    <w:rsid w:val="55213874"/>
    <w:rsid w:val="5521403E"/>
    <w:rsid w:val="552277B3"/>
    <w:rsid w:val="55232037"/>
    <w:rsid w:val="55281FDC"/>
    <w:rsid w:val="552B3B67"/>
    <w:rsid w:val="552C33EF"/>
    <w:rsid w:val="552D4922"/>
    <w:rsid w:val="55313C9B"/>
    <w:rsid w:val="55320FCB"/>
    <w:rsid w:val="55327A0C"/>
    <w:rsid w:val="553A4126"/>
    <w:rsid w:val="553B21CF"/>
    <w:rsid w:val="553B4407"/>
    <w:rsid w:val="553C1605"/>
    <w:rsid w:val="553C175C"/>
    <w:rsid w:val="553C49A7"/>
    <w:rsid w:val="553D19AB"/>
    <w:rsid w:val="553D2CBA"/>
    <w:rsid w:val="553E7963"/>
    <w:rsid w:val="553F2563"/>
    <w:rsid w:val="554065D4"/>
    <w:rsid w:val="55426B1C"/>
    <w:rsid w:val="55432849"/>
    <w:rsid w:val="55435BEA"/>
    <w:rsid w:val="55454ED0"/>
    <w:rsid w:val="554E2F4F"/>
    <w:rsid w:val="555140FC"/>
    <w:rsid w:val="555144EB"/>
    <w:rsid w:val="5551614A"/>
    <w:rsid w:val="55542219"/>
    <w:rsid w:val="55573719"/>
    <w:rsid w:val="55581841"/>
    <w:rsid w:val="5559195E"/>
    <w:rsid w:val="555926C4"/>
    <w:rsid w:val="555C1CBB"/>
    <w:rsid w:val="555C6F51"/>
    <w:rsid w:val="555C7FCC"/>
    <w:rsid w:val="555D4EFB"/>
    <w:rsid w:val="555E3317"/>
    <w:rsid w:val="555F5192"/>
    <w:rsid w:val="556018A7"/>
    <w:rsid w:val="5560674C"/>
    <w:rsid w:val="556224D4"/>
    <w:rsid w:val="5566529C"/>
    <w:rsid w:val="556676F1"/>
    <w:rsid w:val="556847FD"/>
    <w:rsid w:val="556A6AC6"/>
    <w:rsid w:val="556C2B09"/>
    <w:rsid w:val="556C738C"/>
    <w:rsid w:val="556D2FC9"/>
    <w:rsid w:val="557115AF"/>
    <w:rsid w:val="5573071A"/>
    <w:rsid w:val="5576548A"/>
    <w:rsid w:val="557A09E6"/>
    <w:rsid w:val="557A56C7"/>
    <w:rsid w:val="55802E03"/>
    <w:rsid w:val="55816C29"/>
    <w:rsid w:val="558C4785"/>
    <w:rsid w:val="558C608D"/>
    <w:rsid w:val="558C76DA"/>
    <w:rsid w:val="558D1067"/>
    <w:rsid w:val="55900103"/>
    <w:rsid w:val="559018C2"/>
    <w:rsid w:val="5592042A"/>
    <w:rsid w:val="55946EE8"/>
    <w:rsid w:val="55965D77"/>
    <w:rsid w:val="559715E6"/>
    <w:rsid w:val="55975799"/>
    <w:rsid w:val="55981AC4"/>
    <w:rsid w:val="559932FB"/>
    <w:rsid w:val="559C416F"/>
    <w:rsid w:val="559E44FA"/>
    <w:rsid w:val="559F0549"/>
    <w:rsid w:val="559F580D"/>
    <w:rsid w:val="55A1237B"/>
    <w:rsid w:val="55A21051"/>
    <w:rsid w:val="55A2261E"/>
    <w:rsid w:val="55A56752"/>
    <w:rsid w:val="55A579AE"/>
    <w:rsid w:val="55A85246"/>
    <w:rsid w:val="55A91818"/>
    <w:rsid w:val="55AA4AB5"/>
    <w:rsid w:val="55AE075A"/>
    <w:rsid w:val="55B04B8F"/>
    <w:rsid w:val="55B07920"/>
    <w:rsid w:val="55B1196B"/>
    <w:rsid w:val="55B22FC6"/>
    <w:rsid w:val="55B70A65"/>
    <w:rsid w:val="55B73175"/>
    <w:rsid w:val="55B777DB"/>
    <w:rsid w:val="55BB1161"/>
    <w:rsid w:val="55BB5DF7"/>
    <w:rsid w:val="55BE7D2C"/>
    <w:rsid w:val="55C04965"/>
    <w:rsid w:val="55C06DA6"/>
    <w:rsid w:val="55C11431"/>
    <w:rsid w:val="55C52445"/>
    <w:rsid w:val="55C864F6"/>
    <w:rsid w:val="55C93C9B"/>
    <w:rsid w:val="55CA1C05"/>
    <w:rsid w:val="55CC1464"/>
    <w:rsid w:val="55CD1092"/>
    <w:rsid w:val="55D06F87"/>
    <w:rsid w:val="55D15771"/>
    <w:rsid w:val="55D23E8A"/>
    <w:rsid w:val="55D97E10"/>
    <w:rsid w:val="55DA325E"/>
    <w:rsid w:val="55DA4CB7"/>
    <w:rsid w:val="55DC2311"/>
    <w:rsid w:val="55DD1683"/>
    <w:rsid w:val="55DE321A"/>
    <w:rsid w:val="55DF546E"/>
    <w:rsid w:val="55E17176"/>
    <w:rsid w:val="55E31362"/>
    <w:rsid w:val="55E62527"/>
    <w:rsid w:val="55E76FE2"/>
    <w:rsid w:val="55EA7E0C"/>
    <w:rsid w:val="55EB4DC1"/>
    <w:rsid w:val="55EE3265"/>
    <w:rsid w:val="55EF31EB"/>
    <w:rsid w:val="55F11D0A"/>
    <w:rsid w:val="55F20B87"/>
    <w:rsid w:val="55F2336B"/>
    <w:rsid w:val="55F34CF4"/>
    <w:rsid w:val="55F4038F"/>
    <w:rsid w:val="55F57A5F"/>
    <w:rsid w:val="55F64473"/>
    <w:rsid w:val="55F65313"/>
    <w:rsid w:val="55F74AAF"/>
    <w:rsid w:val="55F854BB"/>
    <w:rsid w:val="55F91076"/>
    <w:rsid w:val="55FB3307"/>
    <w:rsid w:val="55FF4EE0"/>
    <w:rsid w:val="56003679"/>
    <w:rsid w:val="5601746F"/>
    <w:rsid w:val="560271B3"/>
    <w:rsid w:val="560426DF"/>
    <w:rsid w:val="560504D6"/>
    <w:rsid w:val="560578FB"/>
    <w:rsid w:val="560759E3"/>
    <w:rsid w:val="56096174"/>
    <w:rsid w:val="560C4A9C"/>
    <w:rsid w:val="560F209A"/>
    <w:rsid w:val="560F62D6"/>
    <w:rsid w:val="56116933"/>
    <w:rsid w:val="56122FC0"/>
    <w:rsid w:val="56145AF3"/>
    <w:rsid w:val="5615412A"/>
    <w:rsid w:val="561C418D"/>
    <w:rsid w:val="561D2607"/>
    <w:rsid w:val="561D2ACA"/>
    <w:rsid w:val="561F77CE"/>
    <w:rsid w:val="56200081"/>
    <w:rsid w:val="5620370F"/>
    <w:rsid w:val="56207AE6"/>
    <w:rsid w:val="5621696B"/>
    <w:rsid w:val="56270AC3"/>
    <w:rsid w:val="56282345"/>
    <w:rsid w:val="562A1450"/>
    <w:rsid w:val="562A7EB0"/>
    <w:rsid w:val="562D15AC"/>
    <w:rsid w:val="562D60F2"/>
    <w:rsid w:val="563232D8"/>
    <w:rsid w:val="56374695"/>
    <w:rsid w:val="56383BCF"/>
    <w:rsid w:val="563946DE"/>
    <w:rsid w:val="563A48C7"/>
    <w:rsid w:val="563C08B6"/>
    <w:rsid w:val="563E5CC7"/>
    <w:rsid w:val="5644112A"/>
    <w:rsid w:val="56446297"/>
    <w:rsid w:val="56451787"/>
    <w:rsid w:val="56456547"/>
    <w:rsid w:val="56456E04"/>
    <w:rsid w:val="564678C2"/>
    <w:rsid w:val="56470B02"/>
    <w:rsid w:val="564C2290"/>
    <w:rsid w:val="564E3744"/>
    <w:rsid w:val="56542F3F"/>
    <w:rsid w:val="56550107"/>
    <w:rsid w:val="56550599"/>
    <w:rsid w:val="565B53BA"/>
    <w:rsid w:val="565C1F55"/>
    <w:rsid w:val="565C2F20"/>
    <w:rsid w:val="565C2F97"/>
    <w:rsid w:val="565C4A65"/>
    <w:rsid w:val="565D2ED3"/>
    <w:rsid w:val="565D65EA"/>
    <w:rsid w:val="565E72DC"/>
    <w:rsid w:val="565F1877"/>
    <w:rsid w:val="565F50D0"/>
    <w:rsid w:val="565F66BB"/>
    <w:rsid w:val="566060F7"/>
    <w:rsid w:val="56614D14"/>
    <w:rsid w:val="56614E4E"/>
    <w:rsid w:val="566541DA"/>
    <w:rsid w:val="56664415"/>
    <w:rsid w:val="56664E4D"/>
    <w:rsid w:val="5667017D"/>
    <w:rsid w:val="56677D4C"/>
    <w:rsid w:val="5668600D"/>
    <w:rsid w:val="56695F2E"/>
    <w:rsid w:val="566A18A9"/>
    <w:rsid w:val="566A2096"/>
    <w:rsid w:val="566C46DF"/>
    <w:rsid w:val="566E3DE3"/>
    <w:rsid w:val="566F28BB"/>
    <w:rsid w:val="56703196"/>
    <w:rsid w:val="56716831"/>
    <w:rsid w:val="56725A1C"/>
    <w:rsid w:val="56761632"/>
    <w:rsid w:val="567700B8"/>
    <w:rsid w:val="567800D3"/>
    <w:rsid w:val="567A4561"/>
    <w:rsid w:val="567B155C"/>
    <w:rsid w:val="567F57A9"/>
    <w:rsid w:val="56803617"/>
    <w:rsid w:val="568457D8"/>
    <w:rsid w:val="568831B5"/>
    <w:rsid w:val="56895F7D"/>
    <w:rsid w:val="568C66D7"/>
    <w:rsid w:val="568D529E"/>
    <w:rsid w:val="568E1040"/>
    <w:rsid w:val="56906CF4"/>
    <w:rsid w:val="56917899"/>
    <w:rsid w:val="5693342C"/>
    <w:rsid w:val="5693361D"/>
    <w:rsid w:val="56960E45"/>
    <w:rsid w:val="569D2719"/>
    <w:rsid w:val="569F193F"/>
    <w:rsid w:val="569F6DBA"/>
    <w:rsid w:val="569F79D1"/>
    <w:rsid w:val="56A124E5"/>
    <w:rsid w:val="56A24330"/>
    <w:rsid w:val="56A54B7F"/>
    <w:rsid w:val="56A75754"/>
    <w:rsid w:val="56A90D8C"/>
    <w:rsid w:val="56A97025"/>
    <w:rsid w:val="56AA6BB1"/>
    <w:rsid w:val="56AB1F6D"/>
    <w:rsid w:val="56AD0F2B"/>
    <w:rsid w:val="56AD35EB"/>
    <w:rsid w:val="56AF4163"/>
    <w:rsid w:val="56B12925"/>
    <w:rsid w:val="56B23CF8"/>
    <w:rsid w:val="56B2745C"/>
    <w:rsid w:val="56B30E6E"/>
    <w:rsid w:val="56B31604"/>
    <w:rsid w:val="56B36614"/>
    <w:rsid w:val="56B46EFF"/>
    <w:rsid w:val="56B53149"/>
    <w:rsid w:val="56B604D9"/>
    <w:rsid w:val="56B71341"/>
    <w:rsid w:val="56B97E17"/>
    <w:rsid w:val="56BB4FE4"/>
    <w:rsid w:val="56BC5867"/>
    <w:rsid w:val="56BE2E4B"/>
    <w:rsid w:val="56BE3F37"/>
    <w:rsid w:val="56BF5208"/>
    <w:rsid w:val="56C02EAE"/>
    <w:rsid w:val="56C07F27"/>
    <w:rsid w:val="56C11587"/>
    <w:rsid w:val="56C14BC2"/>
    <w:rsid w:val="56C33A87"/>
    <w:rsid w:val="56C60AAE"/>
    <w:rsid w:val="56C92356"/>
    <w:rsid w:val="56CB0C23"/>
    <w:rsid w:val="56CB21D0"/>
    <w:rsid w:val="56CC5CDE"/>
    <w:rsid w:val="56CD33C5"/>
    <w:rsid w:val="56CE0BDC"/>
    <w:rsid w:val="56CE7759"/>
    <w:rsid w:val="56D16B3D"/>
    <w:rsid w:val="56D60628"/>
    <w:rsid w:val="56D610C7"/>
    <w:rsid w:val="56D705A1"/>
    <w:rsid w:val="56D751DA"/>
    <w:rsid w:val="56D9139B"/>
    <w:rsid w:val="56D944A9"/>
    <w:rsid w:val="56DB5040"/>
    <w:rsid w:val="56DC4E3F"/>
    <w:rsid w:val="56DC4E61"/>
    <w:rsid w:val="56DE1358"/>
    <w:rsid w:val="56DF4B1F"/>
    <w:rsid w:val="56E00FFD"/>
    <w:rsid w:val="56E02659"/>
    <w:rsid w:val="56E11ACB"/>
    <w:rsid w:val="56E15256"/>
    <w:rsid w:val="56E2611C"/>
    <w:rsid w:val="56E73010"/>
    <w:rsid w:val="56E81FBD"/>
    <w:rsid w:val="56E94C94"/>
    <w:rsid w:val="56EC71AB"/>
    <w:rsid w:val="56ED42A1"/>
    <w:rsid w:val="56ED43BA"/>
    <w:rsid w:val="56ED6DE8"/>
    <w:rsid w:val="56EF4A31"/>
    <w:rsid w:val="56F02A5C"/>
    <w:rsid w:val="56F14BD5"/>
    <w:rsid w:val="56F339B5"/>
    <w:rsid w:val="56F33BEC"/>
    <w:rsid w:val="56F3458A"/>
    <w:rsid w:val="56F347CF"/>
    <w:rsid w:val="56F45EB9"/>
    <w:rsid w:val="56F654F3"/>
    <w:rsid w:val="56F71BD8"/>
    <w:rsid w:val="56FC426C"/>
    <w:rsid w:val="56FF1B70"/>
    <w:rsid w:val="5701013E"/>
    <w:rsid w:val="57010755"/>
    <w:rsid w:val="57015995"/>
    <w:rsid w:val="57021EFD"/>
    <w:rsid w:val="5702452A"/>
    <w:rsid w:val="57025EF7"/>
    <w:rsid w:val="57042A1E"/>
    <w:rsid w:val="57070768"/>
    <w:rsid w:val="570D4D57"/>
    <w:rsid w:val="570E49A0"/>
    <w:rsid w:val="570E61F3"/>
    <w:rsid w:val="57106D91"/>
    <w:rsid w:val="5714547F"/>
    <w:rsid w:val="571B2F1D"/>
    <w:rsid w:val="571B3BEF"/>
    <w:rsid w:val="571E1505"/>
    <w:rsid w:val="571E543A"/>
    <w:rsid w:val="572010AF"/>
    <w:rsid w:val="57247A40"/>
    <w:rsid w:val="572775AE"/>
    <w:rsid w:val="572B3663"/>
    <w:rsid w:val="572D03F1"/>
    <w:rsid w:val="572D3162"/>
    <w:rsid w:val="572F7C39"/>
    <w:rsid w:val="57307845"/>
    <w:rsid w:val="5733553B"/>
    <w:rsid w:val="57354B8F"/>
    <w:rsid w:val="57363B3D"/>
    <w:rsid w:val="57376E4B"/>
    <w:rsid w:val="573A3D25"/>
    <w:rsid w:val="573B156E"/>
    <w:rsid w:val="57415821"/>
    <w:rsid w:val="57435C16"/>
    <w:rsid w:val="57470D00"/>
    <w:rsid w:val="574714A3"/>
    <w:rsid w:val="57480AD2"/>
    <w:rsid w:val="57495F9A"/>
    <w:rsid w:val="574E5964"/>
    <w:rsid w:val="574E611B"/>
    <w:rsid w:val="57531C98"/>
    <w:rsid w:val="57542F33"/>
    <w:rsid w:val="5754576A"/>
    <w:rsid w:val="5757609D"/>
    <w:rsid w:val="57593503"/>
    <w:rsid w:val="575A24AE"/>
    <w:rsid w:val="575B4604"/>
    <w:rsid w:val="575D1AE5"/>
    <w:rsid w:val="575E0304"/>
    <w:rsid w:val="575E23BE"/>
    <w:rsid w:val="575F42D8"/>
    <w:rsid w:val="575F4AA0"/>
    <w:rsid w:val="576060AC"/>
    <w:rsid w:val="57641016"/>
    <w:rsid w:val="5764781D"/>
    <w:rsid w:val="576674E2"/>
    <w:rsid w:val="576A5045"/>
    <w:rsid w:val="576A68CD"/>
    <w:rsid w:val="576A7FCB"/>
    <w:rsid w:val="576B43C1"/>
    <w:rsid w:val="576B46D5"/>
    <w:rsid w:val="576D01D7"/>
    <w:rsid w:val="576D14B8"/>
    <w:rsid w:val="576D258E"/>
    <w:rsid w:val="576D79C1"/>
    <w:rsid w:val="576F35B1"/>
    <w:rsid w:val="577069B8"/>
    <w:rsid w:val="577226B3"/>
    <w:rsid w:val="577409F5"/>
    <w:rsid w:val="57742B7C"/>
    <w:rsid w:val="57750032"/>
    <w:rsid w:val="57767C97"/>
    <w:rsid w:val="5778307E"/>
    <w:rsid w:val="57793E7F"/>
    <w:rsid w:val="577978E4"/>
    <w:rsid w:val="57797F36"/>
    <w:rsid w:val="577B5B01"/>
    <w:rsid w:val="577B5E22"/>
    <w:rsid w:val="57800C6A"/>
    <w:rsid w:val="57816127"/>
    <w:rsid w:val="57866E75"/>
    <w:rsid w:val="57884F53"/>
    <w:rsid w:val="578A31B1"/>
    <w:rsid w:val="578A560B"/>
    <w:rsid w:val="578B0394"/>
    <w:rsid w:val="57902466"/>
    <w:rsid w:val="57921EF7"/>
    <w:rsid w:val="579239C9"/>
    <w:rsid w:val="57952CED"/>
    <w:rsid w:val="579B2417"/>
    <w:rsid w:val="579E39F8"/>
    <w:rsid w:val="579E514E"/>
    <w:rsid w:val="57A02593"/>
    <w:rsid w:val="57A278DD"/>
    <w:rsid w:val="57A6081D"/>
    <w:rsid w:val="57A72B46"/>
    <w:rsid w:val="57AA2D8A"/>
    <w:rsid w:val="57AA4822"/>
    <w:rsid w:val="57AA683A"/>
    <w:rsid w:val="57AA7F1F"/>
    <w:rsid w:val="57AB17BE"/>
    <w:rsid w:val="57AC7451"/>
    <w:rsid w:val="57AE0A82"/>
    <w:rsid w:val="57AF2578"/>
    <w:rsid w:val="57AF329F"/>
    <w:rsid w:val="57B041AF"/>
    <w:rsid w:val="57B2261B"/>
    <w:rsid w:val="57B23CCC"/>
    <w:rsid w:val="57B26437"/>
    <w:rsid w:val="57B43E6E"/>
    <w:rsid w:val="57B520D7"/>
    <w:rsid w:val="57B52796"/>
    <w:rsid w:val="57B939E9"/>
    <w:rsid w:val="57BA0032"/>
    <w:rsid w:val="57BA0848"/>
    <w:rsid w:val="57BA5616"/>
    <w:rsid w:val="57BB39C5"/>
    <w:rsid w:val="57BB545C"/>
    <w:rsid w:val="57BC16D0"/>
    <w:rsid w:val="57BC1AB0"/>
    <w:rsid w:val="57BD20F2"/>
    <w:rsid w:val="57BE484F"/>
    <w:rsid w:val="57BF74F6"/>
    <w:rsid w:val="57C04995"/>
    <w:rsid w:val="57C107C5"/>
    <w:rsid w:val="57C301FD"/>
    <w:rsid w:val="57C50BA9"/>
    <w:rsid w:val="57C67567"/>
    <w:rsid w:val="57C676D1"/>
    <w:rsid w:val="57C74E59"/>
    <w:rsid w:val="57C952E2"/>
    <w:rsid w:val="57CB1F5F"/>
    <w:rsid w:val="57D003E0"/>
    <w:rsid w:val="57D17B18"/>
    <w:rsid w:val="57D60801"/>
    <w:rsid w:val="57D65990"/>
    <w:rsid w:val="57D67A74"/>
    <w:rsid w:val="57D74193"/>
    <w:rsid w:val="57D97945"/>
    <w:rsid w:val="57DB184D"/>
    <w:rsid w:val="57DD2CD9"/>
    <w:rsid w:val="57DE25ED"/>
    <w:rsid w:val="57DE6FCB"/>
    <w:rsid w:val="57E0032B"/>
    <w:rsid w:val="57E51D61"/>
    <w:rsid w:val="57E95D9C"/>
    <w:rsid w:val="57EB7697"/>
    <w:rsid w:val="57EF6201"/>
    <w:rsid w:val="57F0044F"/>
    <w:rsid w:val="57F140EB"/>
    <w:rsid w:val="57F429F3"/>
    <w:rsid w:val="57F818F8"/>
    <w:rsid w:val="57F91B98"/>
    <w:rsid w:val="57FB0CA2"/>
    <w:rsid w:val="57FD6397"/>
    <w:rsid w:val="57FE4492"/>
    <w:rsid w:val="57FF2D9F"/>
    <w:rsid w:val="57FF3A73"/>
    <w:rsid w:val="58035E5E"/>
    <w:rsid w:val="5803671F"/>
    <w:rsid w:val="5804536F"/>
    <w:rsid w:val="580511AD"/>
    <w:rsid w:val="58081894"/>
    <w:rsid w:val="58097245"/>
    <w:rsid w:val="580C0B8C"/>
    <w:rsid w:val="580D0E0E"/>
    <w:rsid w:val="580D45C1"/>
    <w:rsid w:val="580F6163"/>
    <w:rsid w:val="580F6DC6"/>
    <w:rsid w:val="5812097A"/>
    <w:rsid w:val="58120D8B"/>
    <w:rsid w:val="58121A2D"/>
    <w:rsid w:val="58131F17"/>
    <w:rsid w:val="58140C42"/>
    <w:rsid w:val="58142B46"/>
    <w:rsid w:val="5815333F"/>
    <w:rsid w:val="5815347D"/>
    <w:rsid w:val="58162A88"/>
    <w:rsid w:val="58174F5D"/>
    <w:rsid w:val="581C36E1"/>
    <w:rsid w:val="581C4DB0"/>
    <w:rsid w:val="581C7602"/>
    <w:rsid w:val="58200D13"/>
    <w:rsid w:val="582233DA"/>
    <w:rsid w:val="5824264D"/>
    <w:rsid w:val="58247715"/>
    <w:rsid w:val="5827055B"/>
    <w:rsid w:val="582858F9"/>
    <w:rsid w:val="58285A0B"/>
    <w:rsid w:val="582B6E33"/>
    <w:rsid w:val="582C1CD2"/>
    <w:rsid w:val="582D3B6D"/>
    <w:rsid w:val="582D5882"/>
    <w:rsid w:val="582D6651"/>
    <w:rsid w:val="582E0BB0"/>
    <w:rsid w:val="582F3EB6"/>
    <w:rsid w:val="58305EA4"/>
    <w:rsid w:val="58313D51"/>
    <w:rsid w:val="583161DD"/>
    <w:rsid w:val="583212FC"/>
    <w:rsid w:val="58336FE2"/>
    <w:rsid w:val="58343BD1"/>
    <w:rsid w:val="5834551C"/>
    <w:rsid w:val="58345864"/>
    <w:rsid w:val="58370F8E"/>
    <w:rsid w:val="58383FD3"/>
    <w:rsid w:val="58387CC2"/>
    <w:rsid w:val="58395731"/>
    <w:rsid w:val="583A6539"/>
    <w:rsid w:val="583B002F"/>
    <w:rsid w:val="583C0054"/>
    <w:rsid w:val="583C2962"/>
    <w:rsid w:val="583E0480"/>
    <w:rsid w:val="583E2F8C"/>
    <w:rsid w:val="583E60FC"/>
    <w:rsid w:val="58420CBF"/>
    <w:rsid w:val="58420EB5"/>
    <w:rsid w:val="58484BC8"/>
    <w:rsid w:val="584E465B"/>
    <w:rsid w:val="584F5212"/>
    <w:rsid w:val="58514AE5"/>
    <w:rsid w:val="5851547D"/>
    <w:rsid w:val="58557A6E"/>
    <w:rsid w:val="585B71B3"/>
    <w:rsid w:val="585E1333"/>
    <w:rsid w:val="585F5AA7"/>
    <w:rsid w:val="585F6E83"/>
    <w:rsid w:val="58602617"/>
    <w:rsid w:val="58606E58"/>
    <w:rsid w:val="586633B6"/>
    <w:rsid w:val="58665499"/>
    <w:rsid w:val="586716CF"/>
    <w:rsid w:val="58672E54"/>
    <w:rsid w:val="586A0E10"/>
    <w:rsid w:val="586A115F"/>
    <w:rsid w:val="586A3C96"/>
    <w:rsid w:val="586B26BC"/>
    <w:rsid w:val="586B425F"/>
    <w:rsid w:val="586C7431"/>
    <w:rsid w:val="586F79FE"/>
    <w:rsid w:val="58713939"/>
    <w:rsid w:val="587173AD"/>
    <w:rsid w:val="58731664"/>
    <w:rsid w:val="58731872"/>
    <w:rsid w:val="58785DDD"/>
    <w:rsid w:val="58794624"/>
    <w:rsid w:val="58797DFD"/>
    <w:rsid w:val="587A7200"/>
    <w:rsid w:val="587B6C07"/>
    <w:rsid w:val="5880137A"/>
    <w:rsid w:val="58837DF9"/>
    <w:rsid w:val="58844E94"/>
    <w:rsid w:val="58852A50"/>
    <w:rsid w:val="588547F5"/>
    <w:rsid w:val="58857D57"/>
    <w:rsid w:val="5886378D"/>
    <w:rsid w:val="5886503E"/>
    <w:rsid w:val="58866C2E"/>
    <w:rsid w:val="58871752"/>
    <w:rsid w:val="58891A5C"/>
    <w:rsid w:val="588D7C05"/>
    <w:rsid w:val="58923478"/>
    <w:rsid w:val="5893336B"/>
    <w:rsid w:val="58960975"/>
    <w:rsid w:val="58986D9A"/>
    <w:rsid w:val="589D24D9"/>
    <w:rsid w:val="589D460D"/>
    <w:rsid w:val="589D67D4"/>
    <w:rsid w:val="589E109F"/>
    <w:rsid w:val="58A047A9"/>
    <w:rsid w:val="58A100D6"/>
    <w:rsid w:val="58A13093"/>
    <w:rsid w:val="58A27381"/>
    <w:rsid w:val="58A911C5"/>
    <w:rsid w:val="58AC1A3A"/>
    <w:rsid w:val="58B044AA"/>
    <w:rsid w:val="58B413B5"/>
    <w:rsid w:val="58B45EDB"/>
    <w:rsid w:val="58B51D80"/>
    <w:rsid w:val="58B53B88"/>
    <w:rsid w:val="58B83754"/>
    <w:rsid w:val="58B95C0B"/>
    <w:rsid w:val="58B96561"/>
    <w:rsid w:val="58BB5C30"/>
    <w:rsid w:val="58C44D79"/>
    <w:rsid w:val="58C61CCB"/>
    <w:rsid w:val="58C724D3"/>
    <w:rsid w:val="58C854F5"/>
    <w:rsid w:val="58C96718"/>
    <w:rsid w:val="58C97B77"/>
    <w:rsid w:val="58CA1DA0"/>
    <w:rsid w:val="58CA38CD"/>
    <w:rsid w:val="58CC0B75"/>
    <w:rsid w:val="58CD6582"/>
    <w:rsid w:val="58CF36CF"/>
    <w:rsid w:val="58CF5227"/>
    <w:rsid w:val="58D24F5A"/>
    <w:rsid w:val="58D57777"/>
    <w:rsid w:val="58D9075B"/>
    <w:rsid w:val="58D92243"/>
    <w:rsid w:val="58DE5DF5"/>
    <w:rsid w:val="58DF3FE4"/>
    <w:rsid w:val="58DF4CD4"/>
    <w:rsid w:val="58DF7BF0"/>
    <w:rsid w:val="58E05490"/>
    <w:rsid w:val="58E21E63"/>
    <w:rsid w:val="58E23236"/>
    <w:rsid w:val="58E25D0F"/>
    <w:rsid w:val="58E43AFA"/>
    <w:rsid w:val="58E742ED"/>
    <w:rsid w:val="58E90A3D"/>
    <w:rsid w:val="58E9609E"/>
    <w:rsid w:val="58EA2B09"/>
    <w:rsid w:val="58EB6ED9"/>
    <w:rsid w:val="58EC317D"/>
    <w:rsid w:val="58EC38C5"/>
    <w:rsid w:val="58EF12AC"/>
    <w:rsid w:val="58EF17EF"/>
    <w:rsid w:val="58EF52C2"/>
    <w:rsid w:val="58F0438E"/>
    <w:rsid w:val="58F900E3"/>
    <w:rsid w:val="58F91364"/>
    <w:rsid w:val="58F96644"/>
    <w:rsid w:val="58FA07F6"/>
    <w:rsid w:val="58FB4296"/>
    <w:rsid w:val="58FC32A7"/>
    <w:rsid w:val="58FE0511"/>
    <w:rsid w:val="58FE33EA"/>
    <w:rsid w:val="58FF782D"/>
    <w:rsid w:val="59000A94"/>
    <w:rsid w:val="5902535B"/>
    <w:rsid w:val="59034E29"/>
    <w:rsid w:val="590563F2"/>
    <w:rsid w:val="590E25CC"/>
    <w:rsid w:val="590F1DD7"/>
    <w:rsid w:val="590F2B6B"/>
    <w:rsid w:val="5911382F"/>
    <w:rsid w:val="591324ED"/>
    <w:rsid w:val="59132F81"/>
    <w:rsid w:val="5914455F"/>
    <w:rsid w:val="591450A9"/>
    <w:rsid w:val="59157BC0"/>
    <w:rsid w:val="59162FCA"/>
    <w:rsid w:val="591667D6"/>
    <w:rsid w:val="5917484D"/>
    <w:rsid w:val="59191CDF"/>
    <w:rsid w:val="592553EC"/>
    <w:rsid w:val="59262EC7"/>
    <w:rsid w:val="59287BA3"/>
    <w:rsid w:val="592B2098"/>
    <w:rsid w:val="592C0251"/>
    <w:rsid w:val="5931140F"/>
    <w:rsid w:val="593143D2"/>
    <w:rsid w:val="593254E1"/>
    <w:rsid w:val="593410BA"/>
    <w:rsid w:val="593579E6"/>
    <w:rsid w:val="59362C37"/>
    <w:rsid w:val="59364325"/>
    <w:rsid w:val="59372BF4"/>
    <w:rsid w:val="593932E7"/>
    <w:rsid w:val="593B0B7D"/>
    <w:rsid w:val="593B60F8"/>
    <w:rsid w:val="593C5324"/>
    <w:rsid w:val="593D5DD4"/>
    <w:rsid w:val="593E6260"/>
    <w:rsid w:val="59430632"/>
    <w:rsid w:val="5946257E"/>
    <w:rsid w:val="594A79E1"/>
    <w:rsid w:val="594F15AF"/>
    <w:rsid w:val="594F1943"/>
    <w:rsid w:val="59516530"/>
    <w:rsid w:val="59537775"/>
    <w:rsid w:val="5954450F"/>
    <w:rsid w:val="59581059"/>
    <w:rsid w:val="595A001E"/>
    <w:rsid w:val="595C6A28"/>
    <w:rsid w:val="595E1A05"/>
    <w:rsid w:val="595E2BD4"/>
    <w:rsid w:val="595F0383"/>
    <w:rsid w:val="59617FA0"/>
    <w:rsid w:val="59620661"/>
    <w:rsid w:val="59625FC6"/>
    <w:rsid w:val="596300F3"/>
    <w:rsid w:val="59634D9B"/>
    <w:rsid w:val="5964023F"/>
    <w:rsid w:val="59654C32"/>
    <w:rsid w:val="5968194B"/>
    <w:rsid w:val="596A6EDF"/>
    <w:rsid w:val="596B2AD3"/>
    <w:rsid w:val="596C7792"/>
    <w:rsid w:val="596D3DCC"/>
    <w:rsid w:val="59702C43"/>
    <w:rsid w:val="59703F25"/>
    <w:rsid w:val="59704615"/>
    <w:rsid w:val="59707C80"/>
    <w:rsid w:val="597152CA"/>
    <w:rsid w:val="59726FEE"/>
    <w:rsid w:val="59730038"/>
    <w:rsid w:val="597527C0"/>
    <w:rsid w:val="5976177A"/>
    <w:rsid w:val="59775D47"/>
    <w:rsid w:val="59782E33"/>
    <w:rsid w:val="5979225F"/>
    <w:rsid w:val="59793F1C"/>
    <w:rsid w:val="597B050F"/>
    <w:rsid w:val="597B3708"/>
    <w:rsid w:val="597B5AC7"/>
    <w:rsid w:val="597E6F77"/>
    <w:rsid w:val="5981117F"/>
    <w:rsid w:val="5985703C"/>
    <w:rsid w:val="59871172"/>
    <w:rsid w:val="59897B7D"/>
    <w:rsid w:val="598A037B"/>
    <w:rsid w:val="598A1A1C"/>
    <w:rsid w:val="598B4CA4"/>
    <w:rsid w:val="598B7B2C"/>
    <w:rsid w:val="598D61A3"/>
    <w:rsid w:val="59910B07"/>
    <w:rsid w:val="59911292"/>
    <w:rsid w:val="59920CC1"/>
    <w:rsid w:val="59982233"/>
    <w:rsid w:val="599C1686"/>
    <w:rsid w:val="599F2AF7"/>
    <w:rsid w:val="59A0209F"/>
    <w:rsid w:val="59A03A3E"/>
    <w:rsid w:val="59A04E95"/>
    <w:rsid w:val="59A206B4"/>
    <w:rsid w:val="59A24C07"/>
    <w:rsid w:val="59A32E2E"/>
    <w:rsid w:val="59A3699F"/>
    <w:rsid w:val="59A4027C"/>
    <w:rsid w:val="59A9179E"/>
    <w:rsid w:val="59A96010"/>
    <w:rsid w:val="59A962B4"/>
    <w:rsid w:val="59AA0942"/>
    <w:rsid w:val="59AB0B72"/>
    <w:rsid w:val="59AD0A51"/>
    <w:rsid w:val="59AD336E"/>
    <w:rsid w:val="59AD627E"/>
    <w:rsid w:val="59AE2BF7"/>
    <w:rsid w:val="59AF170C"/>
    <w:rsid w:val="59AF4961"/>
    <w:rsid w:val="59B1102C"/>
    <w:rsid w:val="59B126D8"/>
    <w:rsid w:val="59B2758C"/>
    <w:rsid w:val="59B37E1E"/>
    <w:rsid w:val="59B77896"/>
    <w:rsid w:val="59B86729"/>
    <w:rsid w:val="59B8673D"/>
    <w:rsid w:val="59B86C02"/>
    <w:rsid w:val="59B92A68"/>
    <w:rsid w:val="59B93327"/>
    <w:rsid w:val="59BA0549"/>
    <w:rsid w:val="59BA5919"/>
    <w:rsid w:val="59BB0BB5"/>
    <w:rsid w:val="59BF2B0A"/>
    <w:rsid w:val="59C04037"/>
    <w:rsid w:val="59C1321A"/>
    <w:rsid w:val="59C2297F"/>
    <w:rsid w:val="59C27A17"/>
    <w:rsid w:val="59C4660F"/>
    <w:rsid w:val="59C806CE"/>
    <w:rsid w:val="59C87308"/>
    <w:rsid w:val="59CA2BE8"/>
    <w:rsid w:val="59CA65F6"/>
    <w:rsid w:val="59CB5E71"/>
    <w:rsid w:val="59CF51F7"/>
    <w:rsid w:val="59CF5B0E"/>
    <w:rsid w:val="59D07FA2"/>
    <w:rsid w:val="59D1433C"/>
    <w:rsid w:val="59D31876"/>
    <w:rsid w:val="59D40214"/>
    <w:rsid w:val="59D450F9"/>
    <w:rsid w:val="59D91ADC"/>
    <w:rsid w:val="59DA26A1"/>
    <w:rsid w:val="59DC1CE8"/>
    <w:rsid w:val="59DF56CA"/>
    <w:rsid w:val="59E01F5E"/>
    <w:rsid w:val="59E04017"/>
    <w:rsid w:val="59E0562B"/>
    <w:rsid w:val="59E31D7C"/>
    <w:rsid w:val="59E62B06"/>
    <w:rsid w:val="59E644B6"/>
    <w:rsid w:val="59E7204E"/>
    <w:rsid w:val="59E73A11"/>
    <w:rsid w:val="59EA47FE"/>
    <w:rsid w:val="59EB3B27"/>
    <w:rsid w:val="59EE394F"/>
    <w:rsid w:val="59EF30BD"/>
    <w:rsid w:val="59EF438F"/>
    <w:rsid w:val="59EF7724"/>
    <w:rsid w:val="59F07509"/>
    <w:rsid w:val="59F13BEA"/>
    <w:rsid w:val="59F21F52"/>
    <w:rsid w:val="59F276D4"/>
    <w:rsid w:val="59F278E5"/>
    <w:rsid w:val="59F31F5A"/>
    <w:rsid w:val="59F5044A"/>
    <w:rsid w:val="59F56B9A"/>
    <w:rsid w:val="59F64106"/>
    <w:rsid w:val="59F665F7"/>
    <w:rsid w:val="59F73429"/>
    <w:rsid w:val="59F811FF"/>
    <w:rsid w:val="59F85B6E"/>
    <w:rsid w:val="59F95834"/>
    <w:rsid w:val="59FA398E"/>
    <w:rsid w:val="59FC52B7"/>
    <w:rsid w:val="59FD348D"/>
    <w:rsid w:val="59FD6BE1"/>
    <w:rsid w:val="59FE45A3"/>
    <w:rsid w:val="59FF398B"/>
    <w:rsid w:val="5A007D84"/>
    <w:rsid w:val="5A0166F6"/>
    <w:rsid w:val="5A0222F9"/>
    <w:rsid w:val="5A024029"/>
    <w:rsid w:val="5A03772D"/>
    <w:rsid w:val="5A064510"/>
    <w:rsid w:val="5A074F2D"/>
    <w:rsid w:val="5A076B49"/>
    <w:rsid w:val="5A0779A4"/>
    <w:rsid w:val="5A0908AC"/>
    <w:rsid w:val="5A0943D0"/>
    <w:rsid w:val="5A095DC8"/>
    <w:rsid w:val="5A096395"/>
    <w:rsid w:val="5A0A0B50"/>
    <w:rsid w:val="5A0A7891"/>
    <w:rsid w:val="5A0B4108"/>
    <w:rsid w:val="5A0C5A29"/>
    <w:rsid w:val="5A0E689C"/>
    <w:rsid w:val="5A0F63AD"/>
    <w:rsid w:val="5A106154"/>
    <w:rsid w:val="5A140DB0"/>
    <w:rsid w:val="5A150BF6"/>
    <w:rsid w:val="5A151A5F"/>
    <w:rsid w:val="5A152D0F"/>
    <w:rsid w:val="5A181793"/>
    <w:rsid w:val="5A182996"/>
    <w:rsid w:val="5A184B67"/>
    <w:rsid w:val="5A1A5A87"/>
    <w:rsid w:val="5A1A66C7"/>
    <w:rsid w:val="5A1C2A8A"/>
    <w:rsid w:val="5A1C7125"/>
    <w:rsid w:val="5A1D1A39"/>
    <w:rsid w:val="5A1D3E78"/>
    <w:rsid w:val="5A1E7A8E"/>
    <w:rsid w:val="5A1F7C8B"/>
    <w:rsid w:val="5A216455"/>
    <w:rsid w:val="5A223E60"/>
    <w:rsid w:val="5A227764"/>
    <w:rsid w:val="5A246510"/>
    <w:rsid w:val="5A270019"/>
    <w:rsid w:val="5A2A3FA0"/>
    <w:rsid w:val="5A2A733C"/>
    <w:rsid w:val="5A2B2880"/>
    <w:rsid w:val="5A2B2F6E"/>
    <w:rsid w:val="5A312979"/>
    <w:rsid w:val="5A3163B2"/>
    <w:rsid w:val="5A317B88"/>
    <w:rsid w:val="5A347415"/>
    <w:rsid w:val="5A36750E"/>
    <w:rsid w:val="5A385617"/>
    <w:rsid w:val="5A393534"/>
    <w:rsid w:val="5A394072"/>
    <w:rsid w:val="5A3A21F3"/>
    <w:rsid w:val="5A3C53CF"/>
    <w:rsid w:val="5A3D1380"/>
    <w:rsid w:val="5A3E5A92"/>
    <w:rsid w:val="5A3F7492"/>
    <w:rsid w:val="5A4022EE"/>
    <w:rsid w:val="5A414843"/>
    <w:rsid w:val="5A445E9E"/>
    <w:rsid w:val="5A451BD9"/>
    <w:rsid w:val="5A457F91"/>
    <w:rsid w:val="5A471B62"/>
    <w:rsid w:val="5A47635E"/>
    <w:rsid w:val="5A4B6BB1"/>
    <w:rsid w:val="5A4C5D92"/>
    <w:rsid w:val="5A4F587B"/>
    <w:rsid w:val="5A4F7435"/>
    <w:rsid w:val="5A5026CE"/>
    <w:rsid w:val="5A502E62"/>
    <w:rsid w:val="5A564E60"/>
    <w:rsid w:val="5A56618A"/>
    <w:rsid w:val="5A572AC1"/>
    <w:rsid w:val="5A57422E"/>
    <w:rsid w:val="5A577B5C"/>
    <w:rsid w:val="5A597410"/>
    <w:rsid w:val="5A5A726A"/>
    <w:rsid w:val="5A5B10AA"/>
    <w:rsid w:val="5A5B3353"/>
    <w:rsid w:val="5A5C539D"/>
    <w:rsid w:val="5A5E105C"/>
    <w:rsid w:val="5A5F3BBC"/>
    <w:rsid w:val="5A603C40"/>
    <w:rsid w:val="5A620BBD"/>
    <w:rsid w:val="5A632B64"/>
    <w:rsid w:val="5A65557C"/>
    <w:rsid w:val="5A666374"/>
    <w:rsid w:val="5A667CDB"/>
    <w:rsid w:val="5A6A1F0A"/>
    <w:rsid w:val="5A6B5BA8"/>
    <w:rsid w:val="5A6E0757"/>
    <w:rsid w:val="5A6E1E9E"/>
    <w:rsid w:val="5A6F0108"/>
    <w:rsid w:val="5A6F551C"/>
    <w:rsid w:val="5A7165E8"/>
    <w:rsid w:val="5A736313"/>
    <w:rsid w:val="5A75442B"/>
    <w:rsid w:val="5A7565F5"/>
    <w:rsid w:val="5A774A9F"/>
    <w:rsid w:val="5A77509E"/>
    <w:rsid w:val="5A7853A6"/>
    <w:rsid w:val="5A7915AD"/>
    <w:rsid w:val="5A7B5661"/>
    <w:rsid w:val="5A7C5367"/>
    <w:rsid w:val="5A7C6A95"/>
    <w:rsid w:val="5A7E24E7"/>
    <w:rsid w:val="5A7F1E90"/>
    <w:rsid w:val="5A7F4123"/>
    <w:rsid w:val="5A8127D6"/>
    <w:rsid w:val="5A850DE1"/>
    <w:rsid w:val="5A85308F"/>
    <w:rsid w:val="5A8661DD"/>
    <w:rsid w:val="5A9339C5"/>
    <w:rsid w:val="5A93438A"/>
    <w:rsid w:val="5A94235F"/>
    <w:rsid w:val="5A953336"/>
    <w:rsid w:val="5A953506"/>
    <w:rsid w:val="5A996F7A"/>
    <w:rsid w:val="5A9B5B19"/>
    <w:rsid w:val="5A9C05EA"/>
    <w:rsid w:val="5A9C2FD6"/>
    <w:rsid w:val="5A9C37E0"/>
    <w:rsid w:val="5A9D26E7"/>
    <w:rsid w:val="5A9D31A5"/>
    <w:rsid w:val="5AA0250B"/>
    <w:rsid w:val="5AA242CF"/>
    <w:rsid w:val="5AA355C4"/>
    <w:rsid w:val="5AA624C6"/>
    <w:rsid w:val="5AA62E43"/>
    <w:rsid w:val="5AA75501"/>
    <w:rsid w:val="5AAB16A0"/>
    <w:rsid w:val="5AAC1350"/>
    <w:rsid w:val="5AAC4635"/>
    <w:rsid w:val="5AAD039E"/>
    <w:rsid w:val="5AAD0F9D"/>
    <w:rsid w:val="5AAD3806"/>
    <w:rsid w:val="5AAE08A3"/>
    <w:rsid w:val="5AB3147C"/>
    <w:rsid w:val="5AB446C0"/>
    <w:rsid w:val="5AB452C3"/>
    <w:rsid w:val="5AB577A1"/>
    <w:rsid w:val="5AB85D4B"/>
    <w:rsid w:val="5ABB0F6A"/>
    <w:rsid w:val="5ABB4893"/>
    <w:rsid w:val="5ABC09F4"/>
    <w:rsid w:val="5ABC7558"/>
    <w:rsid w:val="5ABE6E79"/>
    <w:rsid w:val="5AC17184"/>
    <w:rsid w:val="5AC17C3C"/>
    <w:rsid w:val="5AC20B50"/>
    <w:rsid w:val="5AC30806"/>
    <w:rsid w:val="5AC43681"/>
    <w:rsid w:val="5AC45328"/>
    <w:rsid w:val="5AC86A41"/>
    <w:rsid w:val="5ACB462F"/>
    <w:rsid w:val="5ACC13DB"/>
    <w:rsid w:val="5ACD5181"/>
    <w:rsid w:val="5ACE6D5E"/>
    <w:rsid w:val="5ACF11FF"/>
    <w:rsid w:val="5ACF229D"/>
    <w:rsid w:val="5AD029C1"/>
    <w:rsid w:val="5AD40A51"/>
    <w:rsid w:val="5AD70CD9"/>
    <w:rsid w:val="5AD73902"/>
    <w:rsid w:val="5ADC1FD3"/>
    <w:rsid w:val="5ADC6702"/>
    <w:rsid w:val="5ADC7FEC"/>
    <w:rsid w:val="5ADD2419"/>
    <w:rsid w:val="5ADD6EEB"/>
    <w:rsid w:val="5ADE7562"/>
    <w:rsid w:val="5ADF15CB"/>
    <w:rsid w:val="5ADF340A"/>
    <w:rsid w:val="5AE007DF"/>
    <w:rsid w:val="5AE102BC"/>
    <w:rsid w:val="5AE134A4"/>
    <w:rsid w:val="5AE15B6A"/>
    <w:rsid w:val="5AE2746A"/>
    <w:rsid w:val="5AE30B73"/>
    <w:rsid w:val="5AE32EED"/>
    <w:rsid w:val="5AE420E9"/>
    <w:rsid w:val="5AE5174A"/>
    <w:rsid w:val="5AE5647C"/>
    <w:rsid w:val="5AE60B4D"/>
    <w:rsid w:val="5AE73B08"/>
    <w:rsid w:val="5AE86633"/>
    <w:rsid w:val="5AE87112"/>
    <w:rsid w:val="5AEC25E3"/>
    <w:rsid w:val="5AEF48C0"/>
    <w:rsid w:val="5AF0786E"/>
    <w:rsid w:val="5AF11AC6"/>
    <w:rsid w:val="5AF2046A"/>
    <w:rsid w:val="5AF24021"/>
    <w:rsid w:val="5AF44610"/>
    <w:rsid w:val="5AF54941"/>
    <w:rsid w:val="5AF55DCA"/>
    <w:rsid w:val="5AF65E10"/>
    <w:rsid w:val="5AF77667"/>
    <w:rsid w:val="5AF90D58"/>
    <w:rsid w:val="5AFB3C1D"/>
    <w:rsid w:val="5AFB3CBA"/>
    <w:rsid w:val="5AFB5036"/>
    <w:rsid w:val="5AFC58C2"/>
    <w:rsid w:val="5AFD72AF"/>
    <w:rsid w:val="5AFF769C"/>
    <w:rsid w:val="5B0008E8"/>
    <w:rsid w:val="5B0064DF"/>
    <w:rsid w:val="5B010B90"/>
    <w:rsid w:val="5B014CFC"/>
    <w:rsid w:val="5B021CC0"/>
    <w:rsid w:val="5B03601B"/>
    <w:rsid w:val="5B045A42"/>
    <w:rsid w:val="5B075D03"/>
    <w:rsid w:val="5B082DF2"/>
    <w:rsid w:val="5B0B4704"/>
    <w:rsid w:val="5B0C3F45"/>
    <w:rsid w:val="5B0C418A"/>
    <w:rsid w:val="5B0F02C7"/>
    <w:rsid w:val="5B104EE8"/>
    <w:rsid w:val="5B121F83"/>
    <w:rsid w:val="5B13358B"/>
    <w:rsid w:val="5B133C43"/>
    <w:rsid w:val="5B156DC5"/>
    <w:rsid w:val="5B161C61"/>
    <w:rsid w:val="5B1633DD"/>
    <w:rsid w:val="5B175E6D"/>
    <w:rsid w:val="5B185326"/>
    <w:rsid w:val="5B1A083C"/>
    <w:rsid w:val="5B1A19E6"/>
    <w:rsid w:val="5B1A27A7"/>
    <w:rsid w:val="5B1B400B"/>
    <w:rsid w:val="5B1C0A4D"/>
    <w:rsid w:val="5B1E0CF6"/>
    <w:rsid w:val="5B1E56C7"/>
    <w:rsid w:val="5B1F2E0D"/>
    <w:rsid w:val="5B1F3822"/>
    <w:rsid w:val="5B1F78A3"/>
    <w:rsid w:val="5B21099D"/>
    <w:rsid w:val="5B2111FE"/>
    <w:rsid w:val="5B235A68"/>
    <w:rsid w:val="5B266410"/>
    <w:rsid w:val="5B276269"/>
    <w:rsid w:val="5B276BC9"/>
    <w:rsid w:val="5B28056D"/>
    <w:rsid w:val="5B2971B2"/>
    <w:rsid w:val="5B2A2D10"/>
    <w:rsid w:val="5B2B1A43"/>
    <w:rsid w:val="5B2B7765"/>
    <w:rsid w:val="5B2E6066"/>
    <w:rsid w:val="5B2F241F"/>
    <w:rsid w:val="5B301B73"/>
    <w:rsid w:val="5B304DDD"/>
    <w:rsid w:val="5B3102CF"/>
    <w:rsid w:val="5B331551"/>
    <w:rsid w:val="5B3354F9"/>
    <w:rsid w:val="5B3719E9"/>
    <w:rsid w:val="5B3767B1"/>
    <w:rsid w:val="5B3806AD"/>
    <w:rsid w:val="5B3C48EB"/>
    <w:rsid w:val="5B3E5BF7"/>
    <w:rsid w:val="5B3F1194"/>
    <w:rsid w:val="5B3F585A"/>
    <w:rsid w:val="5B3F6D20"/>
    <w:rsid w:val="5B403BA2"/>
    <w:rsid w:val="5B421CF9"/>
    <w:rsid w:val="5B423A38"/>
    <w:rsid w:val="5B436781"/>
    <w:rsid w:val="5B44018F"/>
    <w:rsid w:val="5B444076"/>
    <w:rsid w:val="5B482049"/>
    <w:rsid w:val="5B4D2F17"/>
    <w:rsid w:val="5B4D3425"/>
    <w:rsid w:val="5B4D7F94"/>
    <w:rsid w:val="5B510B01"/>
    <w:rsid w:val="5B5463BD"/>
    <w:rsid w:val="5B5544D0"/>
    <w:rsid w:val="5B556B26"/>
    <w:rsid w:val="5B560F9D"/>
    <w:rsid w:val="5B5E7BEA"/>
    <w:rsid w:val="5B5F75FE"/>
    <w:rsid w:val="5B600C26"/>
    <w:rsid w:val="5B614D00"/>
    <w:rsid w:val="5B621A0A"/>
    <w:rsid w:val="5B640726"/>
    <w:rsid w:val="5B661318"/>
    <w:rsid w:val="5B672037"/>
    <w:rsid w:val="5B6A28E8"/>
    <w:rsid w:val="5B6A7AE5"/>
    <w:rsid w:val="5B6B5FBF"/>
    <w:rsid w:val="5B6C2077"/>
    <w:rsid w:val="5B6C297B"/>
    <w:rsid w:val="5B6D130D"/>
    <w:rsid w:val="5B6E0636"/>
    <w:rsid w:val="5B6F1985"/>
    <w:rsid w:val="5B6F486D"/>
    <w:rsid w:val="5B702463"/>
    <w:rsid w:val="5B712B46"/>
    <w:rsid w:val="5B730454"/>
    <w:rsid w:val="5B735F0C"/>
    <w:rsid w:val="5B75050E"/>
    <w:rsid w:val="5B757552"/>
    <w:rsid w:val="5B773BE1"/>
    <w:rsid w:val="5B78671D"/>
    <w:rsid w:val="5B7B0D97"/>
    <w:rsid w:val="5B7D2221"/>
    <w:rsid w:val="5B802948"/>
    <w:rsid w:val="5B820759"/>
    <w:rsid w:val="5B8325E7"/>
    <w:rsid w:val="5B836405"/>
    <w:rsid w:val="5B84086A"/>
    <w:rsid w:val="5B8421F7"/>
    <w:rsid w:val="5B8449B1"/>
    <w:rsid w:val="5B8549A8"/>
    <w:rsid w:val="5B872866"/>
    <w:rsid w:val="5B895FB2"/>
    <w:rsid w:val="5B8A3074"/>
    <w:rsid w:val="5B8C53EF"/>
    <w:rsid w:val="5B8C7A22"/>
    <w:rsid w:val="5B8F10C6"/>
    <w:rsid w:val="5B902512"/>
    <w:rsid w:val="5B9033FA"/>
    <w:rsid w:val="5B904650"/>
    <w:rsid w:val="5B906573"/>
    <w:rsid w:val="5B91790C"/>
    <w:rsid w:val="5B953C39"/>
    <w:rsid w:val="5B9608E4"/>
    <w:rsid w:val="5B964EBC"/>
    <w:rsid w:val="5B983D9A"/>
    <w:rsid w:val="5B993F18"/>
    <w:rsid w:val="5B9A4C2C"/>
    <w:rsid w:val="5B9C3A83"/>
    <w:rsid w:val="5B9D1569"/>
    <w:rsid w:val="5BA33494"/>
    <w:rsid w:val="5BA35133"/>
    <w:rsid w:val="5BA4654C"/>
    <w:rsid w:val="5BA511E7"/>
    <w:rsid w:val="5BA524C1"/>
    <w:rsid w:val="5BA91A0E"/>
    <w:rsid w:val="5BAC32B1"/>
    <w:rsid w:val="5BAC7C2D"/>
    <w:rsid w:val="5BAD22A1"/>
    <w:rsid w:val="5BAF0C09"/>
    <w:rsid w:val="5BB059CB"/>
    <w:rsid w:val="5BB30B9C"/>
    <w:rsid w:val="5BB40894"/>
    <w:rsid w:val="5BB66216"/>
    <w:rsid w:val="5BB716DC"/>
    <w:rsid w:val="5BB85086"/>
    <w:rsid w:val="5BB865DB"/>
    <w:rsid w:val="5BB90540"/>
    <w:rsid w:val="5BBA22C9"/>
    <w:rsid w:val="5BBB23E4"/>
    <w:rsid w:val="5BBC1ADB"/>
    <w:rsid w:val="5BBC317C"/>
    <w:rsid w:val="5BBD0CA8"/>
    <w:rsid w:val="5BBE4146"/>
    <w:rsid w:val="5BBF2F5D"/>
    <w:rsid w:val="5BC12AF5"/>
    <w:rsid w:val="5BC142D3"/>
    <w:rsid w:val="5BC204F0"/>
    <w:rsid w:val="5BC3005E"/>
    <w:rsid w:val="5BC30701"/>
    <w:rsid w:val="5BC308B2"/>
    <w:rsid w:val="5BC3624B"/>
    <w:rsid w:val="5BC45A21"/>
    <w:rsid w:val="5BC519CB"/>
    <w:rsid w:val="5BC77566"/>
    <w:rsid w:val="5BCD6B9C"/>
    <w:rsid w:val="5BD02497"/>
    <w:rsid w:val="5BD246A3"/>
    <w:rsid w:val="5BD247FA"/>
    <w:rsid w:val="5BD710D1"/>
    <w:rsid w:val="5BD73C87"/>
    <w:rsid w:val="5BDA1F97"/>
    <w:rsid w:val="5BDA4914"/>
    <w:rsid w:val="5BDD35A6"/>
    <w:rsid w:val="5BDE3911"/>
    <w:rsid w:val="5BDE5BD9"/>
    <w:rsid w:val="5BE00AB0"/>
    <w:rsid w:val="5BE13079"/>
    <w:rsid w:val="5BE24470"/>
    <w:rsid w:val="5BE31A59"/>
    <w:rsid w:val="5BE42BB9"/>
    <w:rsid w:val="5BE70273"/>
    <w:rsid w:val="5BE74663"/>
    <w:rsid w:val="5BE850BE"/>
    <w:rsid w:val="5BEB6348"/>
    <w:rsid w:val="5BED3E8D"/>
    <w:rsid w:val="5BED6DF7"/>
    <w:rsid w:val="5BEE4A2E"/>
    <w:rsid w:val="5BF051F2"/>
    <w:rsid w:val="5BF055CA"/>
    <w:rsid w:val="5BF07BB4"/>
    <w:rsid w:val="5BF1196D"/>
    <w:rsid w:val="5BF13BA6"/>
    <w:rsid w:val="5BF158E9"/>
    <w:rsid w:val="5BF15CD6"/>
    <w:rsid w:val="5BF16857"/>
    <w:rsid w:val="5BF4009E"/>
    <w:rsid w:val="5BF40F6A"/>
    <w:rsid w:val="5BF43A0D"/>
    <w:rsid w:val="5BF72186"/>
    <w:rsid w:val="5BF77D00"/>
    <w:rsid w:val="5BF9190F"/>
    <w:rsid w:val="5BFE3D3A"/>
    <w:rsid w:val="5BFF0E76"/>
    <w:rsid w:val="5C0013D6"/>
    <w:rsid w:val="5C0104C8"/>
    <w:rsid w:val="5C01200D"/>
    <w:rsid w:val="5C02277D"/>
    <w:rsid w:val="5C02646B"/>
    <w:rsid w:val="5C026941"/>
    <w:rsid w:val="5C040AE6"/>
    <w:rsid w:val="5C054AE5"/>
    <w:rsid w:val="5C06249E"/>
    <w:rsid w:val="5C066490"/>
    <w:rsid w:val="5C071A48"/>
    <w:rsid w:val="5C08079D"/>
    <w:rsid w:val="5C0B5A36"/>
    <w:rsid w:val="5C0C1994"/>
    <w:rsid w:val="5C0C50C0"/>
    <w:rsid w:val="5C0F7D7D"/>
    <w:rsid w:val="5C133556"/>
    <w:rsid w:val="5C1414AB"/>
    <w:rsid w:val="5C14402B"/>
    <w:rsid w:val="5C144804"/>
    <w:rsid w:val="5C1704EB"/>
    <w:rsid w:val="5C183D2E"/>
    <w:rsid w:val="5C1869FD"/>
    <w:rsid w:val="5C190E65"/>
    <w:rsid w:val="5C1E1150"/>
    <w:rsid w:val="5C223CF6"/>
    <w:rsid w:val="5C226961"/>
    <w:rsid w:val="5C236A86"/>
    <w:rsid w:val="5C255763"/>
    <w:rsid w:val="5C26668B"/>
    <w:rsid w:val="5C276A90"/>
    <w:rsid w:val="5C285393"/>
    <w:rsid w:val="5C2A031E"/>
    <w:rsid w:val="5C2A4DAF"/>
    <w:rsid w:val="5C2A570A"/>
    <w:rsid w:val="5C2B04B1"/>
    <w:rsid w:val="5C2C1539"/>
    <w:rsid w:val="5C2D2394"/>
    <w:rsid w:val="5C2F7F56"/>
    <w:rsid w:val="5C302261"/>
    <w:rsid w:val="5C325675"/>
    <w:rsid w:val="5C3262B3"/>
    <w:rsid w:val="5C385599"/>
    <w:rsid w:val="5C396E7A"/>
    <w:rsid w:val="5C3C66DA"/>
    <w:rsid w:val="5C3C6A93"/>
    <w:rsid w:val="5C3D2761"/>
    <w:rsid w:val="5C3D3677"/>
    <w:rsid w:val="5C3F62A1"/>
    <w:rsid w:val="5C456D13"/>
    <w:rsid w:val="5C4651EA"/>
    <w:rsid w:val="5C470EAF"/>
    <w:rsid w:val="5C486B15"/>
    <w:rsid w:val="5C487352"/>
    <w:rsid w:val="5C487A4D"/>
    <w:rsid w:val="5C495D79"/>
    <w:rsid w:val="5C4B208A"/>
    <w:rsid w:val="5C4B6CEF"/>
    <w:rsid w:val="5C4D32A3"/>
    <w:rsid w:val="5C4E15E5"/>
    <w:rsid w:val="5C4E48D8"/>
    <w:rsid w:val="5C50594C"/>
    <w:rsid w:val="5C522165"/>
    <w:rsid w:val="5C562CB2"/>
    <w:rsid w:val="5C586331"/>
    <w:rsid w:val="5C5A2158"/>
    <w:rsid w:val="5C5B4333"/>
    <w:rsid w:val="5C5B73A4"/>
    <w:rsid w:val="5C5D7A40"/>
    <w:rsid w:val="5C5E7752"/>
    <w:rsid w:val="5C5F4529"/>
    <w:rsid w:val="5C60733D"/>
    <w:rsid w:val="5C617646"/>
    <w:rsid w:val="5C626807"/>
    <w:rsid w:val="5C635673"/>
    <w:rsid w:val="5C6419D7"/>
    <w:rsid w:val="5C6443C0"/>
    <w:rsid w:val="5C646112"/>
    <w:rsid w:val="5C66722A"/>
    <w:rsid w:val="5C674C72"/>
    <w:rsid w:val="5C694EE9"/>
    <w:rsid w:val="5C6B09A4"/>
    <w:rsid w:val="5C6E6ACA"/>
    <w:rsid w:val="5C6E7FE0"/>
    <w:rsid w:val="5C6F5809"/>
    <w:rsid w:val="5C6F5DB6"/>
    <w:rsid w:val="5C7273FB"/>
    <w:rsid w:val="5C732740"/>
    <w:rsid w:val="5C732DA3"/>
    <w:rsid w:val="5C734E2A"/>
    <w:rsid w:val="5C764D38"/>
    <w:rsid w:val="5C7671BA"/>
    <w:rsid w:val="5C770F9A"/>
    <w:rsid w:val="5C775252"/>
    <w:rsid w:val="5C785686"/>
    <w:rsid w:val="5C792DBC"/>
    <w:rsid w:val="5C797E22"/>
    <w:rsid w:val="5C797FDE"/>
    <w:rsid w:val="5C7D6432"/>
    <w:rsid w:val="5C7E6E87"/>
    <w:rsid w:val="5C7F0B02"/>
    <w:rsid w:val="5C7F5EFE"/>
    <w:rsid w:val="5C7F5FE7"/>
    <w:rsid w:val="5C801E60"/>
    <w:rsid w:val="5C831AA0"/>
    <w:rsid w:val="5C835126"/>
    <w:rsid w:val="5C837029"/>
    <w:rsid w:val="5C845EA8"/>
    <w:rsid w:val="5C895C97"/>
    <w:rsid w:val="5C8C1153"/>
    <w:rsid w:val="5C8D1243"/>
    <w:rsid w:val="5C8D1ABC"/>
    <w:rsid w:val="5C8E15E8"/>
    <w:rsid w:val="5C8F1D3A"/>
    <w:rsid w:val="5C8F3D75"/>
    <w:rsid w:val="5C9072C4"/>
    <w:rsid w:val="5C923D94"/>
    <w:rsid w:val="5C924D54"/>
    <w:rsid w:val="5C9306B0"/>
    <w:rsid w:val="5C944D53"/>
    <w:rsid w:val="5C952411"/>
    <w:rsid w:val="5C956FF0"/>
    <w:rsid w:val="5C97298E"/>
    <w:rsid w:val="5C972E4F"/>
    <w:rsid w:val="5C9807C3"/>
    <w:rsid w:val="5C983F06"/>
    <w:rsid w:val="5C9A1D44"/>
    <w:rsid w:val="5C9A4212"/>
    <w:rsid w:val="5C9B2057"/>
    <w:rsid w:val="5C9B4C3F"/>
    <w:rsid w:val="5C9C7EB8"/>
    <w:rsid w:val="5C9D79F0"/>
    <w:rsid w:val="5C9E3A7B"/>
    <w:rsid w:val="5C9F0077"/>
    <w:rsid w:val="5CA45B44"/>
    <w:rsid w:val="5CA46B36"/>
    <w:rsid w:val="5CA62A38"/>
    <w:rsid w:val="5CA65687"/>
    <w:rsid w:val="5CA7001A"/>
    <w:rsid w:val="5CA75660"/>
    <w:rsid w:val="5CAB3960"/>
    <w:rsid w:val="5CAC67CA"/>
    <w:rsid w:val="5CAF7CC6"/>
    <w:rsid w:val="5CB0331F"/>
    <w:rsid w:val="5CB1663D"/>
    <w:rsid w:val="5CB227F0"/>
    <w:rsid w:val="5CB3488D"/>
    <w:rsid w:val="5CB651F7"/>
    <w:rsid w:val="5CB671A8"/>
    <w:rsid w:val="5CB7334F"/>
    <w:rsid w:val="5CBA5F4E"/>
    <w:rsid w:val="5CBB2A92"/>
    <w:rsid w:val="5CBB38D4"/>
    <w:rsid w:val="5CC31D21"/>
    <w:rsid w:val="5CC80EC7"/>
    <w:rsid w:val="5CC81AEA"/>
    <w:rsid w:val="5CC81BC9"/>
    <w:rsid w:val="5CC90FFA"/>
    <w:rsid w:val="5CCB61C6"/>
    <w:rsid w:val="5CCE1877"/>
    <w:rsid w:val="5CCE405B"/>
    <w:rsid w:val="5CCF5A24"/>
    <w:rsid w:val="5CD30F98"/>
    <w:rsid w:val="5CD31838"/>
    <w:rsid w:val="5CD37D54"/>
    <w:rsid w:val="5CD616B5"/>
    <w:rsid w:val="5CD71265"/>
    <w:rsid w:val="5CD8336A"/>
    <w:rsid w:val="5CDF20D5"/>
    <w:rsid w:val="5CDF31A7"/>
    <w:rsid w:val="5CE017C5"/>
    <w:rsid w:val="5CE06A64"/>
    <w:rsid w:val="5CE24632"/>
    <w:rsid w:val="5CE5043B"/>
    <w:rsid w:val="5CE734FF"/>
    <w:rsid w:val="5CE75749"/>
    <w:rsid w:val="5CE81CD0"/>
    <w:rsid w:val="5CE83587"/>
    <w:rsid w:val="5CEB444D"/>
    <w:rsid w:val="5CED01B4"/>
    <w:rsid w:val="5CED0CD2"/>
    <w:rsid w:val="5CED587B"/>
    <w:rsid w:val="5CF01A46"/>
    <w:rsid w:val="5CF1710B"/>
    <w:rsid w:val="5CF312E7"/>
    <w:rsid w:val="5CF371D4"/>
    <w:rsid w:val="5CF57321"/>
    <w:rsid w:val="5CF71171"/>
    <w:rsid w:val="5CF912CD"/>
    <w:rsid w:val="5CF93692"/>
    <w:rsid w:val="5CFB6087"/>
    <w:rsid w:val="5CFF2F18"/>
    <w:rsid w:val="5D002AE4"/>
    <w:rsid w:val="5D026F8D"/>
    <w:rsid w:val="5D0377D0"/>
    <w:rsid w:val="5D0425E5"/>
    <w:rsid w:val="5D043650"/>
    <w:rsid w:val="5D046D06"/>
    <w:rsid w:val="5D0507FD"/>
    <w:rsid w:val="5D064634"/>
    <w:rsid w:val="5D0765A7"/>
    <w:rsid w:val="5D0849A0"/>
    <w:rsid w:val="5D090CF4"/>
    <w:rsid w:val="5D0974E3"/>
    <w:rsid w:val="5D0B4BFE"/>
    <w:rsid w:val="5D0C1613"/>
    <w:rsid w:val="5D125598"/>
    <w:rsid w:val="5D137717"/>
    <w:rsid w:val="5D15078B"/>
    <w:rsid w:val="5D1912DC"/>
    <w:rsid w:val="5D1A0116"/>
    <w:rsid w:val="5D1A1F17"/>
    <w:rsid w:val="5D1B202C"/>
    <w:rsid w:val="5D1B5EE0"/>
    <w:rsid w:val="5D1C5F84"/>
    <w:rsid w:val="5D2018CA"/>
    <w:rsid w:val="5D203D03"/>
    <w:rsid w:val="5D223D88"/>
    <w:rsid w:val="5D226EEB"/>
    <w:rsid w:val="5D2547A9"/>
    <w:rsid w:val="5D2622E8"/>
    <w:rsid w:val="5D285434"/>
    <w:rsid w:val="5D2B00DB"/>
    <w:rsid w:val="5D2C5101"/>
    <w:rsid w:val="5D2C5D3E"/>
    <w:rsid w:val="5D2C7D19"/>
    <w:rsid w:val="5D2E0B10"/>
    <w:rsid w:val="5D2F4041"/>
    <w:rsid w:val="5D300FFF"/>
    <w:rsid w:val="5D325CE7"/>
    <w:rsid w:val="5D344D2D"/>
    <w:rsid w:val="5D35563F"/>
    <w:rsid w:val="5D3A31DB"/>
    <w:rsid w:val="5D405567"/>
    <w:rsid w:val="5D415ACC"/>
    <w:rsid w:val="5D42454A"/>
    <w:rsid w:val="5D4306EE"/>
    <w:rsid w:val="5D434683"/>
    <w:rsid w:val="5D440E7B"/>
    <w:rsid w:val="5D445386"/>
    <w:rsid w:val="5D486DBB"/>
    <w:rsid w:val="5D490904"/>
    <w:rsid w:val="5D493E73"/>
    <w:rsid w:val="5D4E02D0"/>
    <w:rsid w:val="5D4F24B0"/>
    <w:rsid w:val="5D4F43AE"/>
    <w:rsid w:val="5D501040"/>
    <w:rsid w:val="5D51100C"/>
    <w:rsid w:val="5D515E71"/>
    <w:rsid w:val="5D520053"/>
    <w:rsid w:val="5D530C61"/>
    <w:rsid w:val="5D543889"/>
    <w:rsid w:val="5D561229"/>
    <w:rsid w:val="5D582ABB"/>
    <w:rsid w:val="5D5872AD"/>
    <w:rsid w:val="5D5B097D"/>
    <w:rsid w:val="5D5B1BF4"/>
    <w:rsid w:val="5D5B7E4E"/>
    <w:rsid w:val="5D5E2CA9"/>
    <w:rsid w:val="5D5F67A3"/>
    <w:rsid w:val="5D652F78"/>
    <w:rsid w:val="5D660796"/>
    <w:rsid w:val="5D674DC9"/>
    <w:rsid w:val="5D681580"/>
    <w:rsid w:val="5D6931B3"/>
    <w:rsid w:val="5D695CB0"/>
    <w:rsid w:val="5D6A7A2C"/>
    <w:rsid w:val="5D6B306F"/>
    <w:rsid w:val="5D6C7129"/>
    <w:rsid w:val="5D6D1C84"/>
    <w:rsid w:val="5D6E373E"/>
    <w:rsid w:val="5D6F55FB"/>
    <w:rsid w:val="5D7141AA"/>
    <w:rsid w:val="5D7418E0"/>
    <w:rsid w:val="5D7831DC"/>
    <w:rsid w:val="5D7A5362"/>
    <w:rsid w:val="5D7A5D2B"/>
    <w:rsid w:val="5D7B0BBC"/>
    <w:rsid w:val="5D7B6A5A"/>
    <w:rsid w:val="5D8029D9"/>
    <w:rsid w:val="5D8158B0"/>
    <w:rsid w:val="5D843962"/>
    <w:rsid w:val="5D8601C0"/>
    <w:rsid w:val="5D880D71"/>
    <w:rsid w:val="5D892EE2"/>
    <w:rsid w:val="5D89407F"/>
    <w:rsid w:val="5D8B6D0C"/>
    <w:rsid w:val="5D8C2EA0"/>
    <w:rsid w:val="5D8D12AF"/>
    <w:rsid w:val="5D8F33F6"/>
    <w:rsid w:val="5D916C1A"/>
    <w:rsid w:val="5D936706"/>
    <w:rsid w:val="5D945F37"/>
    <w:rsid w:val="5D9771B6"/>
    <w:rsid w:val="5D977E14"/>
    <w:rsid w:val="5D980C5E"/>
    <w:rsid w:val="5D9B0F0B"/>
    <w:rsid w:val="5D9C53CA"/>
    <w:rsid w:val="5D9D4CED"/>
    <w:rsid w:val="5D9E4A7D"/>
    <w:rsid w:val="5DA1661A"/>
    <w:rsid w:val="5DA20769"/>
    <w:rsid w:val="5DA3179E"/>
    <w:rsid w:val="5DA36AE3"/>
    <w:rsid w:val="5DA371D1"/>
    <w:rsid w:val="5DA7220F"/>
    <w:rsid w:val="5DAA1ABE"/>
    <w:rsid w:val="5DAA2E5F"/>
    <w:rsid w:val="5DAB79E6"/>
    <w:rsid w:val="5DAC0E84"/>
    <w:rsid w:val="5DAD6468"/>
    <w:rsid w:val="5DAE600F"/>
    <w:rsid w:val="5DAF1034"/>
    <w:rsid w:val="5DAF2354"/>
    <w:rsid w:val="5DB07EED"/>
    <w:rsid w:val="5DB1627F"/>
    <w:rsid w:val="5DB4555E"/>
    <w:rsid w:val="5DB67FE8"/>
    <w:rsid w:val="5DB93947"/>
    <w:rsid w:val="5DBC2B87"/>
    <w:rsid w:val="5DBC41FF"/>
    <w:rsid w:val="5DBD37AF"/>
    <w:rsid w:val="5DBE6803"/>
    <w:rsid w:val="5DBE7816"/>
    <w:rsid w:val="5DBF03AD"/>
    <w:rsid w:val="5DC053AE"/>
    <w:rsid w:val="5DC122DD"/>
    <w:rsid w:val="5DC23E30"/>
    <w:rsid w:val="5DC373F0"/>
    <w:rsid w:val="5DC553D8"/>
    <w:rsid w:val="5DC64F01"/>
    <w:rsid w:val="5DCA756F"/>
    <w:rsid w:val="5DCC563D"/>
    <w:rsid w:val="5DCC7E89"/>
    <w:rsid w:val="5DCC7F9B"/>
    <w:rsid w:val="5DCD7A5B"/>
    <w:rsid w:val="5DCE79D9"/>
    <w:rsid w:val="5DD05AD5"/>
    <w:rsid w:val="5DD11C62"/>
    <w:rsid w:val="5DD13255"/>
    <w:rsid w:val="5DD13D17"/>
    <w:rsid w:val="5DD476C5"/>
    <w:rsid w:val="5DD52D00"/>
    <w:rsid w:val="5DD573AF"/>
    <w:rsid w:val="5DD66F9A"/>
    <w:rsid w:val="5DD77BAC"/>
    <w:rsid w:val="5DD9169C"/>
    <w:rsid w:val="5DDB5BF1"/>
    <w:rsid w:val="5DDB68BA"/>
    <w:rsid w:val="5DDD394B"/>
    <w:rsid w:val="5DDE1751"/>
    <w:rsid w:val="5DDF42EB"/>
    <w:rsid w:val="5DE00E39"/>
    <w:rsid w:val="5DE463CF"/>
    <w:rsid w:val="5DE60079"/>
    <w:rsid w:val="5DE80F52"/>
    <w:rsid w:val="5DE97ED3"/>
    <w:rsid w:val="5DEB0AA8"/>
    <w:rsid w:val="5DED4028"/>
    <w:rsid w:val="5DED7E65"/>
    <w:rsid w:val="5DEF71F7"/>
    <w:rsid w:val="5DF27F5A"/>
    <w:rsid w:val="5DF425AB"/>
    <w:rsid w:val="5DF451C7"/>
    <w:rsid w:val="5DF64ACD"/>
    <w:rsid w:val="5DF73A1C"/>
    <w:rsid w:val="5DFB02FE"/>
    <w:rsid w:val="5E0228B3"/>
    <w:rsid w:val="5E055E58"/>
    <w:rsid w:val="5E087357"/>
    <w:rsid w:val="5E0A1778"/>
    <w:rsid w:val="5E0B68F6"/>
    <w:rsid w:val="5E0E74A6"/>
    <w:rsid w:val="5E101F30"/>
    <w:rsid w:val="5E1025A0"/>
    <w:rsid w:val="5E130F8D"/>
    <w:rsid w:val="5E146C26"/>
    <w:rsid w:val="5E176DA0"/>
    <w:rsid w:val="5E1908E3"/>
    <w:rsid w:val="5E1B4C71"/>
    <w:rsid w:val="5E1C4D39"/>
    <w:rsid w:val="5E1D5CBF"/>
    <w:rsid w:val="5E1E34C7"/>
    <w:rsid w:val="5E1E5E59"/>
    <w:rsid w:val="5E2160AE"/>
    <w:rsid w:val="5E2245B0"/>
    <w:rsid w:val="5E236FB5"/>
    <w:rsid w:val="5E244444"/>
    <w:rsid w:val="5E252E26"/>
    <w:rsid w:val="5E261EE8"/>
    <w:rsid w:val="5E280073"/>
    <w:rsid w:val="5E2A5C07"/>
    <w:rsid w:val="5E2C29D0"/>
    <w:rsid w:val="5E2C2EB7"/>
    <w:rsid w:val="5E2C61D2"/>
    <w:rsid w:val="5E2C754E"/>
    <w:rsid w:val="5E2E799B"/>
    <w:rsid w:val="5E2F186E"/>
    <w:rsid w:val="5E301EEC"/>
    <w:rsid w:val="5E31354D"/>
    <w:rsid w:val="5E326405"/>
    <w:rsid w:val="5E3843EB"/>
    <w:rsid w:val="5E386280"/>
    <w:rsid w:val="5E3865F2"/>
    <w:rsid w:val="5E392495"/>
    <w:rsid w:val="5E3A00E7"/>
    <w:rsid w:val="5E3A569F"/>
    <w:rsid w:val="5E3B0D99"/>
    <w:rsid w:val="5E3B4F2B"/>
    <w:rsid w:val="5E3B5423"/>
    <w:rsid w:val="5E3C5CFC"/>
    <w:rsid w:val="5E3F2232"/>
    <w:rsid w:val="5E3F376A"/>
    <w:rsid w:val="5E421F84"/>
    <w:rsid w:val="5E43319B"/>
    <w:rsid w:val="5E480C9E"/>
    <w:rsid w:val="5E4910EB"/>
    <w:rsid w:val="5E4919C6"/>
    <w:rsid w:val="5E4976B2"/>
    <w:rsid w:val="5E4B6C79"/>
    <w:rsid w:val="5E4F5C4F"/>
    <w:rsid w:val="5E501255"/>
    <w:rsid w:val="5E530C5C"/>
    <w:rsid w:val="5E531E5B"/>
    <w:rsid w:val="5E570D4B"/>
    <w:rsid w:val="5E5753BE"/>
    <w:rsid w:val="5E593A20"/>
    <w:rsid w:val="5E5964F5"/>
    <w:rsid w:val="5E5B2653"/>
    <w:rsid w:val="5E5F70F3"/>
    <w:rsid w:val="5E626553"/>
    <w:rsid w:val="5E6374A2"/>
    <w:rsid w:val="5E667EB1"/>
    <w:rsid w:val="5E7209C0"/>
    <w:rsid w:val="5E7257A7"/>
    <w:rsid w:val="5E7378BF"/>
    <w:rsid w:val="5E761460"/>
    <w:rsid w:val="5E765EB7"/>
    <w:rsid w:val="5E7663A2"/>
    <w:rsid w:val="5E780D74"/>
    <w:rsid w:val="5E790048"/>
    <w:rsid w:val="5E7B0D92"/>
    <w:rsid w:val="5E7B520B"/>
    <w:rsid w:val="5E7F03C5"/>
    <w:rsid w:val="5E81753F"/>
    <w:rsid w:val="5E845FC8"/>
    <w:rsid w:val="5E85372A"/>
    <w:rsid w:val="5E870931"/>
    <w:rsid w:val="5E8B0AEA"/>
    <w:rsid w:val="5E8B2231"/>
    <w:rsid w:val="5E8F7F20"/>
    <w:rsid w:val="5E9070F6"/>
    <w:rsid w:val="5E91574E"/>
    <w:rsid w:val="5E917C1E"/>
    <w:rsid w:val="5E9446C1"/>
    <w:rsid w:val="5E956FC2"/>
    <w:rsid w:val="5E97118E"/>
    <w:rsid w:val="5E9A167A"/>
    <w:rsid w:val="5E9C2C7D"/>
    <w:rsid w:val="5E9C7817"/>
    <w:rsid w:val="5E9D5B30"/>
    <w:rsid w:val="5E9F2148"/>
    <w:rsid w:val="5E9F76B3"/>
    <w:rsid w:val="5E9F7790"/>
    <w:rsid w:val="5EA24DF5"/>
    <w:rsid w:val="5EA3300B"/>
    <w:rsid w:val="5EA44945"/>
    <w:rsid w:val="5EA51293"/>
    <w:rsid w:val="5EA51A15"/>
    <w:rsid w:val="5EA71725"/>
    <w:rsid w:val="5EA7506B"/>
    <w:rsid w:val="5EA7736F"/>
    <w:rsid w:val="5EA96F0D"/>
    <w:rsid w:val="5EAA5672"/>
    <w:rsid w:val="5EAB20A1"/>
    <w:rsid w:val="5EAB6065"/>
    <w:rsid w:val="5EAC26C3"/>
    <w:rsid w:val="5EAC5E22"/>
    <w:rsid w:val="5EAF3975"/>
    <w:rsid w:val="5EAF509F"/>
    <w:rsid w:val="5EB02654"/>
    <w:rsid w:val="5EB23351"/>
    <w:rsid w:val="5EB30351"/>
    <w:rsid w:val="5EB43D3F"/>
    <w:rsid w:val="5EB51753"/>
    <w:rsid w:val="5EB62A7B"/>
    <w:rsid w:val="5EB67D45"/>
    <w:rsid w:val="5EB72CB6"/>
    <w:rsid w:val="5EBA51A8"/>
    <w:rsid w:val="5EBC3BC7"/>
    <w:rsid w:val="5EBD077C"/>
    <w:rsid w:val="5EBF5CFC"/>
    <w:rsid w:val="5EC068FB"/>
    <w:rsid w:val="5EC1177E"/>
    <w:rsid w:val="5EC210C1"/>
    <w:rsid w:val="5EC32A75"/>
    <w:rsid w:val="5EC34683"/>
    <w:rsid w:val="5EC3548E"/>
    <w:rsid w:val="5EC35CB9"/>
    <w:rsid w:val="5ECC07A9"/>
    <w:rsid w:val="5ECD42F9"/>
    <w:rsid w:val="5ECE1382"/>
    <w:rsid w:val="5ECF1124"/>
    <w:rsid w:val="5ED03B9E"/>
    <w:rsid w:val="5ED07BE9"/>
    <w:rsid w:val="5ED42AC3"/>
    <w:rsid w:val="5ED50FB3"/>
    <w:rsid w:val="5EDA68BF"/>
    <w:rsid w:val="5EDD0A1B"/>
    <w:rsid w:val="5EDD7AE9"/>
    <w:rsid w:val="5EDE15FC"/>
    <w:rsid w:val="5EDE287E"/>
    <w:rsid w:val="5EDF34D8"/>
    <w:rsid w:val="5EE026FE"/>
    <w:rsid w:val="5EE04134"/>
    <w:rsid w:val="5EE0571D"/>
    <w:rsid w:val="5EE11F2C"/>
    <w:rsid w:val="5EE20CD8"/>
    <w:rsid w:val="5EE56A68"/>
    <w:rsid w:val="5EE705DB"/>
    <w:rsid w:val="5EE839FD"/>
    <w:rsid w:val="5EE8412C"/>
    <w:rsid w:val="5EE87D51"/>
    <w:rsid w:val="5EEC5773"/>
    <w:rsid w:val="5EEC5CE4"/>
    <w:rsid w:val="5EF1209F"/>
    <w:rsid w:val="5EF26C28"/>
    <w:rsid w:val="5EF32B99"/>
    <w:rsid w:val="5EF413FD"/>
    <w:rsid w:val="5EF45A7A"/>
    <w:rsid w:val="5EF608EB"/>
    <w:rsid w:val="5EF7557F"/>
    <w:rsid w:val="5EFD793F"/>
    <w:rsid w:val="5EFF6E17"/>
    <w:rsid w:val="5F012962"/>
    <w:rsid w:val="5F0230B9"/>
    <w:rsid w:val="5F0261B1"/>
    <w:rsid w:val="5F041AB4"/>
    <w:rsid w:val="5F056747"/>
    <w:rsid w:val="5F073F2E"/>
    <w:rsid w:val="5F075A97"/>
    <w:rsid w:val="5F0767DB"/>
    <w:rsid w:val="5F0843DE"/>
    <w:rsid w:val="5F096A3A"/>
    <w:rsid w:val="5F0A0BB0"/>
    <w:rsid w:val="5F0C01F3"/>
    <w:rsid w:val="5F0F1EDD"/>
    <w:rsid w:val="5F10396A"/>
    <w:rsid w:val="5F112610"/>
    <w:rsid w:val="5F134E31"/>
    <w:rsid w:val="5F1411EB"/>
    <w:rsid w:val="5F164327"/>
    <w:rsid w:val="5F182859"/>
    <w:rsid w:val="5F19373F"/>
    <w:rsid w:val="5F1C525B"/>
    <w:rsid w:val="5F1D0A56"/>
    <w:rsid w:val="5F1F3EFF"/>
    <w:rsid w:val="5F1F75F8"/>
    <w:rsid w:val="5F205807"/>
    <w:rsid w:val="5F210956"/>
    <w:rsid w:val="5F2335E1"/>
    <w:rsid w:val="5F23675D"/>
    <w:rsid w:val="5F2506AA"/>
    <w:rsid w:val="5F261F82"/>
    <w:rsid w:val="5F266983"/>
    <w:rsid w:val="5F267275"/>
    <w:rsid w:val="5F270279"/>
    <w:rsid w:val="5F2C5E1A"/>
    <w:rsid w:val="5F2C7A99"/>
    <w:rsid w:val="5F2E30A3"/>
    <w:rsid w:val="5F2E46D9"/>
    <w:rsid w:val="5F2E4A1B"/>
    <w:rsid w:val="5F305A59"/>
    <w:rsid w:val="5F3235F4"/>
    <w:rsid w:val="5F3635CC"/>
    <w:rsid w:val="5F390A33"/>
    <w:rsid w:val="5F391CF6"/>
    <w:rsid w:val="5F3958C7"/>
    <w:rsid w:val="5F3C1C1F"/>
    <w:rsid w:val="5F3D1BC8"/>
    <w:rsid w:val="5F3D2F58"/>
    <w:rsid w:val="5F3F0310"/>
    <w:rsid w:val="5F403D93"/>
    <w:rsid w:val="5F427CF3"/>
    <w:rsid w:val="5F434B88"/>
    <w:rsid w:val="5F443C5E"/>
    <w:rsid w:val="5F446D85"/>
    <w:rsid w:val="5F461A89"/>
    <w:rsid w:val="5F465693"/>
    <w:rsid w:val="5F47568C"/>
    <w:rsid w:val="5F4A788C"/>
    <w:rsid w:val="5F4B582E"/>
    <w:rsid w:val="5F4B699C"/>
    <w:rsid w:val="5F4D0B0B"/>
    <w:rsid w:val="5F507AB0"/>
    <w:rsid w:val="5F512908"/>
    <w:rsid w:val="5F532083"/>
    <w:rsid w:val="5F542A4C"/>
    <w:rsid w:val="5F551A2A"/>
    <w:rsid w:val="5F56633D"/>
    <w:rsid w:val="5F575616"/>
    <w:rsid w:val="5F5949B0"/>
    <w:rsid w:val="5F5A1813"/>
    <w:rsid w:val="5F5F1146"/>
    <w:rsid w:val="5F5F1995"/>
    <w:rsid w:val="5F5F6EC9"/>
    <w:rsid w:val="5F6140E7"/>
    <w:rsid w:val="5F640894"/>
    <w:rsid w:val="5F6606B1"/>
    <w:rsid w:val="5F681E27"/>
    <w:rsid w:val="5F6A03BC"/>
    <w:rsid w:val="5F6A5588"/>
    <w:rsid w:val="5F6C0871"/>
    <w:rsid w:val="5F6C2C03"/>
    <w:rsid w:val="5F6C49D3"/>
    <w:rsid w:val="5F6C50E3"/>
    <w:rsid w:val="5F6E6DA5"/>
    <w:rsid w:val="5F73262A"/>
    <w:rsid w:val="5F773F6A"/>
    <w:rsid w:val="5F775587"/>
    <w:rsid w:val="5F783167"/>
    <w:rsid w:val="5F7B5446"/>
    <w:rsid w:val="5F7F388F"/>
    <w:rsid w:val="5F7F50FD"/>
    <w:rsid w:val="5F82538C"/>
    <w:rsid w:val="5F847DD2"/>
    <w:rsid w:val="5F862810"/>
    <w:rsid w:val="5F8747E9"/>
    <w:rsid w:val="5F897972"/>
    <w:rsid w:val="5F8A604A"/>
    <w:rsid w:val="5F8B4D88"/>
    <w:rsid w:val="5F8B5116"/>
    <w:rsid w:val="5F8C41EC"/>
    <w:rsid w:val="5F8D4CB6"/>
    <w:rsid w:val="5F8D5130"/>
    <w:rsid w:val="5F8E15DF"/>
    <w:rsid w:val="5F8E23D0"/>
    <w:rsid w:val="5F947793"/>
    <w:rsid w:val="5F9534AB"/>
    <w:rsid w:val="5F981EB9"/>
    <w:rsid w:val="5F997D5F"/>
    <w:rsid w:val="5F9A3BDD"/>
    <w:rsid w:val="5F9C53B4"/>
    <w:rsid w:val="5FA03289"/>
    <w:rsid w:val="5FA10C1B"/>
    <w:rsid w:val="5FA25235"/>
    <w:rsid w:val="5FA5114B"/>
    <w:rsid w:val="5FA5372F"/>
    <w:rsid w:val="5FA53F2B"/>
    <w:rsid w:val="5FA568DB"/>
    <w:rsid w:val="5FA95288"/>
    <w:rsid w:val="5FAD0834"/>
    <w:rsid w:val="5FAD227F"/>
    <w:rsid w:val="5FAF00EC"/>
    <w:rsid w:val="5FB017A2"/>
    <w:rsid w:val="5FB13ECB"/>
    <w:rsid w:val="5FB2337A"/>
    <w:rsid w:val="5FB352BC"/>
    <w:rsid w:val="5FB359AA"/>
    <w:rsid w:val="5FB36E8A"/>
    <w:rsid w:val="5FB400EA"/>
    <w:rsid w:val="5FB6139B"/>
    <w:rsid w:val="5FB72206"/>
    <w:rsid w:val="5FB9112C"/>
    <w:rsid w:val="5FBD075D"/>
    <w:rsid w:val="5FBD3A8E"/>
    <w:rsid w:val="5FBE47F6"/>
    <w:rsid w:val="5FBE558B"/>
    <w:rsid w:val="5FBF3911"/>
    <w:rsid w:val="5FC02D32"/>
    <w:rsid w:val="5FC05DF3"/>
    <w:rsid w:val="5FC21467"/>
    <w:rsid w:val="5FC23B88"/>
    <w:rsid w:val="5FC23F2F"/>
    <w:rsid w:val="5FC30FD2"/>
    <w:rsid w:val="5FC374DE"/>
    <w:rsid w:val="5FC44250"/>
    <w:rsid w:val="5FC52D30"/>
    <w:rsid w:val="5FC74951"/>
    <w:rsid w:val="5FC86DEA"/>
    <w:rsid w:val="5FC939F9"/>
    <w:rsid w:val="5FCA2AFB"/>
    <w:rsid w:val="5FCB3E4D"/>
    <w:rsid w:val="5FCD47E0"/>
    <w:rsid w:val="5FCE5B56"/>
    <w:rsid w:val="5FCF4D90"/>
    <w:rsid w:val="5FD0644F"/>
    <w:rsid w:val="5FD158D9"/>
    <w:rsid w:val="5FD415C6"/>
    <w:rsid w:val="5FD462B1"/>
    <w:rsid w:val="5FD83C20"/>
    <w:rsid w:val="5FD86F25"/>
    <w:rsid w:val="5FDA4167"/>
    <w:rsid w:val="5FDB2C59"/>
    <w:rsid w:val="5FDF3D9C"/>
    <w:rsid w:val="5FE139EB"/>
    <w:rsid w:val="5FE64E8E"/>
    <w:rsid w:val="5FE74BC5"/>
    <w:rsid w:val="5FE93A45"/>
    <w:rsid w:val="5FEB3C1E"/>
    <w:rsid w:val="5FEE0270"/>
    <w:rsid w:val="5FEF033F"/>
    <w:rsid w:val="5FF06BA7"/>
    <w:rsid w:val="5FF120A1"/>
    <w:rsid w:val="5FF300E3"/>
    <w:rsid w:val="5FF332CC"/>
    <w:rsid w:val="5FF436ED"/>
    <w:rsid w:val="5FF71D8C"/>
    <w:rsid w:val="5FF9015B"/>
    <w:rsid w:val="5FFA4728"/>
    <w:rsid w:val="5FFB6AAD"/>
    <w:rsid w:val="5FFC4D3B"/>
    <w:rsid w:val="5FFC5915"/>
    <w:rsid w:val="5FFF3011"/>
    <w:rsid w:val="5FFF3121"/>
    <w:rsid w:val="60011A63"/>
    <w:rsid w:val="6002005B"/>
    <w:rsid w:val="60024D6A"/>
    <w:rsid w:val="60031A67"/>
    <w:rsid w:val="6004015E"/>
    <w:rsid w:val="600559B7"/>
    <w:rsid w:val="60070F75"/>
    <w:rsid w:val="600750F2"/>
    <w:rsid w:val="60076D22"/>
    <w:rsid w:val="60091B07"/>
    <w:rsid w:val="600B16F8"/>
    <w:rsid w:val="600B4347"/>
    <w:rsid w:val="600B56E9"/>
    <w:rsid w:val="600B6B75"/>
    <w:rsid w:val="600E102D"/>
    <w:rsid w:val="600F7F7F"/>
    <w:rsid w:val="601117A6"/>
    <w:rsid w:val="60121F3E"/>
    <w:rsid w:val="60156058"/>
    <w:rsid w:val="60170456"/>
    <w:rsid w:val="601A3A6D"/>
    <w:rsid w:val="601A792F"/>
    <w:rsid w:val="601C2646"/>
    <w:rsid w:val="601C3EA0"/>
    <w:rsid w:val="601C4BF3"/>
    <w:rsid w:val="601C5B2D"/>
    <w:rsid w:val="601D5867"/>
    <w:rsid w:val="60215D75"/>
    <w:rsid w:val="60223572"/>
    <w:rsid w:val="60234359"/>
    <w:rsid w:val="60247D8F"/>
    <w:rsid w:val="6025596B"/>
    <w:rsid w:val="60266520"/>
    <w:rsid w:val="602A1B89"/>
    <w:rsid w:val="602A7456"/>
    <w:rsid w:val="602D43A2"/>
    <w:rsid w:val="602D65B0"/>
    <w:rsid w:val="60301A9F"/>
    <w:rsid w:val="60337954"/>
    <w:rsid w:val="603449C9"/>
    <w:rsid w:val="60344ED7"/>
    <w:rsid w:val="603600E7"/>
    <w:rsid w:val="603752E6"/>
    <w:rsid w:val="60382B41"/>
    <w:rsid w:val="60384855"/>
    <w:rsid w:val="603B0F9B"/>
    <w:rsid w:val="603B2BEE"/>
    <w:rsid w:val="603D01A3"/>
    <w:rsid w:val="603D50A7"/>
    <w:rsid w:val="603D767E"/>
    <w:rsid w:val="60405B44"/>
    <w:rsid w:val="60425551"/>
    <w:rsid w:val="60453598"/>
    <w:rsid w:val="60457E56"/>
    <w:rsid w:val="60462DE1"/>
    <w:rsid w:val="604632C2"/>
    <w:rsid w:val="604A7074"/>
    <w:rsid w:val="604B079A"/>
    <w:rsid w:val="604C15A9"/>
    <w:rsid w:val="604C47D8"/>
    <w:rsid w:val="604E08FF"/>
    <w:rsid w:val="604F5789"/>
    <w:rsid w:val="605009C7"/>
    <w:rsid w:val="60506902"/>
    <w:rsid w:val="60511D34"/>
    <w:rsid w:val="605132AD"/>
    <w:rsid w:val="605219EF"/>
    <w:rsid w:val="60522207"/>
    <w:rsid w:val="60526649"/>
    <w:rsid w:val="60526722"/>
    <w:rsid w:val="60534C04"/>
    <w:rsid w:val="6054185A"/>
    <w:rsid w:val="60543225"/>
    <w:rsid w:val="60575F5A"/>
    <w:rsid w:val="6058592D"/>
    <w:rsid w:val="60597785"/>
    <w:rsid w:val="605C3C7A"/>
    <w:rsid w:val="605E744E"/>
    <w:rsid w:val="605F45EE"/>
    <w:rsid w:val="606016F2"/>
    <w:rsid w:val="60612B3D"/>
    <w:rsid w:val="606130FA"/>
    <w:rsid w:val="60614AF1"/>
    <w:rsid w:val="606178CF"/>
    <w:rsid w:val="606224DD"/>
    <w:rsid w:val="60644BF2"/>
    <w:rsid w:val="60662630"/>
    <w:rsid w:val="606835CD"/>
    <w:rsid w:val="606C0DD3"/>
    <w:rsid w:val="606E21CB"/>
    <w:rsid w:val="606E77B6"/>
    <w:rsid w:val="60700837"/>
    <w:rsid w:val="60711CFA"/>
    <w:rsid w:val="607236C6"/>
    <w:rsid w:val="60732720"/>
    <w:rsid w:val="60732A18"/>
    <w:rsid w:val="60763953"/>
    <w:rsid w:val="60767331"/>
    <w:rsid w:val="60782852"/>
    <w:rsid w:val="60790101"/>
    <w:rsid w:val="607B2990"/>
    <w:rsid w:val="607B61BA"/>
    <w:rsid w:val="607D192F"/>
    <w:rsid w:val="607D566F"/>
    <w:rsid w:val="607E0C22"/>
    <w:rsid w:val="60807508"/>
    <w:rsid w:val="60810544"/>
    <w:rsid w:val="60827383"/>
    <w:rsid w:val="6083342A"/>
    <w:rsid w:val="60861AB0"/>
    <w:rsid w:val="60866DD1"/>
    <w:rsid w:val="60880665"/>
    <w:rsid w:val="608974CB"/>
    <w:rsid w:val="608B6365"/>
    <w:rsid w:val="608F71F1"/>
    <w:rsid w:val="60903996"/>
    <w:rsid w:val="60910D55"/>
    <w:rsid w:val="60917EE3"/>
    <w:rsid w:val="60926513"/>
    <w:rsid w:val="609855D5"/>
    <w:rsid w:val="609A4631"/>
    <w:rsid w:val="609A4DAC"/>
    <w:rsid w:val="609D331B"/>
    <w:rsid w:val="609D6EBB"/>
    <w:rsid w:val="609D74B9"/>
    <w:rsid w:val="609E214E"/>
    <w:rsid w:val="609E6995"/>
    <w:rsid w:val="609F1D3C"/>
    <w:rsid w:val="60A211DC"/>
    <w:rsid w:val="60A40878"/>
    <w:rsid w:val="60A40E42"/>
    <w:rsid w:val="60A443C0"/>
    <w:rsid w:val="60A813F8"/>
    <w:rsid w:val="60A84285"/>
    <w:rsid w:val="60A943EB"/>
    <w:rsid w:val="60B220B5"/>
    <w:rsid w:val="60B4469A"/>
    <w:rsid w:val="60B713F8"/>
    <w:rsid w:val="60B772CC"/>
    <w:rsid w:val="60B8228A"/>
    <w:rsid w:val="60B868AC"/>
    <w:rsid w:val="60B91724"/>
    <w:rsid w:val="60BB5217"/>
    <w:rsid w:val="60BC500A"/>
    <w:rsid w:val="60BE002D"/>
    <w:rsid w:val="60BE4246"/>
    <w:rsid w:val="60BF2B09"/>
    <w:rsid w:val="60C42682"/>
    <w:rsid w:val="60C50AA4"/>
    <w:rsid w:val="60C518B6"/>
    <w:rsid w:val="60C7197E"/>
    <w:rsid w:val="60C8715B"/>
    <w:rsid w:val="60C92C9D"/>
    <w:rsid w:val="60CA4022"/>
    <w:rsid w:val="60CA4EEE"/>
    <w:rsid w:val="60CB105A"/>
    <w:rsid w:val="60CB6DB7"/>
    <w:rsid w:val="60CD08B1"/>
    <w:rsid w:val="60CD450E"/>
    <w:rsid w:val="60CE7479"/>
    <w:rsid w:val="60CF0108"/>
    <w:rsid w:val="60CF2C05"/>
    <w:rsid w:val="60CF2FB2"/>
    <w:rsid w:val="60D05848"/>
    <w:rsid w:val="60D06C6F"/>
    <w:rsid w:val="60D12451"/>
    <w:rsid w:val="60D12B9C"/>
    <w:rsid w:val="60D3626A"/>
    <w:rsid w:val="60D56B0F"/>
    <w:rsid w:val="60D634EB"/>
    <w:rsid w:val="60D9368E"/>
    <w:rsid w:val="60DB0DD7"/>
    <w:rsid w:val="60E07E23"/>
    <w:rsid w:val="60E47FC4"/>
    <w:rsid w:val="60E57971"/>
    <w:rsid w:val="60E60960"/>
    <w:rsid w:val="60E6516C"/>
    <w:rsid w:val="60E72A69"/>
    <w:rsid w:val="60E80C08"/>
    <w:rsid w:val="60EB46C5"/>
    <w:rsid w:val="60EE74FF"/>
    <w:rsid w:val="60EE7681"/>
    <w:rsid w:val="60EF6E77"/>
    <w:rsid w:val="60F016BE"/>
    <w:rsid w:val="60F1439C"/>
    <w:rsid w:val="60F243A0"/>
    <w:rsid w:val="60F57BEB"/>
    <w:rsid w:val="60F7162B"/>
    <w:rsid w:val="60F745B1"/>
    <w:rsid w:val="60F8377B"/>
    <w:rsid w:val="60F857BF"/>
    <w:rsid w:val="60F91ACD"/>
    <w:rsid w:val="60FD62EB"/>
    <w:rsid w:val="60FD69D5"/>
    <w:rsid w:val="60FE7195"/>
    <w:rsid w:val="60FF547E"/>
    <w:rsid w:val="60FF7400"/>
    <w:rsid w:val="61014618"/>
    <w:rsid w:val="61037CA4"/>
    <w:rsid w:val="61046BBA"/>
    <w:rsid w:val="61095674"/>
    <w:rsid w:val="610A4373"/>
    <w:rsid w:val="610B76BC"/>
    <w:rsid w:val="610C3747"/>
    <w:rsid w:val="610D2A88"/>
    <w:rsid w:val="611044BE"/>
    <w:rsid w:val="61104FD9"/>
    <w:rsid w:val="6111094B"/>
    <w:rsid w:val="61137C22"/>
    <w:rsid w:val="61161D3E"/>
    <w:rsid w:val="61165DDD"/>
    <w:rsid w:val="61170C5B"/>
    <w:rsid w:val="61173BD6"/>
    <w:rsid w:val="611A43A6"/>
    <w:rsid w:val="611B1669"/>
    <w:rsid w:val="611C47C0"/>
    <w:rsid w:val="611E37AB"/>
    <w:rsid w:val="611E3C98"/>
    <w:rsid w:val="611F5E3E"/>
    <w:rsid w:val="61216B77"/>
    <w:rsid w:val="61241A76"/>
    <w:rsid w:val="61245E33"/>
    <w:rsid w:val="612475A2"/>
    <w:rsid w:val="612562F6"/>
    <w:rsid w:val="61275011"/>
    <w:rsid w:val="6128018F"/>
    <w:rsid w:val="61290A5E"/>
    <w:rsid w:val="612A446B"/>
    <w:rsid w:val="612D40A4"/>
    <w:rsid w:val="613011DE"/>
    <w:rsid w:val="61321495"/>
    <w:rsid w:val="61324379"/>
    <w:rsid w:val="61340E3F"/>
    <w:rsid w:val="61351009"/>
    <w:rsid w:val="613615F7"/>
    <w:rsid w:val="613646C9"/>
    <w:rsid w:val="61365E4B"/>
    <w:rsid w:val="61371269"/>
    <w:rsid w:val="613758CA"/>
    <w:rsid w:val="61384F23"/>
    <w:rsid w:val="613912E5"/>
    <w:rsid w:val="61393949"/>
    <w:rsid w:val="613B30A6"/>
    <w:rsid w:val="613B36BC"/>
    <w:rsid w:val="613D115B"/>
    <w:rsid w:val="613D2EDF"/>
    <w:rsid w:val="61403191"/>
    <w:rsid w:val="614057B7"/>
    <w:rsid w:val="6141507A"/>
    <w:rsid w:val="61427313"/>
    <w:rsid w:val="6143423F"/>
    <w:rsid w:val="61443613"/>
    <w:rsid w:val="614503F7"/>
    <w:rsid w:val="614569DF"/>
    <w:rsid w:val="61463A3D"/>
    <w:rsid w:val="61470FEF"/>
    <w:rsid w:val="61482D43"/>
    <w:rsid w:val="61496001"/>
    <w:rsid w:val="614975B7"/>
    <w:rsid w:val="614A2691"/>
    <w:rsid w:val="614A6EF3"/>
    <w:rsid w:val="614C77B4"/>
    <w:rsid w:val="614F0549"/>
    <w:rsid w:val="614F34E1"/>
    <w:rsid w:val="614F43FC"/>
    <w:rsid w:val="61512ECB"/>
    <w:rsid w:val="61530A21"/>
    <w:rsid w:val="615355D1"/>
    <w:rsid w:val="615415DB"/>
    <w:rsid w:val="61551A92"/>
    <w:rsid w:val="615677D6"/>
    <w:rsid w:val="615872DD"/>
    <w:rsid w:val="61590276"/>
    <w:rsid w:val="615A0AEA"/>
    <w:rsid w:val="615B216A"/>
    <w:rsid w:val="615F500C"/>
    <w:rsid w:val="61615887"/>
    <w:rsid w:val="61623ADA"/>
    <w:rsid w:val="61650686"/>
    <w:rsid w:val="616542D4"/>
    <w:rsid w:val="61656EA5"/>
    <w:rsid w:val="6168227A"/>
    <w:rsid w:val="61690F7D"/>
    <w:rsid w:val="616A12DA"/>
    <w:rsid w:val="616B52C1"/>
    <w:rsid w:val="616C21ED"/>
    <w:rsid w:val="616C4814"/>
    <w:rsid w:val="616C4E73"/>
    <w:rsid w:val="616D6D18"/>
    <w:rsid w:val="616E233F"/>
    <w:rsid w:val="617026A7"/>
    <w:rsid w:val="61710429"/>
    <w:rsid w:val="617409FB"/>
    <w:rsid w:val="617633C0"/>
    <w:rsid w:val="617A0DF7"/>
    <w:rsid w:val="617A290A"/>
    <w:rsid w:val="617A6690"/>
    <w:rsid w:val="617C4D5E"/>
    <w:rsid w:val="617E3D7A"/>
    <w:rsid w:val="617F13EB"/>
    <w:rsid w:val="617F59D5"/>
    <w:rsid w:val="61802164"/>
    <w:rsid w:val="61806138"/>
    <w:rsid w:val="61814122"/>
    <w:rsid w:val="61822475"/>
    <w:rsid w:val="61842EB7"/>
    <w:rsid w:val="61845BD0"/>
    <w:rsid w:val="61866121"/>
    <w:rsid w:val="61866BAD"/>
    <w:rsid w:val="61886B08"/>
    <w:rsid w:val="61886B40"/>
    <w:rsid w:val="61893149"/>
    <w:rsid w:val="618C6EC1"/>
    <w:rsid w:val="618D1A36"/>
    <w:rsid w:val="618D2C7A"/>
    <w:rsid w:val="618D7875"/>
    <w:rsid w:val="618E3EDC"/>
    <w:rsid w:val="618F4420"/>
    <w:rsid w:val="619028E4"/>
    <w:rsid w:val="6190758A"/>
    <w:rsid w:val="61915826"/>
    <w:rsid w:val="61935A3A"/>
    <w:rsid w:val="6194665A"/>
    <w:rsid w:val="619542D0"/>
    <w:rsid w:val="619615C1"/>
    <w:rsid w:val="6196594E"/>
    <w:rsid w:val="61967530"/>
    <w:rsid w:val="61976AA8"/>
    <w:rsid w:val="6198455A"/>
    <w:rsid w:val="619B3443"/>
    <w:rsid w:val="619C6FB3"/>
    <w:rsid w:val="619D004B"/>
    <w:rsid w:val="619D2DF2"/>
    <w:rsid w:val="61A4755E"/>
    <w:rsid w:val="61A76603"/>
    <w:rsid w:val="61A76C6B"/>
    <w:rsid w:val="61A80A5E"/>
    <w:rsid w:val="61A93DD9"/>
    <w:rsid w:val="61AA6805"/>
    <w:rsid w:val="61AE0749"/>
    <w:rsid w:val="61B15EC0"/>
    <w:rsid w:val="61B2105E"/>
    <w:rsid w:val="61B32B72"/>
    <w:rsid w:val="61B40FB2"/>
    <w:rsid w:val="61B54BBB"/>
    <w:rsid w:val="61B662B6"/>
    <w:rsid w:val="61B87DAA"/>
    <w:rsid w:val="61BA2CF4"/>
    <w:rsid w:val="61C265BF"/>
    <w:rsid w:val="61C35865"/>
    <w:rsid w:val="61C40A4D"/>
    <w:rsid w:val="61C87FA8"/>
    <w:rsid w:val="61CB7B19"/>
    <w:rsid w:val="61CE403F"/>
    <w:rsid w:val="61D0027C"/>
    <w:rsid w:val="61D379DF"/>
    <w:rsid w:val="61D653B5"/>
    <w:rsid w:val="61DA1BB6"/>
    <w:rsid w:val="61DC3FFD"/>
    <w:rsid w:val="61DE28D2"/>
    <w:rsid w:val="61E15CF1"/>
    <w:rsid w:val="61E21C03"/>
    <w:rsid w:val="61E262EB"/>
    <w:rsid w:val="61E2662F"/>
    <w:rsid w:val="61E2736F"/>
    <w:rsid w:val="61E44330"/>
    <w:rsid w:val="61E801A5"/>
    <w:rsid w:val="61EA28A1"/>
    <w:rsid w:val="61EC484A"/>
    <w:rsid w:val="61ED5D2C"/>
    <w:rsid w:val="61ED6244"/>
    <w:rsid w:val="61ED6559"/>
    <w:rsid w:val="61EF6BC9"/>
    <w:rsid w:val="61F056BC"/>
    <w:rsid w:val="61F06F63"/>
    <w:rsid w:val="61F137C3"/>
    <w:rsid w:val="61F208C2"/>
    <w:rsid w:val="61F5494C"/>
    <w:rsid w:val="61F92648"/>
    <w:rsid w:val="61FC4669"/>
    <w:rsid w:val="61FD1908"/>
    <w:rsid w:val="61FD1B82"/>
    <w:rsid w:val="61FE0B52"/>
    <w:rsid w:val="62011750"/>
    <w:rsid w:val="62040539"/>
    <w:rsid w:val="620412AC"/>
    <w:rsid w:val="62042F2F"/>
    <w:rsid w:val="62045C84"/>
    <w:rsid w:val="620677D2"/>
    <w:rsid w:val="620969EF"/>
    <w:rsid w:val="620A3D9F"/>
    <w:rsid w:val="620A5D97"/>
    <w:rsid w:val="620B6BAE"/>
    <w:rsid w:val="620F1638"/>
    <w:rsid w:val="62114F99"/>
    <w:rsid w:val="62115123"/>
    <w:rsid w:val="62124110"/>
    <w:rsid w:val="62137DD3"/>
    <w:rsid w:val="62155246"/>
    <w:rsid w:val="6215637E"/>
    <w:rsid w:val="62162EF3"/>
    <w:rsid w:val="62165332"/>
    <w:rsid w:val="621770B3"/>
    <w:rsid w:val="621A5A01"/>
    <w:rsid w:val="621B4625"/>
    <w:rsid w:val="621C0535"/>
    <w:rsid w:val="621D10E1"/>
    <w:rsid w:val="621D1B31"/>
    <w:rsid w:val="621E3EB7"/>
    <w:rsid w:val="62210C55"/>
    <w:rsid w:val="62243A93"/>
    <w:rsid w:val="622563BC"/>
    <w:rsid w:val="6226064B"/>
    <w:rsid w:val="62266E72"/>
    <w:rsid w:val="6227200F"/>
    <w:rsid w:val="62275048"/>
    <w:rsid w:val="62281EE3"/>
    <w:rsid w:val="62295CC8"/>
    <w:rsid w:val="622972D0"/>
    <w:rsid w:val="622C4306"/>
    <w:rsid w:val="622E008A"/>
    <w:rsid w:val="622E26AB"/>
    <w:rsid w:val="622F425B"/>
    <w:rsid w:val="623045E0"/>
    <w:rsid w:val="6230717A"/>
    <w:rsid w:val="62360A38"/>
    <w:rsid w:val="6236410F"/>
    <w:rsid w:val="623769EF"/>
    <w:rsid w:val="62383717"/>
    <w:rsid w:val="62396153"/>
    <w:rsid w:val="623A1B25"/>
    <w:rsid w:val="623A235C"/>
    <w:rsid w:val="623A387B"/>
    <w:rsid w:val="6240677A"/>
    <w:rsid w:val="624137CF"/>
    <w:rsid w:val="62423D15"/>
    <w:rsid w:val="62425644"/>
    <w:rsid w:val="624264CC"/>
    <w:rsid w:val="62441F38"/>
    <w:rsid w:val="62453FAA"/>
    <w:rsid w:val="62460497"/>
    <w:rsid w:val="62460FBD"/>
    <w:rsid w:val="62462DF8"/>
    <w:rsid w:val="62466ABE"/>
    <w:rsid w:val="62473D3E"/>
    <w:rsid w:val="624930BA"/>
    <w:rsid w:val="624B478B"/>
    <w:rsid w:val="624B4B46"/>
    <w:rsid w:val="624C1FAB"/>
    <w:rsid w:val="624C2C6D"/>
    <w:rsid w:val="624C3081"/>
    <w:rsid w:val="624C3DDF"/>
    <w:rsid w:val="624C6042"/>
    <w:rsid w:val="624D331A"/>
    <w:rsid w:val="624D689A"/>
    <w:rsid w:val="624D7755"/>
    <w:rsid w:val="624E428B"/>
    <w:rsid w:val="625110E5"/>
    <w:rsid w:val="62522DF0"/>
    <w:rsid w:val="62531AA3"/>
    <w:rsid w:val="625878B6"/>
    <w:rsid w:val="6259184C"/>
    <w:rsid w:val="625F2805"/>
    <w:rsid w:val="6260119B"/>
    <w:rsid w:val="626302E6"/>
    <w:rsid w:val="62693112"/>
    <w:rsid w:val="626A0228"/>
    <w:rsid w:val="626B1184"/>
    <w:rsid w:val="626B34A5"/>
    <w:rsid w:val="626C0286"/>
    <w:rsid w:val="626D2E6D"/>
    <w:rsid w:val="626D30A1"/>
    <w:rsid w:val="626E2834"/>
    <w:rsid w:val="62707EA8"/>
    <w:rsid w:val="627146A1"/>
    <w:rsid w:val="62725765"/>
    <w:rsid w:val="6273084C"/>
    <w:rsid w:val="62734210"/>
    <w:rsid w:val="627420BD"/>
    <w:rsid w:val="62766FB1"/>
    <w:rsid w:val="6279179A"/>
    <w:rsid w:val="627A542C"/>
    <w:rsid w:val="627E14CE"/>
    <w:rsid w:val="627F74AC"/>
    <w:rsid w:val="6280234C"/>
    <w:rsid w:val="62821346"/>
    <w:rsid w:val="628301E9"/>
    <w:rsid w:val="628309E1"/>
    <w:rsid w:val="62833F33"/>
    <w:rsid w:val="6284601C"/>
    <w:rsid w:val="62852A4B"/>
    <w:rsid w:val="628538C1"/>
    <w:rsid w:val="628547E7"/>
    <w:rsid w:val="62860543"/>
    <w:rsid w:val="62865E7D"/>
    <w:rsid w:val="62886137"/>
    <w:rsid w:val="628877E9"/>
    <w:rsid w:val="62895284"/>
    <w:rsid w:val="628B5E9C"/>
    <w:rsid w:val="628F0AC8"/>
    <w:rsid w:val="628F1DE2"/>
    <w:rsid w:val="628F44A8"/>
    <w:rsid w:val="6290583D"/>
    <w:rsid w:val="629072A2"/>
    <w:rsid w:val="62927E2B"/>
    <w:rsid w:val="62941133"/>
    <w:rsid w:val="6295715F"/>
    <w:rsid w:val="62960163"/>
    <w:rsid w:val="62961CA8"/>
    <w:rsid w:val="62963054"/>
    <w:rsid w:val="62963081"/>
    <w:rsid w:val="62976CAD"/>
    <w:rsid w:val="629867E4"/>
    <w:rsid w:val="629A1079"/>
    <w:rsid w:val="629D57C5"/>
    <w:rsid w:val="629E09E5"/>
    <w:rsid w:val="629E1F30"/>
    <w:rsid w:val="629F5BB0"/>
    <w:rsid w:val="629F760F"/>
    <w:rsid w:val="62A05075"/>
    <w:rsid w:val="62A141CE"/>
    <w:rsid w:val="62A14BA8"/>
    <w:rsid w:val="62A21BD8"/>
    <w:rsid w:val="62A44A41"/>
    <w:rsid w:val="62A6298F"/>
    <w:rsid w:val="62A83219"/>
    <w:rsid w:val="62A84829"/>
    <w:rsid w:val="62AB0A9B"/>
    <w:rsid w:val="62AC024D"/>
    <w:rsid w:val="62AD43BB"/>
    <w:rsid w:val="62AE13AB"/>
    <w:rsid w:val="62AE2F2C"/>
    <w:rsid w:val="62B31B50"/>
    <w:rsid w:val="62B42217"/>
    <w:rsid w:val="62B729CA"/>
    <w:rsid w:val="62B767D1"/>
    <w:rsid w:val="62B76869"/>
    <w:rsid w:val="62B831B8"/>
    <w:rsid w:val="62B84252"/>
    <w:rsid w:val="62BA6F9B"/>
    <w:rsid w:val="62BC2515"/>
    <w:rsid w:val="62BC4524"/>
    <w:rsid w:val="62BD25D3"/>
    <w:rsid w:val="62BE583D"/>
    <w:rsid w:val="62BE734C"/>
    <w:rsid w:val="62BF1E85"/>
    <w:rsid w:val="62C21C5C"/>
    <w:rsid w:val="62C250FA"/>
    <w:rsid w:val="62C3269B"/>
    <w:rsid w:val="62C574EE"/>
    <w:rsid w:val="62C64ECD"/>
    <w:rsid w:val="62C772FF"/>
    <w:rsid w:val="62CA380B"/>
    <w:rsid w:val="62CA664C"/>
    <w:rsid w:val="62CF2A1E"/>
    <w:rsid w:val="62CF5A94"/>
    <w:rsid w:val="62D06FB3"/>
    <w:rsid w:val="62D133ED"/>
    <w:rsid w:val="62D13C31"/>
    <w:rsid w:val="62D20A3C"/>
    <w:rsid w:val="62D3368A"/>
    <w:rsid w:val="62D45FB6"/>
    <w:rsid w:val="62D47EB5"/>
    <w:rsid w:val="62D52ABE"/>
    <w:rsid w:val="62D63A9D"/>
    <w:rsid w:val="62DB1AA6"/>
    <w:rsid w:val="62DD6418"/>
    <w:rsid w:val="62DE3904"/>
    <w:rsid w:val="62DE5C61"/>
    <w:rsid w:val="62E35DC0"/>
    <w:rsid w:val="62E6516D"/>
    <w:rsid w:val="62E94751"/>
    <w:rsid w:val="62EB4D28"/>
    <w:rsid w:val="62EC1C6C"/>
    <w:rsid w:val="62EC3B60"/>
    <w:rsid w:val="62EF26C1"/>
    <w:rsid w:val="62F11D86"/>
    <w:rsid w:val="62F33548"/>
    <w:rsid w:val="62F34563"/>
    <w:rsid w:val="62F34DC4"/>
    <w:rsid w:val="62F42571"/>
    <w:rsid w:val="62F70CD7"/>
    <w:rsid w:val="62FA7AE8"/>
    <w:rsid w:val="62FC14A6"/>
    <w:rsid w:val="62FF06D5"/>
    <w:rsid w:val="62FF7C8C"/>
    <w:rsid w:val="63000765"/>
    <w:rsid w:val="630370A0"/>
    <w:rsid w:val="63040A3F"/>
    <w:rsid w:val="63041C57"/>
    <w:rsid w:val="630531E1"/>
    <w:rsid w:val="630673B8"/>
    <w:rsid w:val="630850C4"/>
    <w:rsid w:val="630B00C1"/>
    <w:rsid w:val="630D1F50"/>
    <w:rsid w:val="630D6FCA"/>
    <w:rsid w:val="631045D8"/>
    <w:rsid w:val="631158D4"/>
    <w:rsid w:val="63127484"/>
    <w:rsid w:val="631647BF"/>
    <w:rsid w:val="631865B1"/>
    <w:rsid w:val="631A7B0B"/>
    <w:rsid w:val="631B27F4"/>
    <w:rsid w:val="631B576E"/>
    <w:rsid w:val="631E0AEB"/>
    <w:rsid w:val="631E30C6"/>
    <w:rsid w:val="631F084B"/>
    <w:rsid w:val="631F44CA"/>
    <w:rsid w:val="6320725F"/>
    <w:rsid w:val="63216F77"/>
    <w:rsid w:val="63226829"/>
    <w:rsid w:val="63226E9E"/>
    <w:rsid w:val="63231130"/>
    <w:rsid w:val="63237BDA"/>
    <w:rsid w:val="63245E59"/>
    <w:rsid w:val="63253B13"/>
    <w:rsid w:val="6325699F"/>
    <w:rsid w:val="63277071"/>
    <w:rsid w:val="632C5C7C"/>
    <w:rsid w:val="632C6032"/>
    <w:rsid w:val="632E62C5"/>
    <w:rsid w:val="632F618F"/>
    <w:rsid w:val="6330064D"/>
    <w:rsid w:val="63305216"/>
    <w:rsid w:val="63320705"/>
    <w:rsid w:val="63335D15"/>
    <w:rsid w:val="6334791F"/>
    <w:rsid w:val="6337259D"/>
    <w:rsid w:val="633B2816"/>
    <w:rsid w:val="633C1906"/>
    <w:rsid w:val="633C2FA1"/>
    <w:rsid w:val="633C6DEC"/>
    <w:rsid w:val="633D1CF5"/>
    <w:rsid w:val="633D26ED"/>
    <w:rsid w:val="6340760C"/>
    <w:rsid w:val="634151AD"/>
    <w:rsid w:val="63423674"/>
    <w:rsid w:val="6343001B"/>
    <w:rsid w:val="63430814"/>
    <w:rsid w:val="63443FD3"/>
    <w:rsid w:val="63447B5D"/>
    <w:rsid w:val="63453FCC"/>
    <w:rsid w:val="63454347"/>
    <w:rsid w:val="63457E36"/>
    <w:rsid w:val="634666B4"/>
    <w:rsid w:val="63486295"/>
    <w:rsid w:val="6349312D"/>
    <w:rsid w:val="634A1035"/>
    <w:rsid w:val="634B2D23"/>
    <w:rsid w:val="634B41A1"/>
    <w:rsid w:val="63500BDD"/>
    <w:rsid w:val="63531729"/>
    <w:rsid w:val="63547B4B"/>
    <w:rsid w:val="6355329E"/>
    <w:rsid w:val="63562C30"/>
    <w:rsid w:val="63582723"/>
    <w:rsid w:val="635D2CDF"/>
    <w:rsid w:val="635D2FBE"/>
    <w:rsid w:val="635E62C4"/>
    <w:rsid w:val="63643559"/>
    <w:rsid w:val="63686F0C"/>
    <w:rsid w:val="636A4834"/>
    <w:rsid w:val="636A6813"/>
    <w:rsid w:val="636B2AB1"/>
    <w:rsid w:val="636C4803"/>
    <w:rsid w:val="636F1A00"/>
    <w:rsid w:val="63702D95"/>
    <w:rsid w:val="63703394"/>
    <w:rsid w:val="63711F77"/>
    <w:rsid w:val="63714119"/>
    <w:rsid w:val="63714DEF"/>
    <w:rsid w:val="637223D9"/>
    <w:rsid w:val="63746140"/>
    <w:rsid w:val="63751B67"/>
    <w:rsid w:val="637544EC"/>
    <w:rsid w:val="63791403"/>
    <w:rsid w:val="63793101"/>
    <w:rsid w:val="637D128C"/>
    <w:rsid w:val="637D2E83"/>
    <w:rsid w:val="637D43B9"/>
    <w:rsid w:val="637E6AEF"/>
    <w:rsid w:val="637E7709"/>
    <w:rsid w:val="63802215"/>
    <w:rsid w:val="638032A3"/>
    <w:rsid w:val="63810FD4"/>
    <w:rsid w:val="63841B02"/>
    <w:rsid w:val="6387442D"/>
    <w:rsid w:val="638A4342"/>
    <w:rsid w:val="638C2F32"/>
    <w:rsid w:val="638C78C0"/>
    <w:rsid w:val="638E1ADC"/>
    <w:rsid w:val="63913CEC"/>
    <w:rsid w:val="639222FE"/>
    <w:rsid w:val="6392381F"/>
    <w:rsid w:val="63954EC3"/>
    <w:rsid w:val="63974FE8"/>
    <w:rsid w:val="639813FD"/>
    <w:rsid w:val="639A0C01"/>
    <w:rsid w:val="639A504F"/>
    <w:rsid w:val="639A5D3A"/>
    <w:rsid w:val="639B560D"/>
    <w:rsid w:val="639C1D09"/>
    <w:rsid w:val="639C3210"/>
    <w:rsid w:val="639C6BC0"/>
    <w:rsid w:val="639D39B4"/>
    <w:rsid w:val="639E0AA6"/>
    <w:rsid w:val="639E1734"/>
    <w:rsid w:val="63A12292"/>
    <w:rsid w:val="63A3230A"/>
    <w:rsid w:val="63A37737"/>
    <w:rsid w:val="63A54428"/>
    <w:rsid w:val="63A60EBB"/>
    <w:rsid w:val="63A62A67"/>
    <w:rsid w:val="63A8096B"/>
    <w:rsid w:val="63A91768"/>
    <w:rsid w:val="63AA3661"/>
    <w:rsid w:val="63AA72BF"/>
    <w:rsid w:val="63AB260E"/>
    <w:rsid w:val="63AB7A5B"/>
    <w:rsid w:val="63AC12A9"/>
    <w:rsid w:val="63AD7D9E"/>
    <w:rsid w:val="63AE1C29"/>
    <w:rsid w:val="63AE5DC3"/>
    <w:rsid w:val="63AE62AF"/>
    <w:rsid w:val="63AE6DD9"/>
    <w:rsid w:val="63AF02FF"/>
    <w:rsid w:val="63B05DBC"/>
    <w:rsid w:val="63B126F6"/>
    <w:rsid w:val="63B24DC3"/>
    <w:rsid w:val="63B24E2E"/>
    <w:rsid w:val="63B34F7A"/>
    <w:rsid w:val="63B451F6"/>
    <w:rsid w:val="63B55B9A"/>
    <w:rsid w:val="63B70C38"/>
    <w:rsid w:val="63B82402"/>
    <w:rsid w:val="63BA2A83"/>
    <w:rsid w:val="63BF29C0"/>
    <w:rsid w:val="63BF4637"/>
    <w:rsid w:val="63C02D26"/>
    <w:rsid w:val="63C13A6D"/>
    <w:rsid w:val="63C57D17"/>
    <w:rsid w:val="63C601E8"/>
    <w:rsid w:val="63C74269"/>
    <w:rsid w:val="63C76D9B"/>
    <w:rsid w:val="63CA0CE5"/>
    <w:rsid w:val="63CB01CE"/>
    <w:rsid w:val="63CD2887"/>
    <w:rsid w:val="63D0211D"/>
    <w:rsid w:val="63D05BB7"/>
    <w:rsid w:val="63D25B1A"/>
    <w:rsid w:val="63D25E49"/>
    <w:rsid w:val="63D26C1A"/>
    <w:rsid w:val="63D3237B"/>
    <w:rsid w:val="63D35345"/>
    <w:rsid w:val="63D369EA"/>
    <w:rsid w:val="63D53DE4"/>
    <w:rsid w:val="63D61AA7"/>
    <w:rsid w:val="63D64A0E"/>
    <w:rsid w:val="63D66726"/>
    <w:rsid w:val="63D73BD3"/>
    <w:rsid w:val="63D76696"/>
    <w:rsid w:val="63DA56CD"/>
    <w:rsid w:val="63DE52B9"/>
    <w:rsid w:val="63DF2013"/>
    <w:rsid w:val="63E049DD"/>
    <w:rsid w:val="63E2484E"/>
    <w:rsid w:val="63E33811"/>
    <w:rsid w:val="63E350A8"/>
    <w:rsid w:val="63E42897"/>
    <w:rsid w:val="63E468D1"/>
    <w:rsid w:val="63E60527"/>
    <w:rsid w:val="63E7377C"/>
    <w:rsid w:val="63E94346"/>
    <w:rsid w:val="63EC2B7C"/>
    <w:rsid w:val="63ED013B"/>
    <w:rsid w:val="63F04ACE"/>
    <w:rsid w:val="63F053CD"/>
    <w:rsid w:val="63F13341"/>
    <w:rsid w:val="63F16182"/>
    <w:rsid w:val="63F26533"/>
    <w:rsid w:val="63F72F22"/>
    <w:rsid w:val="63FB4031"/>
    <w:rsid w:val="63FC4A48"/>
    <w:rsid w:val="64000ED7"/>
    <w:rsid w:val="64011AED"/>
    <w:rsid w:val="64014982"/>
    <w:rsid w:val="6401770D"/>
    <w:rsid w:val="64063DC4"/>
    <w:rsid w:val="6408725D"/>
    <w:rsid w:val="64094F30"/>
    <w:rsid w:val="640D4C74"/>
    <w:rsid w:val="640E02CA"/>
    <w:rsid w:val="640E397C"/>
    <w:rsid w:val="6410025A"/>
    <w:rsid w:val="6410357F"/>
    <w:rsid w:val="641244B2"/>
    <w:rsid w:val="6413385F"/>
    <w:rsid w:val="64146BC2"/>
    <w:rsid w:val="6416481C"/>
    <w:rsid w:val="641C26E7"/>
    <w:rsid w:val="641C6A19"/>
    <w:rsid w:val="641F055D"/>
    <w:rsid w:val="64246CAA"/>
    <w:rsid w:val="64266C63"/>
    <w:rsid w:val="64281538"/>
    <w:rsid w:val="6428278A"/>
    <w:rsid w:val="642A17C7"/>
    <w:rsid w:val="642E2945"/>
    <w:rsid w:val="642F0D36"/>
    <w:rsid w:val="64303F9F"/>
    <w:rsid w:val="64332EBB"/>
    <w:rsid w:val="64341DC8"/>
    <w:rsid w:val="643451CC"/>
    <w:rsid w:val="64345E86"/>
    <w:rsid w:val="643663E6"/>
    <w:rsid w:val="6437794A"/>
    <w:rsid w:val="64385D98"/>
    <w:rsid w:val="643A158C"/>
    <w:rsid w:val="643D7A1F"/>
    <w:rsid w:val="643E472B"/>
    <w:rsid w:val="643E67B2"/>
    <w:rsid w:val="643F1572"/>
    <w:rsid w:val="6440062A"/>
    <w:rsid w:val="64406C29"/>
    <w:rsid w:val="64410053"/>
    <w:rsid w:val="64426C71"/>
    <w:rsid w:val="644414F3"/>
    <w:rsid w:val="64447C30"/>
    <w:rsid w:val="6447137A"/>
    <w:rsid w:val="644D0881"/>
    <w:rsid w:val="644E10A5"/>
    <w:rsid w:val="644F1CA9"/>
    <w:rsid w:val="644F5ABA"/>
    <w:rsid w:val="644F7276"/>
    <w:rsid w:val="6450153E"/>
    <w:rsid w:val="645061AE"/>
    <w:rsid w:val="64510DC5"/>
    <w:rsid w:val="6451130B"/>
    <w:rsid w:val="645164B0"/>
    <w:rsid w:val="645320BB"/>
    <w:rsid w:val="64554535"/>
    <w:rsid w:val="645554B5"/>
    <w:rsid w:val="645674AC"/>
    <w:rsid w:val="64570743"/>
    <w:rsid w:val="645E2BFF"/>
    <w:rsid w:val="64601161"/>
    <w:rsid w:val="646024CD"/>
    <w:rsid w:val="646273E9"/>
    <w:rsid w:val="64630A0D"/>
    <w:rsid w:val="64635054"/>
    <w:rsid w:val="64656C0E"/>
    <w:rsid w:val="64695A83"/>
    <w:rsid w:val="646D7C0B"/>
    <w:rsid w:val="64717A11"/>
    <w:rsid w:val="64736A78"/>
    <w:rsid w:val="6477090E"/>
    <w:rsid w:val="647B064F"/>
    <w:rsid w:val="64805879"/>
    <w:rsid w:val="64831978"/>
    <w:rsid w:val="64842CC2"/>
    <w:rsid w:val="64850017"/>
    <w:rsid w:val="64863DAE"/>
    <w:rsid w:val="648D3750"/>
    <w:rsid w:val="648D7A83"/>
    <w:rsid w:val="648E1575"/>
    <w:rsid w:val="64902B05"/>
    <w:rsid w:val="649165DA"/>
    <w:rsid w:val="64917987"/>
    <w:rsid w:val="6495343B"/>
    <w:rsid w:val="64974BAE"/>
    <w:rsid w:val="64983A9A"/>
    <w:rsid w:val="649A0F1C"/>
    <w:rsid w:val="649A648A"/>
    <w:rsid w:val="649B1217"/>
    <w:rsid w:val="649B2E40"/>
    <w:rsid w:val="649B33CD"/>
    <w:rsid w:val="649B736F"/>
    <w:rsid w:val="649C0EF7"/>
    <w:rsid w:val="649C1C8A"/>
    <w:rsid w:val="649F2E60"/>
    <w:rsid w:val="649F3412"/>
    <w:rsid w:val="64A30F45"/>
    <w:rsid w:val="64A330A6"/>
    <w:rsid w:val="64A371B8"/>
    <w:rsid w:val="64A5126A"/>
    <w:rsid w:val="64A52E8F"/>
    <w:rsid w:val="64A801F7"/>
    <w:rsid w:val="64A86FAD"/>
    <w:rsid w:val="64AB6CCC"/>
    <w:rsid w:val="64AB717D"/>
    <w:rsid w:val="64AD1910"/>
    <w:rsid w:val="64AD38E3"/>
    <w:rsid w:val="64AD59AF"/>
    <w:rsid w:val="64AD5F32"/>
    <w:rsid w:val="64AE6E76"/>
    <w:rsid w:val="64B022C7"/>
    <w:rsid w:val="64B3135D"/>
    <w:rsid w:val="64B57FEA"/>
    <w:rsid w:val="64B622E5"/>
    <w:rsid w:val="64B737CB"/>
    <w:rsid w:val="64B865AA"/>
    <w:rsid w:val="64B92279"/>
    <w:rsid w:val="64BB4E6A"/>
    <w:rsid w:val="64BD7A7B"/>
    <w:rsid w:val="64BE1662"/>
    <w:rsid w:val="64BF1200"/>
    <w:rsid w:val="64BF6FD8"/>
    <w:rsid w:val="64C26B83"/>
    <w:rsid w:val="64C46F31"/>
    <w:rsid w:val="64C56FBE"/>
    <w:rsid w:val="64C71BEC"/>
    <w:rsid w:val="64C77CF2"/>
    <w:rsid w:val="64C80511"/>
    <w:rsid w:val="64CA5907"/>
    <w:rsid w:val="64CC1DC1"/>
    <w:rsid w:val="64CF0A21"/>
    <w:rsid w:val="64D03D9A"/>
    <w:rsid w:val="64D162E6"/>
    <w:rsid w:val="64D20DEE"/>
    <w:rsid w:val="64D230D1"/>
    <w:rsid w:val="64D304F3"/>
    <w:rsid w:val="64D45DD7"/>
    <w:rsid w:val="64D626A7"/>
    <w:rsid w:val="64D658A8"/>
    <w:rsid w:val="64DA0B7F"/>
    <w:rsid w:val="64DB43E7"/>
    <w:rsid w:val="64DB66DF"/>
    <w:rsid w:val="64E00B46"/>
    <w:rsid w:val="64E50BB3"/>
    <w:rsid w:val="64E52473"/>
    <w:rsid w:val="64E849D6"/>
    <w:rsid w:val="64E9217A"/>
    <w:rsid w:val="64E9765C"/>
    <w:rsid w:val="64EC04CA"/>
    <w:rsid w:val="64EF0778"/>
    <w:rsid w:val="64F0773C"/>
    <w:rsid w:val="64F13D8D"/>
    <w:rsid w:val="64F219BD"/>
    <w:rsid w:val="64F60804"/>
    <w:rsid w:val="64F85582"/>
    <w:rsid w:val="64FB0306"/>
    <w:rsid w:val="64FC45AA"/>
    <w:rsid w:val="64FE003A"/>
    <w:rsid w:val="64FF3DD1"/>
    <w:rsid w:val="65013A17"/>
    <w:rsid w:val="650346F1"/>
    <w:rsid w:val="65034A48"/>
    <w:rsid w:val="65054AF2"/>
    <w:rsid w:val="65057A18"/>
    <w:rsid w:val="65074278"/>
    <w:rsid w:val="650942D7"/>
    <w:rsid w:val="650B4848"/>
    <w:rsid w:val="650D454C"/>
    <w:rsid w:val="650E693D"/>
    <w:rsid w:val="6512544D"/>
    <w:rsid w:val="65131015"/>
    <w:rsid w:val="65174245"/>
    <w:rsid w:val="65187B66"/>
    <w:rsid w:val="651A540C"/>
    <w:rsid w:val="651A74CE"/>
    <w:rsid w:val="651A775B"/>
    <w:rsid w:val="651F0261"/>
    <w:rsid w:val="6520349F"/>
    <w:rsid w:val="6521025E"/>
    <w:rsid w:val="65227AF5"/>
    <w:rsid w:val="65233514"/>
    <w:rsid w:val="65235B29"/>
    <w:rsid w:val="6523680D"/>
    <w:rsid w:val="652420F5"/>
    <w:rsid w:val="65245648"/>
    <w:rsid w:val="65250BE6"/>
    <w:rsid w:val="6525666A"/>
    <w:rsid w:val="65256D8D"/>
    <w:rsid w:val="65277839"/>
    <w:rsid w:val="65280FB0"/>
    <w:rsid w:val="6529482E"/>
    <w:rsid w:val="65297C0B"/>
    <w:rsid w:val="652D3737"/>
    <w:rsid w:val="652D3B31"/>
    <w:rsid w:val="652E1B62"/>
    <w:rsid w:val="652E3B3A"/>
    <w:rsid w:val="652F5B0E"/>
    <w:rsid w:val="65303459"/>
    <w:rsid w:val="653063C3"/>
    <w:rsid w:val="6533168B"/>
    <w:rsid w:val="65342EB8"/>
    <w:rsid w:val="6538684C"/>
    <w:rsid w:val="65396724"/>
    <w:rsid w:val="653A66E6"/>
    <w:rsid w:val="653B513F"/>
    <w:rsid w:val="653D59C2"/>
    <w:rsid w:val="6540643C"/>
    <w:rsid w:val="654064DA"/>
    <w:rsid w:val="65430395"/>
    <w:rsid w:val="6544344F"/>
    <w:rsid w:val="6544761F"/>
    <w:rsid w:val="654552CE"/>
    <w:rsid w:val="6548623B"/>
    <w:rsid w:val="654A2599"/>
    <w:rsid w:val="65511B37"/>
    <w:rsid w:val="65565D02"/>
    <w:rsid w:val="6558291A"/>
    <w:rsid w:val="6559756B"/>
    <w:rsid w:val="655A64C9"/>
    <w:rsid w:val="655B2634"/>
    <w:rsid w:val="655B2C7A"/>
    <w:rsid w:val="655B7781"/>
    <w:rsid w:val="655C36AA"/>
    <w:rsid w:val="655C449B"/>
    <w:rsid w:val="655D7DC2"/>
    <w:rsid w:val="655E75C3"/>
    <w:rsid w:val="656057EF"/>
    <w:rsid w:val="6561705A"/>
    <w:rsid w:val="65676247"/>
    <w:rsid w:val="65682DDF"/>
    <w:rsid w:val="656A2184"/>
    <w:rsid w:val="656B5306"/>
    <w:rsid w:val="656C3E78"/>
    <w:rsid w:val="656C5B37"/>
    <w:rsid w:val="656E4BF3"/>
    <w:rsid w:val="65707EFD"/>
    <w:rsid w:val="65770DC3"/>
    <w:rsid w:val="657B5FDA"/>
    <w:rsid w:val="657D3527"/>
    <w:rsid w:val="657F384B"/>
    <w:rsid w:val="658116B0"/>
    <w:rsid w:val="658251F0"/>
    <w:rsid w:val="65840AC6"/>
    <w:rsid w:val="6585560E"/>
    <w:rsid w:val="65860506"/>
    <w:rsid w:val="65861D60"/>
    <w:rsid w:val="65865627"/>
    <w:rsid w:val="6587711B"/>
    <w:rsid w:val="65881FD8"/>
    <w:rsid w:val="65892658"/>
    <w:rsid w:val="658B68A2"/>
    <w:rsid w:val="658E0A9C"/>
    <w:rsid w:val="658F1CF0"/>
    <w:rsid w:val="658F2863"/>
    <w:rsid w:val="65925B53"/>
    <w:rsid w:val="65930B58"/>
    <w:rsid w:val="65943FCE"/>
    <w:rsid w:val="659704C9"/>
    <w:rsid w:val="659734BC"/>
    <w:rsid w:val="659853AE"/>
    <w:rsid w:val="6598702A"/>
    <w:rsid w:val="65992BC8"/>
    <w:rsid w:val="659A2374"/>
    <w:rsid w:val="659C3D02"/>
    <w:rsid w:val="659C4B75"/>
    <w:rsid w:val="659F63A6"/>
    <w:rsid w:val="65A02495"/>
    <w:rsid w:val="65A05295"/>
    <w:rsid w:val="65A05C76"/>
    <w:rsid w:val="65A1026C"/>
    <w:rsid w:val="65A11FE5"/>
    <w:rsid w:val="65A22BF8"/>
    <w:rsid w:val="65A361BA"/>
    <w:rsid w:val="65A47BB5"/>
    <w:rsid w:val="65A536A9"/>
    <w:rsid w:val="65A60606"/>
    <w:rsid w:val="65A7394A"/>
    <w:rsid w:val="65A80901"/>
    <w:rsid w:val="65A81E53"/>
    <w:rsid w:val="65A82869"/>
    <w:rsid w:val="65AA4622"/>
    <w:rsid w:val="65AA5962"/>
    <w:rsid w:val="65AA6454"/>
    <w:rsid w:val="65AB3D14"/>
    <w:rsid w:val="65AB5B19"/>
    <w:rsid w:val="65AB6137"/>
    <w:rsid w:val="65AC5E34"/>
    <w:rsid w:val="65AD3C43"/>
    <w:rsid w:val="65AD5A13"/>
    <w:rsid w:val="65AE1A78"/>
    <w:rsid w:val="65AF18E3"/>
    <w:rsid w:val="65B066A7"/>
    <w:rsid w:val="65B07382"/>
    <w:rsid w:val="65B2510B"/>
    <w:rsid w:val="65B32184"/>
    <w:rsid w:val="65B53253"/>
    <w:rsid w:val="65B6572D"/>
    <w:rsid w:val="65B7155C"/>
    <w:rsid w:val="65B804E0"/>
    <w:rsid w:val="65BB1B74"/>
    <w:rsid w:val="65BB7D32"/>
    <w:rsid w:val="65BC6D8F"/>
    <w:rsid w:val="65C10F70"/>
    <w:rsid w:val="65C157DD"/>
    <w:rsid w:val="65C211A9"/>
    <w:rsid w:val="65C30562"/>
    <w:rsid w:val="65C571AA"/>
    <w:rsid w:val="65C75E58"/>
    <w:rsid w:val="65C776B7"/>
    <w:rsid w:val="65C91686"/>
    <w:rsid w:val="65C97420"/>
    <w:rsid w:val="65C97E46"/>
    <w:rsid w:val="65CA2C06"/>
    <w:rsid w:val="65CA6DB4"/>
    <w:rsid w:val="65CC0C76"/>
    <w:rsid w:val="65CC60AD"/>
    <w:rsid w:val="65CC75A1"/>
    <w:rsid w:val="65CE0270"/>
    <w:rsid w:val="65CE16DF"/>
    <w:rsid w:val="65CE5E58"/>
    <w:rsid w:val="65CE64C4"/>
    <w:rsid w:val="65D06EE3"/>
    <w:rsid w:val="65D21253"/>
    <w:rsid w:val="65D619F7"/>
    <w:rsid w:val="65D8092E"/>
    <w:rsid w:val="65DD4172"/>
    <w:rsid w:val="65DD4A4E"/>
    <w:rsid w:val="65DF0A82"/>
    <w:rsid w:val="65E03FB5"/>
    <w:rsid w:val="65E04DDD"/>
    <w:rsid w:val="65E119D1"/>
    <w:rsid w:val="65E24D33"/>
    <w:rsid w:val="65E457DE"/>
    <w:rsid w:val="65E536E1"/>
    <w:rsid w:val="65E72460"/>
    <w:rsid w:val="65E80226"/>
    <w:rsid w:val="65E90289"/>
    <w:rsid w:val="65E96D18"/>
    <w:rsid w:val="65ED61B7"/>
    <w:rsid w:val="65EE00B1"/>
    <w:rsid w:val="65EE5D34"/>
    <w:rsid w:val="65F259C2"/>
    <w:rsid w:val="65F30E48"/>
    <w:rsid w:val="65F417B1"/>
    <w:rsid w:val="65F56CC0"/>
    <w:rsid w:val="65F67DBC"/>
    <w:rsid w:val="65F80D7A"/>
    <w:rsid w:val="65F942B0"/>
    <w:rsid w:val="65FB4709"/>
    <w:rsid w:val="65FC5686"/>
    <w:rsid w:val="65FE1A47"/>
    <w:rsid w:val="66002A2C"/>
    <w:rsid w:val="660716BF"/>
    <w:rsid w:val="66073010"/>
    <w:rsid w:val="66073CF4"/>
    <w:rsid w:val="660844BB"/>
    <w:rsid w:val="660A0319"/>
    <w:rsid w:val="660B1E13"/>
    <w:rsid w:val="660C3B75"/>
    <w:rsid w:val="660C3D06"/>
    <w:rsid w:val="660D25CC"/>
    <w:rsid w:val="660D29C1"/>
    <w:rsid w:val="66120A91"/>
    <w:rsid w:val="66120BA3"/>
    <w:rsid w:val="66120C4B"/>
    <w:rsid w:val="66124449"/>
    <w:rsid w:val="66126BC8"/>
    <w:rsid w:val="66153C7A"/>
    <w:rsid w:val="661621AF"/>
    <w:rsid w:val="66170337"/>
    <w:rsid w:val="661777B8"/>
    <w:rsid w:val="661874EF"/>
    <w:rsid w:val="66195416"/>
    <w:rsid w:val="661A7621"/>
    <w:rsid w:val="661C4060"/>
    <w:rsid w:val="661D52DA"/>
    <w:rsid w:val="661F592E"/>
    <w:rsid w:val="6622010B"/>
    <w:rsid w:val="66221CAC"/>
    <w:rsid w:val="662221E6"/>
    <w:rsid w:val="66240190"/>
    <w:rsid w:val="66240E21"/>
    <w:rsid w:val="6624524A"/>
    <w:rsid w:val="66265A62"/>
    <w:rsid w:val="662813A8"/>
    <w:rsid w:val="66293F92"/>
    <w:rsid w:val="662A4928"/>
    <w:rsid w:val="662C04A1"/>
    <w:rsid w:val="662F0EBB"/>
    <w:rsid w:val="662F2652"/>
    <w:rsid w:val="66307FE2"/>
    <w:rsid w:val="6631503B"/>
    <w:rsid w:val="663314D4"/>
    <w:rsid w:val="66346ECF"/>
    <w:rsid w:val="66355C3A"/>
    <w:rsid w:val="66390DCD"/>
    <w:rsid w:val="663B67F1"/>
    <w:rsid w:val="663C6DE1"/>
    <w:rsid w:val="663C6E17"/>
    <w:rsid w:val="663E31A0"/>
    <w:rsid w:val="66400874"/>
    <w:rsid w:val="664114DB"/>
    <w:rsid w:val="6641790C"/>
    <w:rsid w:val="66420D09"/>
    <w:rsid w:val="66453EBB"/>
    <w:rsid w:val="66453EEB"/>
    <w:rsid w:val="664565EC"/>
    <w:rsid w:val="66460CD6"/>
    <w:rsid w:val="664A58F4"/>
    <w:rsid w:val="664C01D2"/>
    <w:rsid w:val="664C1973"/>
    <w:rsid w:val="664D0B6E"/>
    <w:rsid w:val="664D7100"/>
    <w:rsid w:val="664E0C1B"/>
    <w:rsid w:val="66511727"/>
    <w:rsid w:val="66525485"/>
    <w:rsid w:val="66526952"/>
    <w:rsid w:val="6652789C"/>
    <w:rsid w:val="6654096A"/>
    <w:rsid w:val="66554104"/>
    <w:rsid w:val="66555A5E"/>
    <w:rsid w:val="66564DE8"/>
    <w:rsid w:val="665723A3"/>
    <w:rsid w:val="66594AAC"/>
    <w:rsid w:val="665B4574"/>
    <w:rsid w:val="665E6012"/>
    <w:rsid w:val="66602BCE"/>
    <w:rsid w:val="66606CC6"/>
    <w:rsid w:val="66610F13"/>
    <w:rsid w:val="66640E72"/>
    <w:rsid w:val="66646953"/>
    <w:rsid w:val="6669576E"/>
    <w:rsid w:val="666A2F74"/>
    <w:rsid w:val="666B35D3"/>
    <w:rsid w:val="666D6725"/>
    <w:rsid w:val="666F0F47"/>
    <w:rsid w:val="66702002"/>
    <w:rsid w:val="6670306C"/>
    <w:rsid w:val="6672324B"/>
    <w:rsid w:val="66725C51"/>
    <w:rsid w:val="6672673E"/>
    <w:rsid w:val="66732BB3"/>
    <w:rsid w:val="66742CFD"/>
    <w:rsid w:val="6674521C"/>
    <w:rsid w:val="667800F8"/>
    <w:rsid w:val="6679123A"/>
    <w:rsid w:val="667A1EF8"/>
    <w:rsid w:val="667D2421"/>
    <w:rsid w:val="667F666B"/>
    <w:rsid w:val="668068B8"/>
    <w:rsid w:val="668321AA"/>
    <w:rsid w:val="66852637"/>
    <w:rsid w:val="66854FCE"/>
    <w:rsid w:val="668565B9"/>
    <w:rsid w:val="668565D4"/>
    <w:rsid w:val="668636CD"/>
    <w:rsid w:val="66874C0A"/>
    <w:rsid w:val="668817F4"/>
    <w:rsid w:val="668B129E"/>
    <w:rsid w:val="668B5A41"/>
    <w:rsid w:val="668C1585"/>
    <w:rsid w:val="668D38A2"/>
    <w:rsid w:val="668E26AF"/>
    <w:rsid w:val="668E7849"/>
    <w:rsid w:val="66920810"/>
    <w:rsid w:val="66927453"/>
    <w:rsid w:val="66967DBF"/>
    <w:rsid w:val="66970E9A"/>
    <w:rsid w:val="669721BF"/>
    <w:rsid w:val="66975388"/>
    <w:rsid w:val="669840F1"/>
    <w:rsid w:val="66984449"/>
    <w:rsid w:val="669E5BCC"/>
    <w:rsid w:val="669E72B3"/>
    <w:rsid w:val="66A21A33"/>
    <w:rsid w:val="66A237BB"/>
    <w:rsid w:val="66A26E93"/>
    <w:rsid w:val="66A40747"/>
    <w:rsid w:val="66A460C7"/>
    <w:rsid w:val="66A50E93"/>
    <w:rsid w:val="66A90F55"/>
    <w:rsid w:val="66A92A7B"/>
    <w:rsid w:val="66AB7F19"/>
    <w:rsid w:val="66AE13B4"/>
    <w:rsid w:val="66B1132E"/>
    <w:rsid w:val="66B15DE1"/>
    <w:rsid w:val="66B17D04"/>
    <w:rsid w:val="66B50DAE"/>
    <w:rsid w:val="66B60B09"/>
    <w:rsid w:val="66B73383"/>
    <w:rsid w:val="66B75B12"/>
    <w:rsid w:val="66B769AD"/>
    <w:rsid w:val="66B95DF2"/>
    <w:rsid w:val="66BA1DA0"/>
    <w:rsid w:val="66BA43A2"/>
    <w:rsid w:val="66BB5516"/>
    <w:rsid w:val="66BC0C67"/>
    <w:rsid w:val="66BC44EF"/>
    <w:rsid w:val="66BD08A1"/>
    <w:rsid w:val="66BF3427"/>
    <w:rsid w:val="66BF3777"/>
    <w:rsid w:val="66BF44A6"/>
    <w:rsid w:val="66C25BAC"/>
    <w:rsid w:val="66C831B5"/>
    <w:rsid w:val="66C945C4"/>
    <w:rsid w:val="66C96FDE"/>
    <w:rsid w:val="66CA0310"/>
    <w:rsid w:val="66CA2466"/>
    <w:rsid w:val="66CC0E62"/>
    <w:rsid w:val="66CC7FAF"/>
    <w:rsid w:val="66CD7981"/>
    <w:rsid w:val="66CE2F88"/>
    <w:rsid w:val="66CF1832"/>
    <w:rsid w:val="66D00F0D"/>
    <w:rsid w:val="66D06990"/>
    <w:rsid w:val="66D232DF"/>
    <w:rsid w:val="66D40B40"/>
    <w:rsid w:val="66D433DA"/>
    <w:rsid w:val="66D472FB"/>
    <w:rsid w:val="66D47F6E"/>
    <w:rsid w:val="66D76897"/>
    <w:rsid w:val="66D92858"/>
    <w:rsid w:val="66DA3E2F"/>
    <w:rsid w:val="66DA3ECC"/>
    <w:rsid w:val="66DB6FDB"/>
    <w:rsid w:val="66DD4E6D"/>
    <w:rsid w:val="66DE234A"/>
    <w:rsid w:val="66DF315F"/>
    <w:rsid w:val="66E176A0"/>
    <w:rsid w:val="66E504AB"/>
    <w:rsid w:val="66E53448"/>
    <w:rsid w:val="66E6255E"/>
    <w:rsid w:val="66E64D68"/>
    <w:rsid w:val="66E64FD8"/>
    <w:rsid w:val="66E65CB8"/>
    <w:rsid w:val="66E755D6"/>
    <w:rsid w:val="66E916DE"/>
    <w:rsid w:val="66EB2AD7"/>
    <w:rsid w:val="66ED2892"/>
    <w:rsid w:val="66EE08C1"/>
    <w:rsid w:val="66F1074B"/>
    <w:rsid w:val="66F375EC"/>
    <w:rsid w:val="66F455B4"/>
    <w:rsid w:val="66F565DA"/>
    <w:rsid w:val="66FD0CE8"/>
    <w:rsid w:val="66FD126B"/>
    <w:rsid w:val="66FD67CC"/>
    <w:rsid w:val="66FE5DDD"/>
    <w:rsid w:val="670131C9"/>
    <w:rsid w:val="670156D0"/>
    <w:rsid w:val="67021BB8"/>
    <w:rsid w:val="67052B00"/>
    <w:rsid w:val="67060E68"/>
    <w:rsid w:val="67067FC6"/>
    <w:rsid w:val="67071463"/>
    <w:rsid w:val="67080221"/>
    <w:rsid w:val="67112870"/>
    <w:rsid w:val="67123644"/>
    <w:rsid w:val="671A2E26"/>
    <w:rsid w:val="671B25F6"/>
    <w:rsid w:val="671E2638"/>
    <w:rsid w:val="671E39E9"/>
    <w:rsid w:val="671F1470"/>
    <w:rsid w:val="671F2D6E"/>
    <w:rsid w:val="67210F80"/>
    <w:rsid w:val="67212F22"/>
    <w:rsid w:val="67223B04"/>
    <w:rsid w:val="672626E9"/>
    <w:rsid w:val="67264BBF"/>
    <w:rsid w:val="672810CF"/>
    <w:rsid w:val="672A29A9"/>
    <w:rsid w:val="672D2DCC"/>
    <w:rsid w:val="672E155F"/>
    <w:rsid w:val="672E5009"/>
    <w:rsid w:val="67327944"/>
    <w:rsid w:val="67332E9F"/>
    <w:rsid w:val="67340AAD"/>
    <w:rsid w:val="67352A2B"/>
    <w:rsid w:val="67372717"/>
    <w:rsid w:val="67390856"/>
    <w:rsid w:val="6739472F"/>
    <w:rsid w:val="673A5AE0"/>
    <w:rsid w:val="673B0B68"/>
    <w:rsid w:val="673B31A8"/>
    <w:rsid w:val="673C657C"/>
    <w:rsid w:val="673E7956"/>
    <w:rsid w:val="674022BB"/>
    <w:rsid w:val="67416AF3"/>
    <w:rsid w:val="67431510"/>
    <w:rsid w:val="67444B7D"/>
    <w:rsid w:val="674B6C12"/>
    <w:rsid w:val="674C07C4"/>
    <w:rsid w:val="674C29A9"/>
    <w:rsid w:val="674E4A0B"/>
    <w:rsid w:val="674F40B6"/>
    <w:rsid w:val="67502812"/>
    <w:rsid w:val="675076A9"/>
    <w:rsid w:val="67522EE1"/>
    <w:rsid w:val="67526F13"/>
    <w:rsid w:val="6754584A"/>
    <w:rsid w:val="675525FC"/>
    <w:rsid w:val="67553F81"/>
    <w:rsid w:val="6759236B"/>
    <w:rsid w:val="67593BEB"/>
    <w:rsid w:val="6759464C"/>
    <w:rsid w:val="675C18A7"/>
    <w:rsid w:val="675C748A"/>
    <w:rsid w:val="675D3090"/>
    <w:rsid w:val="6762262C"/>
    <w:rsid w:val="67627A11"/>
    <w:rsid w:val="67641AE5"/>
    <w:rsid w:val="67654327"/>
    <w:rsid w:val="676869C6"/>
    <w:rsid w:val="676A6674"/>
    <w:rsid w:val="676C0FC3"/>
    <w:rsid w:val="676D17D9"/>
    <w:rsid w:val="676D7F51"/>
    <w:rsid w:val="676E50E8"/>
    <w:rsid w:val="67700AC6"/>
    <w:rsid w:val="67713D98"/>
    <w:rsid w:val="67714A5D"/>
    <w:rsid w:val="6771688C"/>
    <w:rsid w:val="677207BF"/>
    <w:rsid w:val="67732D7F"/>
    <w:rsid w:val="6774385F"/>
    <w:rsid w:val="677452A2"/>
    <w:rsid w:val="677521F8"/>
    <w:rsid w:val="677628BD"/>
    <w:rsid w:val="677B1605"/>
    <w:rsid w:val="677B4DD4"/>
    <w:rsid w:val="677D05D7"/>
    <w:rsid w:val="677D724C"/>
    <w:rsid w:val="677E05F8"/>
    <w:rsid w:val="67812F6A"/>
    <w:rsid w:val="6781587E"/>
    <w:rsid w:val="67826649"/>
    <w:rsid w:val="6783388A"/>
    <w:rsid w:val="67842BD4"/>
    <w:rsid w:val="67844271"/>
    <w:rsid w:val="67847B5A"/>
    <w:rsid w:val="67873558"/>
    <w:rsid w:val="67883A8F"/>
    <w:rsid w:val="678B00DB"/>
    <w:rsid w:val="678C04B5"/>
    <w:rsid w:val="678C7E99"/>
    <w:rsid w:val="678E5EF9"/>
    <w:rsid w:val="678F675E"/>
    <w:rsid w:val="679171E5"/>
    <w:rsid w:val="67920058"/>
    <w:rsid w:val="67922976"/>
    <w:rsid w:val="67930C9C"/>
    <w:rsid w:val="679521D9"/>
    <w:rsid w:val="67970547"/>
    <w:rsid w:val="67994CAC"/>
    <w:rsid w:val="679E70C9"/>
    <w:rsid w:val="679F5D0C"/>
    <w:rsid w:val="67A32C76"/>
    <w:rsid w:val="67A52F5C"/>
    <w:rsid w:val="67A54819"/>
    <w:rsid w:val="67A72541"/>
    <w:rsid w:val="67A74521"/>
    <w:rsid w:val="67A7666C"/>
    <w:rsid w:val="67AA7DB0"/>
    <w:rsid w:val="67AD015F"/>
    <w:rsid w:val="67AD243B"/>
    <w:rsid w:val="67AD41F6"/>
    <w:rsid w:val="67AE25B8"/>
    <w:rsid w:val="67B07C14"/>
    <w:rsid w:val="67B12E63"/>
    <w:rsid w:val="67B206D0"/>
    <w:rsid w:val="67B34D04"/>
    <w:rsid w:val="67B436D3"/>
    <w:rsid w:val="67B468CE"/>
    <w:rsid w:val="67B676D5"/>
    <w:rsid w:val="67B85E57"/>
    <w:rsid w:val="67BD63B7"/>
    <w:rsid w:val="67BD7864"/>
    <w:rsid w:val="67BE2DB8"/>
    <w:rsid w:val="67BF679F"/>
    <w:rsid w:val="67C06EAC"/>
    <w:rsid w:val="67C27AB6"/>
    <w:rsid w:val="67C3502E"/>
    <w:rsid w:val="67C417B7"/>
    <w:rsid w:val="67C4529D"/>
    <w:rsid w:val="67C47EF3"/>
    <w:rsid w:val="67C702FB"/>
    <w:rsid w:val="67C72092"/>
    <w:rsid w:val="67C97375"/>
    <w:rsid w:val="67CB20B4"/>
    <w:rsid w:val="67CB2314"/>
    <w:rsid w:val="67CB250A"/>
    <w:rsid w:val="67CD2C3C"/>
    <w:rsid w:val="67CD4DBC"/>
    <w:rsid w:val="67D3323C"/>
    <w:rsid w:val="67D434D4"/>
    <w:rsid w:val="67D44E43"/>
    <w:rsid w:val="67D5011C"/>
    <w:rsid w:val="67D65CD2"/>
    <w:rsid w:val="67D91521"/>
    <w:rsid w:val="67DF44A6"/>
    <w:rsid w:val="67E0303E"/>
    <w:rsid w:val="67E044AC"/>
    <w:rsid w:val="67E3184A"/>
    <w:rsid w:val="67E32A83"/>
    <w:rsid w:val="67E61461"/>
    <w:rsid w:val="67E6782D"/>
    <w:rsid w:val="67E729E3"/>
    <w:rsid w:val="67E759E9"/>
    <w:rsid w:val="67EC69A6"/>
    <w:rsid w:val="67EE54B3"/>
    <w:rsid w:val="67EE563C"/>
    <w:rsid w:val="67F44090"/>
    <w:rsid w:val="67F65BB3"/>
    <w:rsid w:val="67F75BE4"/>
    <w:rsid w:val="67F9000D"/>
    <w:rsid w:val="67F97BEF"/>
    <w:rsid w:val="67FB5759"/>
    <w:rsid w:val="67FC2FC6"/>
    <w:rsid w:val="67FD414D"/>
    <w:rsid w:val="67FD6E17"/>
    <w:rsid w:val="68011B96"/>
    <w:rsid w:val="68024B73"/>
    <w:rsid w:val="68036BC4"/>
    <w:rsid w:val="68043FAF"/>
    <w:rsid w:val="680A2485"/>
    <w:rsid w:val="680A3133"/>
    <w:rsid w:val="680A53C3"/>
    <w:rsid w:val="680C0ECF"/>
    <w:rsid w:val="680C61AA"/>
    <w:rsid w:val="680D2896"/>
    <w:rsid w:val="680E7400"/>
    <w:rsid w:val="68111E63"/>
    <w:rsid w:val="68121603"/>
    <w:rsid w:val="68125611"/>
    <w:rsid w:val="68126BD2"/>
    <w:rsid w:val="68132A95"/>
    <w:rsid w:val="68145453"/>
    <w:rsid w:val="6815773F"/>
    <w:rsid w:val="681579FC"/>
    <w:rsid w:val="68161E45"/>
    <w:rsid w:val="68172C2F"/>
    <w:rsid w:val="68181ECE"/>
    <w:rsid w:val="681B2F65"/>
    <w:rsid w:val="681B57B4"/>
    <w:rsid w:val="68222A67"/>
    <w:rsid w:val="68227A49"/>
    <w:rsid w:val="6825127C"/>
    <w:rsid w:val="682655D1"/>
    <w:rsid w:val="682B1613"/>
    <w:rsid w:val="682B630B"/>
    <w:rsid w:val="682C66BD"/>
    <w:rsid w:val="682D6747"/>
    <w:rsid w:val="682F1E94"/>
    <w:rsid w:val="682F3095"/>
    <w:rsid w:val="68340390"/>
    <w:rsid w:val="6834385E"/>
    <w:rsid w:val="68355C58"/>
    <w:rsid w:val="68355CAD"/>
    <w:rsid w:val="683669A6"/>
    <w:rsid w:val="68390306"/>
    <w:rsid w:val="683A56FB"/>
    <w:rsid w:val="683E7CE0"/>
    <w:rsid w:val="68424214"/>
    <w:rsid w:val="684339B1"/>
    <w:rsid w:val="68451092"/>
    <w:rsid w:val="68453ED9"/>
    <w:rsid w:val="68455096"/>
    <w:rsid w:val="6846659A"/>
    <w:rsid w:val="684B0F33"/>
    <w:rsid w:val="684E09C0"/>
    <w:rsid w:val="685040E0"/>
    <w:rsid w:val="685530EC"/>
    <w:rsid w:val="6859141D"/>
    <w:rsid w:val="6859799E"/>
    <w:rsid w:val="685B6410"/>
    <w:rsid w:val="685C2F5C"/>
    <w:rsid w:val="685D44B9"/>
    <w:rsid w:val="685E0F56"/>
    <w:rsid w:val="685E784F"/>
    <w:rsid w:val="685E7DAA"/>
    <w:rsid w:val="68614C79"/>
    <w:rsid w:val="686342D0"/>
    <w:rsid w:val="68650F19"/>
    <w:rsid w:val="6865381A"/>
    <w:rsid w:val="68667352"/>
    <w:rsid w:val="68694CCF"/>
    <w:rsid w:val="686D2DB3"/>
    <w:rsid w:val="68707122"/>
    <w:rsid w:val="687146C4"/>
    <w:rsid w:val="68726825"/>
    <w:rsid w:val="68750DF5"/>
    <w:rsid w:val="68752A2B"/>
    <w:rsid w:val="687638A8"/>
    <w:rsid w:val="687767B8"/>
    <w:rsid w:val="68783337"/>
    <w:rsid w:val="687863B7"/>
    <w:rsid w:val="68792545"/>
    <w:rsid w:val="687A61CD"/>
    <w:rsid w:val="687B450F"/>
    <w:rsid w:val="687B6B2C"/>
    <w:rsid w:val="687D10BB"/>
    <w:rsid w:val="687E634E"/>
    <w:rsid w:val="68803C01"/>
    <w:rsid w:val="68822228"/>
    <w:rsid w:val="688223DE"/>
    <w:rsid w:val="68850ACE"/>
    <w:rsid w:val="68867411"/>
    <w:rsid w:val="688818D1"/>
    <w:rsid w:val="688A4B41"/>
    <w:rsid w:val="688A5D84"/>
    <w:rsid w:val="688A674B"/>
    <w:rsid w:val="688C5123"/>
    <w:rsid w:val="688D58C6"/>
    <w:rsid w:val="688D67C6"/>
    <w:rsid w:val="688F474B"/>
    <w:rsid w:val="688F69B8"/>
    <w:rsid w:val="689027D2"/>
    <w:rsid w:val="68910A26"/>
    <w:rsid w:val="68913968"/>
    <w:rsid w:val="68926ABF"/>
    <w:rsid w:val="68933128"/>
    <w:rsid w:val="689359C7"/>
    <w:rsid w:val="68940A11"/>
    <w:rsid w:val="689462B8"/>
    <w:rsid w:val="68951FF7"/>
    <w:rsid w:val="68954324"/>
    <w:rsid w:val="68963574"/>
    <w:rsid w:val="68971610"/>
    <w:rsid w:val="68972CD3"/>
    <w:rsid w:val="6897590F"/>
    <w:rsid w:val="689868FE"/>
    <w:rsid w:val="689B4B54"/>
    <w:rsid w:val="689D0639"/>
    <w:rsid w:val="68A1092A"/>
    <w:rsid w:val="68A230BC"/>
    <w:rsid w:val="68A33FEF"/>
    <w:rsid w:val="68A4522C"/>
    <w:rsid w:val="68A47771"/>
    <w:rsid w:val="68A82078"/>
    <w:rsid w:val="68AC026A"/>
    <w:rsid w:val="68AD105B"/>
    <w:rsid w:val="68AE1DE8"/>
    <w:rsid w:val="68AF5760"/>
    <w:rsid w:val="68B11B38"/>
    <w:rsid w:val="68B43440"/>
    <w:rsid w:val="68B46F1E"/>
    <w:rsid w:val="68B6779D"/>
    <w:rsid w:val="68BC7FB3"/>
    <w:rsid w:val="68BE22DD"/>
    <w:rsid w:val="68BF4460"/>
    <w:rsid w:val="68C026AB"/>
    <w:rsid w:val="68C31BF0"/>
    <w:rsid w:val="68C32BD9"/>
    <w:rsid w:val="68C64EF7"/>
    <w:rsid w:val="68C71749"/>
    <w:rsid w:val="68C770CD"/>
    <w:rsid w:val="68C9005C"/>
    <w:rsid w:val="68CD2E05"/>
    <w:rsid w:val="68CD43A1"/>
    <w:rsid w:val="68CD6679"/>
    <w:rsid w:val="68D031CA"/>
    <w:rsid w:val="68D20888"/>
    <w:rsid w:val="68D35E6A"/>
    <w:rsid w:val="68D35FB1"/>
    <w:rsid w:val="68D64CD9"/>
    <w:rsid w:val="68D72E3D"/>
    <w:rsid w:val="68D879A7"/>
    <w:rsid w:val="68DC238D"/>
    <w:rsid w:val="68DC788B"/>
    <w:rsid w:val="68DE77E2"/>
    <w:rsid w:val="68DF0BA0"/>
    <w:rsid w:val="68DF5D30"/>
    <w:rsid w:val="68E12CEB"/>
    <w:rsid w:val="68E16B65"/>
    <w:rsid w:val="68E32709"/>
    <w:rsid w:val="68E57482"/>
    <w:rsid w:val="68E7344F"/>
    <w:rsid w:val="68E77078"/>
    <w:rsid w:val="68E8280D"/>
    <w:rsid w:val="68ED4677"/>
    <w:rsid w:val="68EE62B8"/>
    <w:rsid w:val="68F01AA8"/>
    <w:rsid w:val="68F24BBE"/>
    <w:rsid w:val="68F265C3"/>
    <w:rsid w:val="68F36B62"/>
    <w:rsid w:val="68F47317"/>
    <w:rsid w:val="68F52A1B"/>
    <w:rsid w:val="68F57F54"/>
    <w:rsid w:val="68F91FE3"/>
    <w:rsid w:val="68F97BAB"/>
    <w:rsid w:val="68FA2419"/>
    <w:rsid w:val="68FA71AB"/>
    <w:rsid w:val="68FC2719"/>
    <w:rsid w:val="68FC3A71"/>
    <w:rsid w:val="68FD5C11"/>
    <w:rsid w:val="68FE5037"/>
    <w:rsid w:val="69005047"/>
    <w:rsid w:val="69005E6B"/>
    <w:rsid w:val="6900629F"/>
    <w:rsid w:val="69013B45"/>
    <w:rsid w:val="6906449E"/>
    <w:rsid w:val="690A13E7"/>
    <w:rsid w:val="690F1AA5"/>
    <w:rsid w:val="690F2F8B"/>
    <w:rsid w:val="690F7A7A"/>
    <w:rsid w:val="691048BB"/>
    <w:rsid w:val="691105FC"/>
    <w:rsid w:val="69117AEF"/>
    <w:rsid w:val="69117FD5"/>
    <w:rsid w:val="691203A9"/>
    <w:rsid w:val="6913391F"/>
    <w:rsid w:val="69153DF8"/>
    <w:rsid w:val="69190CA2"/>
    <w:rsid w:val="691B3721"/>
    <w:rsid w:val="691C56C3"/>
    <w:rsid w:val="691F2739"/>
    <w:rsid w:val="691F4869"/>
    <w:rsid w:val="69201A90"/>
    <w:rsid w:val="69202FEF"/>
    <w:rsid w:val="69221703"/>
    <w:rsid w:val="692311A2"/>
    <w:rsid w:val="69231F27"/>
    <w:rsid w:val="692631AE"/>
    <w:rsid w:val="69263E1C"/>
    <w:rsid w:val="69266F79"/>
    <w:rsid w:val="692716F8"/>
    <w:rsid w:val="692904BA"/>
    <w:rsid w:val="692C73C5"/>
    <w:rsid w:val="692E2841"/>
    <w:rsid w:val="69314A0A"/>
    <w:rsid w:val="693150B6"/>
    <w:rsid w:val="69346E6D"/>
    <w:rsid w:val="69351FAB"/>
    <w:rsid w:val="693554A5"/>
    <w:rsid w:val="693649C8"/>
    <w:rsid w:val="693676E8"/>
    <w:rsid w:val="6937123B"/>
    <w:rsid w:val="69377F46"/>
    <w:rsid w:val="693A1F39"/>
    <w:rsid w:val="693D6BC3"/>
    <w:rsid w:val="693F7207"/>
    <w:rsid w:val="694766AE"/>
    <w:rsid w:val="694B4450"/>
    <w:rsid w:val="694C4F05"/>
    <w:rsid w:val="694F253B"/>
    <w:rsid w:val="694F497B"/>
    <w:rsid w:val="694F6F2F"/>
    <w:rsid w:val="69503BE8"/>
    <w:rsid w:val="695368F2"/>
    <w:rsid w:val="6954182E"/>
    <w:rsid w:val="6955376D"/>
    <w:rsid w:val="69574954"/>
    <w:rsid w:val="69576DBC"/>
    <w:rsid w:val="695A381E"/>
    <w:rsid w:val="695B6963"/>
    <w:rsid w:val="695C7949"/>
    <w:rsid w:val="696459D6"/>
    <w:rsid w:val="69696F3A"/>
    <w:rsid w:val="696A54AB"/>
    <w:rsid w:val="696C743A"/>
    <w:rsid w:val="696E26E0"/>
    <w:rsid w:val="69714455"/>
    <w:rsid w:val="69726087"/>
    <w:rsid w:val="69727E4B"/>
    <w:rsid w:val="69744181"/>
    <w:rsid w:val="69745FE0"/>
    <w:rsid w:val="6975124D"/>
    <w:rsid w:val="69755971"/>
    <w:rsid w:val="69757910"/>
    <w:rsid w:val="69791003"/>
    <w:rsid w:val="697A6C16"/>
    <w:rsid w:val="697B0CFE"/>
    <w:rsid w:val="697B111B"/>
    <w:rsid w:val="697C1153"/>
    <w:rsid w:val="697D472C"/>
    <w:rsid w:val="69824E26"/>
    <w:rsid w:val="69836033"/>
    <w:rsid w:val="69840F86"/>
    <w:rsid w:val="698511E9"/>
    <w:rsid w:val="69853938"/>
    <w:rsid w:val="698542C0"/>
    <w:rsid w:val="69890139"/>
    <w:rsid w:val="698A0885"/>
    <w:rsid w:val="698C193E"/>
    <w:rsid w:val="698F3AAF"/>
    <w:rsid w:val="6990459F"/>
    <w:rsid w:val="69911881"/>
    <w:rsid w:val="699139CD"/>
    <w:rsid w:val="699502D8"/>
    <w:rsid w:val="69950781"/>
    <w:rsid w:val="69980DE8"/>
    <w:rsid w:val="699A22EF"/>
    <w:rsid w:val="699A33EF"/>
    <w:rsid w:val="699B4AEF"/>
    <w:rsid w:val="699C38CB"/>
    <w:rsid w:val="699D56F6"/>
    <w:rsid w:val="699F43CC"/>
    <w:rsid w:val="69A01D8C"/>
    <w:rsid w:val="69A52D29"/>
    <w:rsid w:val="69A70C02"/>
    <w:rsid w:val="69A75349"/>
    <w:rsid w:val="69A93E2C"/>
    <w:rsid w:val="69AA19F7"/>
    <w:rsid w:val="69AB5491"/>
    <w:rsid w:val="69AB7925"/>
    <w:rsid w:val="69AC360A"/>
    <w:rsid w:val="69AC6769"/>
    <w:rsid w:val="69AD6165"/>
    <w:rsid w:val="69AE4607"/>
    <w:rsid w:val="69AE4940"/>
    <w:rsid w:val="69AF5AC8"/>
    <w:rsid w:val="69AF5F6F"/>
    <w:rsid w:val="69B14693"/>
    <w:rsid w:val="69B265FE"/>
    <w:rsid w:val="69B33293"/>
    <w:rsid w:val="69B43F64"/>
    <w:rsid w:val="69B90A38"/>
    <w:rsid w:val="69BC1E1E"/>
    <w:rsid w:val="69BE6502"/>
    <w:rsid w:val="69C47CB2"/>
    <w:rsid w:val="69C50440"/>
    <w:rsid w:val="69C914BA"/>
    <w:rsid w:val="69CA32CB"/>
    <w:rsid w:val="69CA4E5A"/>
    <w:rsid w:val="69CD196A"/>
    <w:rsid w:val="69CD2DB6"/>
    <w:rsid w:val="69CD2E2A"/>
    <w:rsid w:val="69CE21C0"/>
    <w:rsid w:val="69D13C17"/>
    <w:rsid w:val="69D172EF"/>
    <w:rsid w:val="69D51F9B"/>
    <w:rsid w:val="69D54DA5"/>
    <w:rsid w:val="69D60576"/>
    <w:rsid w:val="69D74CC3"/>
    <w:rsid w:val="69D95869"/>
    <w:rsid w:val="69DB750B"/>
    <w:rsid w:val="69DE5954"/>
    <w:rsid w:val="69DE7B0E"/>
    <w:rsid w:val="69E1242F"/>
    <w:rsid w:val="69E222A7"/>
    <w:rsid w:val="69E517D0"/>
    <w:rsid w:val="69E6183F"/>
    <w:rsid w:val="69E71CD2"/>
    <w:rsid w:val="69E90070"/>
    <w:rsid w:val="69E95509"/>
    <w:rsid w:val="69EE08B4"/>
    <w:rsid w:val="69EE1033"/>
    <w:rsid w:val="69EE2ECC"/>
    <w:rsid w:val="69EE741E"/>
    <w:rsid w:val="69EF3C94"/>
    <w:rsid w:val="69F022C9"/>
    <w:rsid w:val="69F027AB"/>
    <w:rsid w:val="69F26F4C"/>
    <w:rsid w:val="69F32DF1"/>
    <w:rsid w:val="69F540B0"/>
    <w:rsid w:val="69F62134"/>
    <w:rsid w:val="69F861E8"/>
    <w:rsid w:val="69F942A0"/>
    <w:rsid w:val="69FA3239"/>
    <w:rsid w:val="69FB54D7"/>
    <w:rsid w:val="69FB7C0E"/>
    <w:rsid w:val="69FC710A"/>
    <w:rsid w:val="69FD791F"/>
    <w:rsid w:val="6A003CFF"/>
    <w:rsid w:val="6A010249"/>
    <w:rsid w:val="6A033D90"/>
    <w:rsid w:val="6A0419D7"/>
    <w:rsid w:val="6A06007C"/>
    <w:rsid w:val="6A06389F"/>
    <w:rsid w:val="6A065B1F"/>
    <w:rsid w:val="6A07150E"/>
    <w:rsid w:val="6A0A6D3B"/>
    <w:rsid w:val="6A0B4ED4"/>
    <w:rsid w:val="6A0C1B78"/>
    <w:rsid w:val="6A0E3BCC"/>
    <w:rsid w:val="6A0F2EEB"/>
    <w:rsid w:val="6A104271"/>
    <w:rsid w:val="6A10512B"/>
    <w:rsid w:val="6A106DDC"/>
    <w:rsid w:val="6A106E83"/>
    <w:rsid w:val="6A112AB3"/>
    <w:rsid w:val="6A11603E"/>
    <w:rsid w:val="6A12671E"/>
    <w:rsid w:val="6A126FAA"/>
    <w:rsid w:val="6A1638E8"/>
    <w:rsid w:val="6A171E19"/>
    <w:rsid w:val="6A186A49"/>
    <w:rsid w:val="6A187843"/>
    <w:rsid w:val="6A187C99"/>
    <w:rsid w:val="6A1935E5"/>
    <w:rsid w:val="6A1A3C4F"/>
    <w:rsid w:val="6A1B2F8D"/>
    <w:rsid w:val="6A1B7D26"/>
    <w:rsid w:val="6A1C7A0F"/>
    <w:rsid w:val="6A1D57E4"/>
    <w:rsid w:val="6A1F3A05"/>
    <w:rsid w:val="6A212EEE"/>
    <w:rsid w:val="6A234049"/>
    <w:rsid w:val="6A237F61"/>
    <w:rsid w:val="6A247B38"/>
    <w:rsid w:val="6A252BA8"/>
    <w:rsid w:val="6A255D22"/>
    <w:rsid w:val="6A286561"/>
    <w:rsid w:val="6A294293"/>
    <w:rsid w:val="6A2A66BB"/>
    <w:rsid w:val="6A2C10B1"/>
    <w:rsid w:val="6A2C56F5"/>
    <w:rsid w:val="6A2D07A7"/>
    <w:rsid w:val="6A2D689E"/>
    <w:rsid w:val="6A2E4126"/>
    <w:rsid w:val="6A2F5618"/>
    <w:rsid w:val="6A2F758E"/>
    <w:rsid w:val="6A333A46"/>
    <w:rsid w:val="6A3534F5"/>
    <w:rsid w:val="6A36033E"/>
    <w:rsid w:val="6A375888"/>
    <w:rsid w:val="6A3759D4"/>
    <w:rsid w:val="6A3853C1"/>
    <w:rsid w:val="6A390709"/>
    <w:rsid w:val="6A392A6A"/>
    <w:rsid w:val="6A3A414E"/>
    <w:rsid w:val="6A3B7B65"/>
    <w:rsid w:val="6A3E141F"/>
    <w:rsid w:val="6A413144"/>
    <w:rsid w:val="6A420797"/>
    <w:rsid w:val="6A4244E2"/>
    <w:rsid w:val="6A436A15"/>
    <w:rsid w:val="6A454B8C"/>
    <w:rsid w:val="6A4560A6"/>
    <w:rsid w:val="6A47056C"/>
    <w:rsid w:val="6A4877FE"/>
    <w:rsid w:val="6A494559"/>
    <w:rsid w:val="6A4B2619"/>
    <w:rsid w:val="6A4B5D21"/>
    <w:rsid w:val="6A4C00BF"/>
    <w:rsid w:val="6A4C65EA"/>
    <w:rsid w:val="6A4D1E55"/>
    <w:rsid w:val="6A500119"/>
    <w:rsid w:val="6A506320"/>
    <w:rsid w:val="6A515DCD"/>
    <w:rsid w:val="6A534AAA"/>
    <w:rsid w:val="6A5556A4"/>
    <w:rsid w:val="6A57060C"/>
    <w:rsid w:val="6A577CBA"/>
    <w:rsid w:val="6A584AD9"/>
    <w:rsid w:val="6A590924"/>
    <w:rsid w:val="6A59401E"/>
    <w:rsid w:val="6A5A07F8"/>
    <w:rsid w:val="6A5B5C65"/>
    <w:rsid w:val="6A5E3BEF"/>
    <w:rsid w:val="6A5E7B07"/>
    <w:rsid w:val="6A604DFF"/>
    <w:rsid w:val="6A610682"/>
    <w:rsid w:val="6A625290"/>
    <w:rsid w:val="6A640FE3"/>
    <w:rsid w:val="6A652D05"/>
    <w:rsid w:val="6A6603E5"/>
    <w:rsid w:val="6A67527B"/>
    <w:rsid w:val="6A675A35"/>
    <w:rsid w:val="6A685ADA"/>
    <w:rsid w:val="6A6979D3"/>
    <w:rsid w:val="6A6A6AC8"/>
    <w:rsid w:val="6A6C30E9"/>
    <w:rsid w:val="6A704712"/>
    <w:rsid w:val="6A71199A"/>
    <w:rsid w:val="6A735B33"/>
    <w:rsid w:val="6A7402FE"/>
    <w:rsid w:val="6A767EC0"/>
    <w:rsid w:val="6A795998"/>
    <w:rsid w:val="6A7E6A8A"/>
    <w:rsid w:val="6A7F3098"/>
    <w:rsid w:val="6A7F4CEF"/>
    <w:rsid w:val="6A806955"/>
    <w:rsid w:val="6A827881"/>
    <w:rsid w:val="6A8366BF"/>
    <w:rsid w:val="6A845CC7"/>
    <w:rsid w:val="6A86780D"/>
    <w:rsid w:val="6A884878"/>
    <w:rsid w:val="6A8E00FA"/>
    <w:rsid w:val="6A8E3104"/>
    <w:rsid w:val="6A8E3D2E"/>
    <w:rsid w:val="6A8F1523"/>
    <w:rsid w:val="6A8F6308"/>
    <w:rsid w:val="6A901042"/>
    <w:rsid w:val="6A920AAB"/>
    <w:rsid w:val="6A940EB9"/>
    <w:rsid w:val="6A952AE7"/>
    <w:rsid w:val="6A974DBD"/>
    <w:rsid w:val="6A982EBE"/>
    <w:rsid w:val="6A985B05"/>
    <w:rsid w:val="6A987D3B"/>
    <w:rsid w:val="6A997C14"/>
    <w:rsid w:val="6A9A2AC0"/>
    <w:rsid w:val="6A9D4789"/>
    <w:rsid w:val="6AA114F6"/>
    <w:rsid w:val="6AA17449"/>
    <w:rsid w:val="6AA43680"/>
    <w:rsid w:val="6AA51898"/>
    <w:rsid w:val="6AAA5E98"/>
    <w:rsid w:val="6AAA67C1"/>
    <w:rsid w:val="6AAC44F3"/>
    <w:rsid w:val="6AAC4DFF"/>
    <w:rsid w:val="6AB222DA"/>
    <w:rsid w:val="6AB256F6"/>
    <w:rsid w:val="6AB40EBB"/>
    <w:rsid w:val="6AB41FF0"/>
    <w:rsid w:val="6AB432D5"/>
    <w:rsid w:val="6AB56E08"/>
    <w:rsid w:val="6AB7241E"/>
    <w:rsid w:val="6AB777AA"/>
    <w:rsid w:val="6AB820AF"/>
    <w:rsid w:val="6AB96A23"/>
    <w:rsid w:val="6ABA733A"/>
    <w:rsid w:val="6ABF0E98"/>
    <w:rsid w:val="6ABF3B97"/>
    <w:rsid w:val="6AC03FEA"/>
    <w:rsid w:val="6AC25122"/>
    <w:rsid w:val="6AC3342A"/>
    <w:rsid w:val="6AC37CC6"/>
    <w:rsid w:val="6AC85205"/>
    <w:rsid w:val="6AC861E2"/>
    <w:rsid w:val="6AC91FD8"/>
    <w:rsid w:val="6AC922A2"/>
    <w:rsid w:val="6AC95303"/>
    <w:rsid w:val="6ACA4E9F"/>
    <w:rsid w:val="6ACA693D"/>
    <w:rsid w:val="6ACD1AD3"/>
    <w:rsid w:val="6AD052FC"/>
    <w:rsid w:val="6AD14E47"/>
    <w:rsid w:val="6AD22D2E"/>
    <w:rsid w:val="6AD33B43"/>
    <w:rsid w:val="6AD44737"/>
    <w:rsid w:val="6AD47695"/>
    <w:rsid w:val="6AD71231"/>
    <w:rsid w:val="6AD91F04"/>
    <w:rsid w:val="6ADA303B"/>
    <w:rsid w:val="6ADA5D98"/>
    <w:rsid w:val="6ADD7D9C"/>
    <w:rsid w:val="6ADE3445"/>
    <w:rsid w:val="6AE04DC5"/>
    <w:rsid w:val="6AE0607D"/>
    <w:rsid w:val="6AE12D53"/>
    <w:rsid w:val="6AE40B0F"/>
    <w:rsid w:val="6AE50A68"/>
    <w:rsid w:val="6AE555CA"/>
    <w:rsid w:val="6AE56E59"/>
    <w:rsid w:val="6AE653E2"/>
    <w:rsid w:val="6AEA084D"/>
    <w:rsid w:val="6AEB242C"/>
    <w:rsid w:val="6AEE4480"/>
    <w:rsid w:val="6AEF52A8"/>
    <w:rsid w:val="6AF25B88"/>
    <w:rsid w:val="6AF33FFC"/>
    <w:rsid w:val="6AF362D2"/>
    <w:rsid w:val="6AF52E88"/>
    <w:rsid w:val="6AF659AA"/>
    <w:rsid w:val="6AF751F6"/>
    <w:rsid w:val="6AF76D5F"/>
    <w:rsid w:val="6AF83FE8"/>
    <w:rsid w:val="6AF93638"/>
    <w:rsid w:val="6AF93BCB"/>
    <w:rsid w:val="6AF95062"/>
    <w:rsid w:val="6AFA16FC"/>
    <w:rsid w:val="6AFC3C1E"/>
    <w:rsid w:val="6AFF22AC"/>
    <w:rsid w:val="6B016E82"/>
    <w:rsid w:val="6B021677"/>
    <w:rsid w:val="6B02365E"/>
    <w:rsid w:val="6B055D4B"/>
    <w:rsid w:val="6B063041"/>
    <w:rsid w:val="6B066BBB"/>
    <w:rsid w:val="6B0729B0"/>
    <w:rsid w:val="6B083D15"/>
    <w:rsid w:val="6B086CFC"/>
    <w:rsid w:val="6B0874D9"/>
    <w:rsid w:val="6B0A0463"/>
    <w:rsid w:val="6B0B17AB"/>
    <w:rsid w:val="6B0B34B7"/>
    <w:rsid w:val="6B0C2FEE"/>
    <w:rsid w:val="6B0D7C3E"/>
    <w:rsid w:val="6B0F6D27"/>
    <w:rsid w:val="6B1108FB"/>
    <w:rsid w:val="6B116A57"/>
    <w:rsid w:val="6B1204D4"/>
    <w:rsid w:val="6B13515A"/>
    <w:rsid w:val="6B154FA7"/>
    <w:rsid w:val="6B155F2B"/>
    <w:rsid w:val="6B161EB0"/>
    <w:rsid w:val="6B16246D"/>
    <w:rsid w:val="6B1717EE"/>
    <w:rsid w:val="6B1B5758"/>
    <w:rsid w:val="6B1D3317"/>
    <w:rsid w:val="6B1E2E65"/>
    <w:rsid w:val="6B212C4A"/>
    <w:rsid w:val="6B2166F0"/>
    <w:rsid w:val="6B2244D6"/>
    <w:rsid w:val="6B234A63"/>
    <w:rsid w:val="6B240A98"/>
    <w:rsid w:val="6B244D27"/>
    <w:rsid w:val="6B255223"/>
    <w:rsid w:val="6B257061"/>
    <w:rsid w:val="6B2A05E6"/>
    <w:rsid w:val="6B2B081C"/>
    <w:rsid w:val="6B2B7BAC"/>
    <w:rsid w:val="6B2D1F75"/>
    <w:rsid w:val="6B2D37BA"/>
    <w:rsid w:val="6B2D6644"/>
    <w:rsid w:val="6B2E00CC"/>
    <w:rsid w:val="6B2E1678"/>
    <w:rsid w:val="6B2F798A"/>
    <w:rsid w:val="6B311A95"/>
    <w:rsid w:val="6B31384E"/>
    <w:rsid w:val="6B317B85"/>
    <w:rsid w:val="6B330813"/>
    <w:rsid w:val="6B330BB2"/>
    <w:rsid w:val="6B370208"/>
    <w:rsid w:val="6B390E06"/>
    <w:rsid w:val="6B39120D"/>
    <w:rsid w:val="6B3B705C"/>
    <w:rsid w:val="6B3C6A94"/>
    <w:rsid w:val="6B3C781D"/>
    <w:rsid w:val="6B3D4B58"/>
    <w:rsid w:val="6B3D58A0"/>
    <w:rsid w:val="6B3D7453"/>
    <w:rsid w:val="6B3E5E9F"/>
    <w:rsid w:val="6B3F33A2"/>
    <w:rsid w:val="6B3F6D3A"/>
    <w:rsid w:val="6B3F7DF5"/>
    <w:rsid w:val="6B4059B2"/>
    <w:rsid w:val="6B443AE4"/>
    <w:rsid w:val="6B447DF2"/>
    <w:rsid w:val="6B45012B"/>
    <w:rsid w:val="6B4602A7"/>
    <w:rsid w:val="6B4747BC"/>
    <w:rsid w:val="6B495356"/>
    <w:rsid w:val="6B4D23E2"/>
    <w:rsid w:val="6B506160"/>
    <w:rsid w:val="6B515C38"/>
    <w:rsid w:val="6B524960"/>
    <w:rsid w:val="6B526EA3"/>
    <w:rsid w:val="6B5330DB"/>
    <w:rsid w:val="6B5364E9"/>
    <w:rsid w:val="6B542216"/>
    <w:rsid w:val="6B542CCE"/>
    <w:rsid w:val="6B5517B0"/>
    <w:rsid w:val="6B551C2C"/>
    <w:rsid w:val="6B573F69"/>
    <w:rsid w:val="6B5866E6"/>
    <w:rsid w:val="6B59553B"/>
    <w:rsid w:val="6B5A4861"/>
    <w:rsid w:val="6B5A5130"/>
    <w:rsid w:val="6B5C182D"/>
    <w:rsid w:val="6B5E7B1F"/>
    <w:rsid w:val="6B6621B1"/>
    <w:rsid w:val="6B67709E"/>
    <w:rsid w:val="6B6B3A8F"/>
    <w:rsid w:val="6B6D1CAE"/>
    <w:rsid w:val="6B6D4304"/>
    <w:rsid w:val="6B6E6ABA"/>
    <w:rsid w:val="6B6F676F"/>
    <w:rsid w:val="6B6F6C8D"/>
    <w:rsid w:val="6B703E53"/>
    <w:rsid w:val="6B703FB9"/>
    <w:rsid w:val="6B7118F0"/>
    <w:rsid w:val="6B713998"/>
    <w:rsid w:val="6B75110F"/>
    <w:rsid w:val="6B7675F3"/>
    <w:rsid w:val="6B7A0066"/>
    <w:rsid w:val="6B7A206A"/>
    <w:rsid w:val="6B7C5E4A"/>
    <w:rsid w:val="6B7F1628"/>
    <w:rsid w:val="6B7F264D"/>
    <w:rsid w:val="6B7F4282"/>
    <w:rsid w:val="6B7F49FC"/>
    <w:rsid w:val="6B7F5FD4"/>
    <w:rsid w:val="6B896550"/>
    <w:rsid w:val="6B8B4237"/>
    <w:rsid w:val="6B8D2140"/>
    <w:rsid w:val="6B8D7D9A"/>
    <w:rsid w:val="6B8E1CED"/>
    <w:rsid w:val="6B8F3B76"/>
    <w:rsid w:val="6B915A5D"/>
    <w:rsid w:val="6B93473F"/>
    <w:rsid w:val="6B943A34"/>
    <w:rsid w:val="6B96482D"/>
    <w:rsid w:val="6B96592A"/>
    <w:rsid w:val="6B967A88"/>
    <w:rsid w:val="6B9761D5"/>
    <w:rsid w:val="6B9919CE"/>
    <w:rsid w:val="6B9B7D01"/>
    <w:rsid w:val="6B9B7F5E"/>
    <w:rsid w:val="6B9C0FAA"/>
    <w:rsid w:val="6B9C2BE0"/>
    <w:rsid w:val="6B9D57B7"/>
    <w:rsid w:val="6B9D6DA6"/>
    <w:rsid w:val="6B9E12D7"/>
    <w:rsid w:val="6B9F48C0"/>
    <w:rsid w:val="6B9F799C"/>
    <w:rsid w:val="6BA011AB"/>
    <w:rsid w:val="6BA1484A"/>
    <w:rsid w:val="6BA20E25"/>
    <w:rsid w:val="6BA22657"/>
    <w:rsid w:val="6BA50CE2"/>
    <w:rsid w:val="6BA53548"/>
    <w:rsid w:val="6BA80834"/>
    <w:rsid w:val="6BAB4C37"/>
    <w:rsid w:val="6BAC4D21"/>
    <w:rsid w:val="6BAD1FD7"/>
    <w:rsid w:val="6BAE1CDD"/>
    <w:rsid w:val="6BAF0009"/>
    <w:rsid w:val="6BAF0980"/>
    <w:rsid w:val="6BAF1BBA"/>
    <w:rsid w:val="6BB053C7"/>
    <w:rsid w:val="6BB43979"/>
    <w:rsid w:val="6BB92E8A"/>
    <w:rsid w:val="6BBB2FB5"/>
    <w:rsid w:val="6BBB7C1A"/>
    <w:rsid w:val="6BBD1A9D"/>
    <w:rsid w:val="6BBE2563"/>
    <w:rsid w:val="6BBF54EA"/>
    <w:rsid w:val="6BC21623"/>
    <w:rsid w:val="6BC2781B"/>
    <w:rsid w:val="6BC562AF"/>
    <w:rsid w:val="6BC615C0"/>
    <w:rsid w:val="6BC62147"/>
    <w:rsid w:val="6BC63A5E"/>
    <w:rsid w:val="6BC860AE"/>
    <w:rsid w:val="6BCC0E33"/>
    <w:rsid w:val="6BCC1B25"/>
    <w:rsid w:val="6BCF1702"/>
    <w:rsid w:val="6BD03BF0"/>
    <w:rsid w:val="6BD1767F"/>
    <w:rsid w:val="6BD20106"/>
    <w:rsid w:val="6BD274A0"/>
    <w:rsid w:val="6BD475FB"/>
    <w:rsid w:val="6BD64771"/>
    <w:rsid w:val="6BD86640"/>
    <w:rsid w:val="6BDA4951"/>
    <w:rsid w:val="6BDB5146"/>
    <w:rsid w:val="6BDC0707"/>
    <w:rsid w:val="6BDC6CE0"/>
    <w:rsid w:val="6BDE233B"/>
    <w:rsid w:val="6BE0428F"/>
    <w:rsid w:val="6BE26B17"/>
    <w:rsid w:val="6BE355C8"/>
    <w:rsid w:val="6BE42CD6"/>
    <w:rsid w:val="6BE46B0A"/>
    <w:rsid w:val="6BE60F5D"/>
    <w:rsid w:val="6BE635AF"/>
    <w:rsid w:val="6BE7174A"/>
    <w:rsid w:val="6BE82D78"/>
    <w:rsid w:val="6BE85135"/>
    <w:rsid w:val="6BE904C2"/>
    <w:rsid w:val="6BE922B5"/>
    <w:rsid w:val="6BEA24A3"/>
    <w:rsid w:val="6BEA3242"/>
    <w:rsid w:val="6BEB1895"/>
    <w:rsid w:val="6BEB3706"/>
    <w:rsid w:val="6BEE5766"/>
    <w:rsid w:val="6BF0076D"/>
    <w:rsid w:val="6BF10BBF"/>
    <w:rsid w:val="6BF15921"/>
    <w:rsid w:val="6BF16B53"/>
    <w:rsid w:val="6BF25775"/>
    <w:rsid w:val="6BF70876"/>
    <w:rsid w:val="6BF806F8"/>
    <w:rsid w:val="6BFA72FE"/>
    <w:rsid w:val="6BFB5416"/>
    <w:rsid w:val="6BFC491E"/>
    <w:rsid w:val="6BFD067C"/>
    <w:rsid w:val="6BFE1D62"/>
    <w:rsid w:val="6BFE35DA"/>
    <w:rsid w:val="6C0018EC"/>
    <w:rsid w:val="6C004107"/>
    <w:rsid w:val="6C005D3F"/>
    <w:rsid w:val="6C013DF5"/>
    <w:rsid w:val="6C0363A6"/>
    <w:rsid w:val="6C045611"/>
    <w:rsid w:val="6C056CC1"/>
    <w:rsid w:val="6C0A0524"/>
    <w:rsid w:val="6C0A2E38"/>
    <w:rsid w:val="6C1323D3"/>
    <w:rsid w:val="6C134436"/>
    <w:rsid w:val="6C137319"/>
    <w:rsid w:val="6C1407BB"/>
    <w:rsid w:val="6C14556D"/>
    <w:rsid w:val="6C1568F9"/>
    <w:rsid w:val="6C167523"/>
    <w:rsid w:val="6C1807E3"/>
    <w:rsid w:val="6C19625C"/>
    <w:rsid w:val="6C196D51"/>
    <w:rsid w:val="6C1A2959"/>
    <w:rsid w:val="6C1A4F48"/>
    <w:rsid w:val="6C1B4583"/>
    <w:rsid w:val="6C1E6FFB"/>
    <w:rsid w:val="6C201D17"/>
    <w:rsid w:val="6C224E20"/>
    <w:rsid w:val="6C22595B"/>
    <w:rsid w:val="6C264CEA"/>
    <w:rsid w:val="6C2A45BC"/>
    <w:rsid w:val="6C2C77EE"/>
    <w:rsid w:val="6C2D4D33"/>
    <w:rsid w:val="6C2F6F0A"/>
    <w:rsid w:val="6C2F7C7D"/>
    <w:rsid w:val="6C300300"/>
    <w:rsid w:val="6C317821"/>
    <w:rsid w:val="6C322210"/>
    <w:rsid w:val="6C3417B9"/>
    <w:rsid w:val="6C34792D"/>
    <w:rsid w:val="6C3644E0"/>
    <w:rsid w:val="6C367ABB"/>
    <w:rsid w:val="6C3739D9"/>
    <w:rsid w:val="6C38125E"/>
    <w:rsid w:val="6C383E5F"/>
    <w:rsid w:val="6C386297"/>
    <w:rsid w:val="6C3978C6"/>
    <w:rsid w:val="6C3A0F38"/>
    <w:rsid w:val="6C3A17CC"/>
    <w:rsid w:val="6C3D24D8"/>
    <w:rsid w:val="6C3F33B8"/>
    <w:rsid w:val="6C400D3F"/>
    <w:rsid w:val="6C4111D7"/>
    <w:rsid w:val="6C41771B"/>
    <w:rsid w:val="6C441337"/>
    <w:rsid w:val="6C460F8C"/>
    <w:rsid w:val="6C463DEB"/>
    <w:rsid w:val="6C481893"/>
    <w:rsid w:val="6C490606"/>
    <w:rsid w:val="6C4A602E"/>
    <w:rsid w:val="6C4B36B8"/>
    <w:rsid w:val="6C4E374C"/>
    <w:rsid w:val="6C5258C5"/>
    <w:rsid w:val="6C5378EF"/>
    <w:rsid w:val="6C556A54"/>
    <w:rsid w:val="6C5634B5"/>
    <w:rsid w:val="6C5636B8"/>
    <w:rsid w:val="6C585297"/>
    <w:rsid w:val="6C5B6DA0"/>
    <w:rsid w:val="6C5C2A19"/>
    <w:rsid w:val="6C5F158F"/>
    <w:rsid w:val="6C6151E8"/>
    <w:rsid w:val="6C623DEA"/>
    <w:rsid w:val="6C697135"/>
    <w:rsid w:val="6C6D50EB"/>
    <w:rsid w:val="6C6E7AEA"/>
    <w:rsid w:val="6C6F3B70"/>
    <w:rsid w:val="6C6F6EF9"/>
    <w:rsid w:val="6C6F7403"/>
    <w:rsid w:val="6C734A88"/>
    <w:rsid w:val="6C750D37"/>
    <w:rsid w:val="6C7930B6"/>
    <w:rsid w:val="6C7A06FF"/>
    <w:rsid w:val="6C7A2C2E"/>
    <w:rsid w:val="6C7A7AEA"/>
    <w:rsid w:val="6C7D5FCC"/>
    <w:rsid w:val="6C7E1404"/>
    <w:rsid w:val="6C801ABE"/>
    <w:rsid w:val="6C816C07"/>
    <w:rsid w:val="6C84501D"/>
    <w:rsid w:val="6C846A8E"/>
    <w:rsid w:val="6C854C90"/>
    <w:rsid w:val="6C896830"/>
    <w:rsid w:val="6C8A3C48"/>
    <w:rsid w:val="6C8C14D8"/>
    <w:rsid w:val="6C8C4C2F"/>
    <w:rsid w:val="6C8E4078"/>
    <w:rsid w:val="6C8F7EE1"/>
    <w:rsid w:val="6C9008B2"/>
    <w:rsid w:val="6C9324EB"/>
    <w:rsid w:val="6C93667D"/>
    <w:rsid w:val="6C961F7C"/>
    <w:rsid w:val="6C9B0464"/>
    <w:rsid w:val="6C9D6980"/>
    <w:rsid w:val="6CA0440E"/>
    <w:rsid w:val="6CA0540B"/>
    <w:rsid w:val="6CA15180"/>
    <w:rsid w:val="6CA16635"/>
    <w:rsid w:val="6CA40687"/>
    <w:rsid w:val="6CA45721"/>
    <w:rsid w:val="6CA60A2E"/>
    <w:rsid w:val="6CA73614"/>
    <w:rsid w:val="6CAA26C0"/>
    <w:rsid w:val="6CAA403E"/>
    <w:rsid w:val="6CAA6341"/>
    <w:rsid w:val="6CB17880"/>
    <w:rsid w:val="6CB23A74"/>
    <w:rsid w:val="6CB36D47"/>
    <w:rsid w:val="6CB47C79"/>
    <w:rsid w:val="6CB5696A"/>
    <w:rsid w:val="6CB83061"/>
    <w:rsid w:val="6CBA6756"/>
    <w:rsid w:val="6CBD173D"/>
    <w:rsid w:val="6CC028F1"/>
    <w:rsid w:val="6CC0586D"/>
    <w:rsid w:val="6CC15A8C"/>
    <w:rsid w:val="6CC40FF9"/>
    <w:rsid w:val="6CC4727E"/>
    <w:rsid w:val="6CC5256B"/>
    <w:rsid w:val="6CC52D37"/>
    <w:rsid w:val="6CC534F4"/>
    <w:rsid w:val="6CC879F3"/>
    <w:rsid w:val="6CC96324"/>
    <w:rsid w:val="6CCE20D3"/>
    <w:rsid w:val="6CCF6A51"/>
    <w:rsid w:val="6CCF6F1E"/>
    <w:rsid w:val="6CD045C7"/>
    <w:rsid w:val="6CD1044A"/>
    <w:rsid w:val="6CD2416F"/>
    <w:rsid w:val="6CD40CEA"/>
    <w:rsid w:val="6CD4188B"/>
    <w:rsid w:val="6CD45623"/>
    <w:rsid w:val="6CD76AC0"/>
    <w:rsid w:val="6CD82489"/>
    <w:rsid w:val="6CD905AA"/>
    <w:rsid w:val="6CDD38C7"/>
    <w:rsid w:val="6CDF7F45"/>
    <w:rsid w:val="6CE05B4A"/>
    <w:rsid w:val="6CE20617"/>
    <w:rsid w:val="6CE41D91"/>
    <w:rsid w:val="6CE42484"/>
    <w:rsid w:val="6CE51688"/>
    <w:rsid w:val="6CE86B3F"/>
    <w:rsid w:val="6CEA42F9"/>
    <w:rsid w:val="6CEC6226"/>
    <w:rsid w:val="6CEE5CA8"/>
    <w:rsid w:val="6CF04350"/>
    <w:rsid w:val="6CF0618D"/>
    <w:rsid w:val="6CF1296E"/>
    <w:rsid w:val="6CF12ED4"/>
    <w:rsid w:val="6CF20C6F"/>
    <w:rsid w:val="6CF314C4"/>
    <w:rsid w:val="6CF40330"/>
    <w:rsid w:val="6CF64DB6"/>
    <w:rsid w:val="6CF736D2"/>
    <w:rsid w:val="6CF85640"/>
    <w:rsid w:val="6CF85D8C"/>
    <w:rsid w:val="6CFA1E77"/>
    <w:rsid w:val="6CFA6FF5"/>
    <w:rsid w:val="6CFD5DD2"/>
    <w:rsid w:val="6CFF62D7"/>
    <w:rsid w:val="6D021CF7"/>
    <w:rsid w:val="6D0426C3"/>
    <w:rsid w:val="6D066F52"/>
    <w:rsid w:val="6D067B75"/>
    <w:rsid w:val="6D0A62F0"/>
    <w:rsid w:val="6D0C35D6"/>
    <w:rsid w:val="6D0E12D5"/>
    <w:rsid w:val="6D0F7A6E"/>
    <w:rsid w:val="6D10293C"/>
    <w:rsid w:val="6D116EBC"/>
    <w:rsid w:val="6D135E88"/>
    <w:rsid w:val="6D13646B"/>
    <w:rsid w:val="6D1470A2"/>
    <w:rsid w:val="6D1536E0"/>
    <w:rsid w:val="6D162501"/>
    <w:rsid w:val="6D164E23"/>
    <w:rsid w:val="6D1753B6"/>
    <w:rsid w:val="6D190FCD"/>
    <w:rsid w:val="6D1A1359"/>
    <w:rsid w:val="6D1A5D3A"/>
    <w:rsid w:val="6D1B30D4"/>
    <w:rsid w:val="6D1E0E19"/>
    <w:rsid w:val="6D1E2492"/>
    <w:rsid w:val="6D1E48FA"/>
    <w:rsid w:val="6D201B0F"/>
    <w:rsid w:val="6D226695"/>
    <w:rsid w:val="6D2362D9"/>
    <w:rsid w:val="6D25157F"/>
    <w:rsid w:val="6D255A6F"/>
    <w:rsid w:val="6D281F46"/>
    <w:rsid w:val="6D2C2E9C"/>
    <w:rsid w:val="6D310AAB"/>
    <w:rsid w:val="6D36582F"/>
    <w:rsid w:val="6D365BF0"/>
    <w:rsid w:val="6D37203D"/>
    <w:rsid w:val="6D377197"/>
    <w:rsid w:val="6D390B47"/>
    <w:rsid w:val="6D39613B"/>
    <w:rsid w:val="6D3C27AA"/>
    <w:rsid w:val="6D3C2815"/>
    <w:rsid w:val="6D3E1304"/>
    <w:rsid w:val="6D3F3865"/>
    <w:rsid w:val="6D3F3BC7"/>
    <w:rsid w:val="6D3F701D"/>
    <w:rsid w:val="6D40102B"/>
    <w:rsid w:val="6D401471"/>
    <w:rsid w:val="6D40572B"/>
    <w:rsid w:val="6D417855"/>
    <w:rsid w:val="6D447A63"/>
    <w:rsid w:val="6D452D3C"/>
    <w:rsid w:val="6D477709"/>
    <w:rsid w:val="6D4808DD"/>
    <w:rsid w:val="6D484608"/>
    <w:rsid w:val="6D487387"/>
    <w:rsid w:val="6D495858"/>
    <w:rsid w:val="6D4C390A"/>
    <w:rsid w:val="6D4E37D5"/>
    <w:rsid w:val="6D50731A"/>
    <w:rsid w:val="6D5108D0"/>
    <w:rsid w:val="6D536A41"/>
    <w:rsid w:val="6D567A50"/>
    <w:rsid w:val="6D583C04"/>
    <w:rsid w:val="6D584915"/>
    <w:rsid w:val="6D590A04"/>
    <w:rsid w:val="6D591D3D"/>
    <w:rsid w:val="6D592587"/>
    <w:rsid w:val="6D5951F1"/>
    <w:rsid w:val="6D595AFC"/>
    <w:rsid w:val="6D5D5DC1"/>
    <w:rsid w:val="6D5E2AB9"/>
    <w:rsid w:val="6D601ED9"/>
    <w:rsid w:val="6D620701"/>
    <w:rsid w:val="6D635D3F"/>
    <w:rsid w:val="6D653120"/>
    <w:rsid w:val="6D660BA8"/>
    <w:rsid w:val="6D6818C9"/>
    <w:rsid w:val="6D69086B"/>
    <w:rsid w:val="6D693FA2"/>
    <w:rsid w:val="6D6A121E"/>
    <w:rsid w:val="6D6A2E62"/>
    <w:rsid w:val="6D6B5BED"/>
    <w:rsid w:val="6D6E6A62"/>
    <w:rsid w:val="6D70298B"/>
    <w:rsid w:val="6D720324"/>
    <w:rsid w:val="6D73479C"/>
    <w:rsid w:val="6D7459C9"/>
    <w:rsid w:val="6D750FDF"/>
    <w:rsid w:val="6D7571D2"/>
    <w:rsid w:val="6D7677B2"/>
    <w:rsid w:val="6D78514A"/>
    <w:rsid w:val="6D791E79"/>
    <w:rsid w:val="6D7976AA"/>
    <w:rsid w:val="6D7A2995"/>
    <w:rsid w:val="6D7D7189"/>
    <w:rsid w:val="6D7F3BE4"/>
    <w:rsid w:val="6D8513CC"/>
    <w:rsid w:val="6D87210A"/>
    <w:rsid w:val="6D890AE1"/>
    <w:rsid w:val="6D8979B8"/>
    <w:rsid w:val="6D8B21F3"/>
    <w:rsid w:val="6D8C7DDD"/>
    <w:rsid w:val="6D8D6F05"/>
    <w:rsid w:val="6D8F4A6C"/>
    <w:rsid w:val="6D8F7697"/>
    <w:rsid w:val="6D930FA7"/>
    <w:rsid w:val="6D933FDB"/>
    <w:rsid w:val="6D937D1A"/>
    <w:rsid w:val="6D941C29"/>
    <w:rsid w:val="6D943C58"/>
    <w:rsid w:val="6D956C84"/>
    <w:rsid w:val="6D961EA2"/>
    <w:rsid w:val="6D9627BA"/>
    <w:rsid w:val="6D9717C0"/>
    <w:rsid w:val="6D977E20"/>
    <w:rsid w:val="6D980C4D"/>
    <w:rsid w:val="6D981A38"/>
    <w:rsid w:val="6D985021"/>
    <w:rsid w:val="6D9A1DA2"/>
    <w:rsid w:val="6D9A7E05"/>
    <w:rsid w:val="6D9C14D0"/>
    <w:rsid w:val="6D9F4A5C"/>
    <w:rsid w:val="6DA00815"/>
    <w:rsid w:val="6DA12439"/>
    <w:rsid w:val="6DA26F93"/>
    <w:rsid w:val="6DA35110"/>
    <w:rsid w:val="6DA35949"/>
    <w:rsid w:val="6DA51518"/>
    <w:rsid w:val="6DA60264"/>
    <w:rsid w:val="6DA61B2E"/>
    <w:rsid w:val="6DA76307"/>
    <w:rsid w:val="6DA863CE"/>
    <w:rsid w:val="6DA9101B"/>
    <w:rsid w:val="6DAC3BE9"/>
    <w:rsid w:val="6DAD59B0"/>
    <w:rsid w:val="6DAE2A78"/>
    <w:rsid w:val="6DB10908"/>
    <w:rsid w:val="6DB2042E"/>
    <w:rsid w:val="6DB35E81"/>
    <w:rsid w:val="6DB478DB"/>
    <w:rsid w:val="6DB7380C"/>
    <w:rsid w:val="6DB768F5"/>
    <w:rsid w:val="6DBB01FE"/>
    <w:rsid w:val="6DBB320A"/>
    <w:rsid w:val="6DBE255B"/>
    <w:rsid w:val="6DBE26DE"/>
    <w:rsid w:val="6DBE3947"/>
    <w:rsid w:val="6DC02708"/>
    <w:rsid w:val="6DC21B69"/>
    <w:rsid w:val="6DC22264"/>
    <w:rsid w:val="6DC343AD"/>
    <w:rsid w:val="6DC52908"/>
    <w:rsid w:val="6DC61D8D"/>
    <w:rsid w:val="6DC62CEB"/>
    <w:rsid w:val="6DC860FD"/>
    <w:rsid w:val="6DCD2129"/>
    <w:rsid w:val="6DCF1EC9"/>
    <w:rsid w:val="6DD052C1"/>
    <w:rsid w:val="6DD1708C"/>
    <w:rsid w:val="6DD1775B"/>
    <w:rsid w:val="6DD25B5F"/>
    <w:rsid w:val="6DD25DC7"/>
    <w:rsid w:val="6DD3406B"/>
    <w:rsid w:val="6DD41E2E"/>
    <w:rsid w:val="6DD50965"/>
    <w:rsid w:val="6DD5273D"/>
    <w:rsid w:val="6DD6558E"/>
    <w:rsid w:val="6DD71EE1"/>
    <w:rsid w:val="6DDB32D2"/>
    <w:rsid w:val="6DDC0599"/>
    <w:rsid w:val="6DDC6717"/>
    <w:rsid w:val="6DDD4F3A"/>
    <w:rsid w:val="6DE148F4"/>
    <w:rsid w:val="6DE4511F"/>
    <w:rsid w:val="6DE51DF7"/>
    <w:rsid w:val="6DE53F73"/>
    <w:rsid w:val="6DE61268"/>
    <w:rsid w:val="6DE71FB3"/>
    <w:rsid w:val="6DE87176"/>
    <w:rsid w:val="6DEA22AF"/>
    <w:rsid w:val="6DEF3F12"/>
    <w:rsid w:val="6DF2478C"/>
    <w:rsid w:val="6DF27685"/>
    <w:rsid w:val="6DF64700"/>
    <w:rsid w:val="6DF945A2"/>
    <w:rsid w:val="6DFA2F69"/>
    <w:rsid w:val="6DFC2CA4"/>
    <w:rsid w:val="6DFD33C9"/>
    <w:rsid w:val="6DFE299D"/>
    <w:rsid w:val="6DFF2C36"/>
    <w:rsid w:val="6E04517F"/>
    <w:rsid w:val="6E057D29"/>
    <w:rsid w:val="6E0604C0"/>
    <w:rsid w:val="6E067F16"/>
    <w:rsid w:val="6E075B59"/>
    <w:rsid w:val="6E08377B"/>
    <w:rsid w:val="6E08403E"/>
    <w:rsid w:val="6E101F74"/>
    <w:rsid w:val="6E124810"/>
    <w:rsid w:val="6E136147"/>
    <w:rsid w:val="6E144359"/>
    <w:rsid w:val="6E155924"/>
    <w:rsid w:val="6E1650E1"/>
    <w:rsid w:val="6E177FF3"/>
    <w:rsid w:val="6E1936EB"/>
    <w:rsid w:val="6E1C59DE"/>
    <w:rsid w:val="6E1C7F57"/>
    <w:rsid w:val="6E1E6B2D"/>
    <w:rsid w:val="6E20402D"/>
    <w:rsid w:val="6E243520"/>
    <w:rsid w:val="6E254CA5"/>
    <w:rsid w:val="6E2719AD"/>
    <w:rsid w:val="6E271EA4"/>
    <w:rsid w:val="6E290740"/>
    <w:rsid w:val="6E2A7C3F"/>
    <w:rsid w:val="6E2D6C4C"/>
    <w:rsid w:val="6E2E3C6A"/>
    <w:rsid w:val="6E3056B4"/>
    <w:rsid w:val="6E312286"/>
    <w:rsid w:val="6E33522A"/>
    <w:rsid w:val="6E3520D3"/>
    <w:rsid w:val="6E366D3C"/>
    <w:rsid w:val="6E372FF6"/>
    <w:rsid w:val="6E374E97"/>
    <w:rsid w:val="6E380E55"/>
    <w:rsid w:val="6E3845C0"/>
    <w:rsid w:val="6E387BB5"/>
    <w:rsid w:val="6E390600"/>
    <w:rsid w:val="6E392455"/>
    <w:rsid w:val="6E392B1B"/>
    <w:rsid w:val="6E3A69C7"/>
    <w:rsid w:val="6E3C0F06"/>
    <w:rsid w:val="6E3E6B5F"/>
    <w:rsid w:val="6E3F1E65"/>
    <w:rsid w:val="6E410DA4"/>
    <w:rsid w:val="6E43618E"/>
    <w:rsid w:val="6E4475A3"/>
    <w:rsid w:val="6E447969"/>
    <w:rsid w:val="6E4518AA"/>
    <w:rsid w:val="6E453026"/>
    <w:rsid w:val="6E472E58"/>
    <w:rsid w:val="6E476E29"/>
    <w:rsid w:val="6E482362"/>
    <w:rsid w:val="6E4854A0"/>
    <w:rsid w:val="6E4C7631"/>
    <w:rsid w:val="6E4E4239"/>
    <w:rsid w:val="6E4E6CF4"/>
    <w:rsid w:val="6E503E0D"/>
    <w:rsid w:val="6E504C64"/>
    <w:rsid w:val="6E5054E0"/>
    <w:rsid w:val="6E51211A"/>
    <w:rsid w:val="6E525605"/>
    <w:rsid w:val="6E5544F0"/>
    <w:rsid w:val="6E5A4589"/>
    <w:rsid w:val="6E5F3BA2"/>
    <w:rsid w:val="6E602AB3"/>
    <w:rsid w:val="6E6120E1"/>
    <w:rsid w:val="6E6176AC"/>
    <w:rsid w:val="6E62336D"/>
    <w:rsid w:val="6E626158"/>
    <w:rsid w:val="6E634628"/>
    <w:rsid w:val="6E640E45"/>
    <w:rsid w:val="6E6448DB"/>
    <w:rsid w:val="6E646353"/>
    <w:rsid w:val="6E657E07"/>
    <w:rsid w:val="6E6A05EE"/>
    <w:rsid w:val="6E6D246E"/>
    <w:rsid w:val="6E722F63"/>
    <w:rsid w:val="6E746B1C"/>
    <w:rsid w:val="6E75578E"/>
    <w:rsid w:val="6E77201E"/>
    <w:rsid w:val="6E777701"/>
    <w:rsid w:val="6E782100"/>
    <w:rsid w:val="6E7C4B26"/>
    <w:rsid w:val="6E7D3B72"/>
    <w:rsid w:val="6E7E717F"/>
    <w:rsid w:val="6E8070AF"/>
    <w:rsid w:val="6E813705"/>
    <w:rsid w:val="6E814B75"/>
    <w:rsid w:val="6E821363"/>
    <w:rsid w:val="6E821986"/>
    <w:rsid w:val="6E843BE9"/>
    <w:rsid w:val="6E844840"/>
    <w:rsid w:val="6E85206D"/>
    <w:rsid w:val="6E8B2004"/>
    <w:rsid w:val="6E8B373C"/>
    <w:rsid w:val="6E8D4ACF"/>
    <w:rsid w:val="6E905C01"/>
    <w:rsid w:val="6E935883"/>
    <w:rsid w:val="6E974D49"/>
    <w:rsid w:val="6E98311E"/>
    <w:rsid w:val="6E9A22E3"/>
    <w:rsid w:val="6E9B66B6"/>
    <w:rsid w:val="6E9D056D"/>
    <w:rsid w:val="6E9D63D7"/>
    <w:rsid w:val="6E9F08BB"/>
    <w:rsid w:val="6EA1485F"/>
    <w:rsid w:val="6EA27581"/>
    <w:rsid w:val="6EA30BA4"/>
    <w:rsid w:val="6EA36374"/>
    <w:rsid w:val="6EA40637"/>
    <w:rsid w:val="6EA558F5"/>
    <w:rsid w:val="6EA8255B"/>
    <w:rsid w:val="6EA85B89"/>
    <w:rsid w:val="6EAD79CF"/>
    <w:rsid w:val="6EAE2C9D"/>
    <w:rsid w:val="6EAE5005"/>
    <w:rsid w:val="6EB01CA4"/>
    <w:rsid w:val="6EB023E2"/>
    <w:rsid w:val="6EB1237A"/>
    <w:rsid w:val="6EB1515B"/>
    <w:rsid w:val="6EB34A1C"/>
    <w:rsid w:val="6EB53C2D"/>
    <w:rsid w:val="6EB62152"/>
    <w:rsid w:val="6EB6281D"/>
    <w:rsid w:val="6EB66622"/>
    <w:rsid w:val="6EB8295E"/>
    <w:rsid w:val="6EB836BF"/>
    <w:rsid w:val="6EBB27E9"/>
    <w:rsid w:val="6EBB3930"/>
    <w:rsid w:val="6EBC53D8"/>
    <w:rsid w:val="6EBD0130"/>
    <w:rsid w:val="6EBE6071"/>
    <w:rsid w:val="6EC12536"/>
    <w:rsid w:val="6EC17756"/>
    <w:rsid w:val="6EC2070B"/>
    <w:rsid w:val="6EC3508F"/>
    <w:rsid w:val="6ECF637A"/>
    <w:rsid w:val="6ED07DE7"/>
    <w:rsid w:val="6ED12BCA"/>
    <w:rsid w:val="6ED14A14"/>
    <w:rsid w:val="6ED526E8"/>
    <w:rsid w:val="6ED9074E"/>
    <w:rsid w:val="6EDB541C"/>
    <w:rsid w:val="6EDB7276"/>
    <w:rsid w:val="6EDC09AA"/>
    <w:rsid w:val="6EDC586E"/>
    <w:rsid w:val="6EDE59C2"/>
    <w:rsid w:val="6EDE6CB4"/>
    <w:rsid w:val="6EDF5EB3"/>
    <w:rsid w:val="6EE14A10"/>
    <w:rsid w:val="6EE26675"/>
    <w:rsid w:val="6EE60792"/>
    <w:rsid w:val="6EE82D57"/>
    <w:rsid w:val="6EE91B4D"/>
    <w:rsid w:val="6EEA50BC"/>
    <w:rsid w:val="6EEC3B04"/>
    <w:rsid w:val="6EED22F8"/>
    <w:rsid w:val="6EED43B9"/>
    <w:rsid w:val="6EEE39A5"/>
    <w:rsid w:val="6EEF169E"/>
    <w:rsid w:val="6EF06A49"/>
    <w:rsid w:val="6EF11CB2"/>
    <w:rsid w:val="6EF34BC4"/>
    <w:rsid w:val="6EF53DC1"/>
    <w:rsid w:val="6EF92F0D"/>
    <w:rsid w:val="6EFC69AB"/>
    <w:rsid w:val="6EFD5F19"/>
    <w:rsid w:val="6F04738C"/>
    <w:rsid w:val="6F052BC8"/>
    <w:rsid w:val="6F0559E3"/>
    <w:rsid w:val="6F06187A"/>
    <w:rsid w:val="6F072142"/>
    <w:rsid w:val="6F073A7C"/>
    <w:rsid w:val="6F086626"/>
    <w:rsid w:val="6F0874BC"/>
    <w:rsid w:val="6F096635"/>
    <w:rsid w:val="6F0A4CDA"/>
    <w:rsid w:val="6F0A6589"/>
    <w:rsid w:val="6F0B4C65"/>
    <w:rsid w:val="6F0B4D53"/>
    <w:rsid w:val="6F0C2331"/>
    <w:rsid w:val="6F0D39F0"/>
    <w:rsid w:val="6F0E0D2E"/>
    <w:rsid w:val="6F0E56A0"/>
    <w:rsid w:val="6F145D7F"/>
    <w:rsid w:val="6F1524DE"/>
    <w:rsid w:val="6F161ED1"/>
    <w:rsid w:val="6F181FE2"/>
    <w:rsid w:val="6F186E3F"/>
    <w:rsid w:val="6F1940A4"/>
    <w:rsid w:val="6F197CD3"/>
    <w:rsid w:val="6F1C5963"/>
    <w:rsid w:val="6F1C5F7C"/>
    <w:rsid w:val="6F1C6372"/>
    <w:rsid w:val="6F1C76FB"/>
    <w:rsid w:val="6F1D3FCF"/>
    <w:rsid w:val="6F1D6DD6"/>
    <w:rsid w:val="6F1F2588"/>
    <w:rsid w:val="6F1F3CEE"/>
    <w:rsid w:val="6F225AA2"/>
    <w:rsid w:val="6F227422"/>
    <w:rsid w:val="6F23424A"/>
    <w:rsid w:val="6F23509D"/>
    <w:rsid w:val="6F247040"/>
    <w:rsid w:val="6F27587D"/>
    <w:rsid w:val="6F28046A"/>
    <w:rsid w:val="6F2C4629"/>
    <w:rsid w:val="6F2C5EEA"/>
    <w:rsid w:val="6F2D1669"/>
    <w:rsid w:val="6F2D7953"/>
    <w:rsid w:val="6F31353A"/>
    <w:rsid w:val="6F317FF3"/>
    <w:rsid w:val="6F3368D5"/>
    <w:rsid w:val="6F3462DB"/>
    <w:rsid w:val="6F365145"/>
    <w:rsid w:val="6F385E59"/>
    <w:rsid w:val="6F3C7719"/>
    <w:rsid w:val="6F404E14"/>
    <w:rsid w:val="6F454786"/>
    <w:rsid w:val="6F4567E1"/>
    <w:rsid w:val="6F466B41"/>
    <w:rsid w:val="6F4C2C55"/>
    <w:rsid w:val="6F4C365B"/>
    <w:rsid w:val="6F4D7E42"/>
    <w:rsid w:val="6F4E2018"/>
    <w:rsid w:val="6F4E21B0"/>
    <w:rsid w:val="6F4E2675"/>
    <w:rsid w:val="6F573AA4"/>
    <w:rsid w:val="6F580BA4"/>
    <w:rsid w:val="6F5B26C3"/>
    <w:rsid w:val="6F5C4D10"/>
    <w:rsid w:val="6F5D42F9"/>
    <w:rsid w:val="6F5D6955"/>
    <w:rsid w:val="6F5F1B16"/>
    <w:rsid w:val="6F6063B0"/>
    <w:rsid w:val="6F614BB0"/>
    <w:rsid w:val="6F622D10"/>
    <w:rsid w:val="6F6A7361"/>
    <w:rsid w:val="6F6B3F41"/>
    <w:rsid w:val="6F6C3B2F"/>
    <w:rsid w:val="6F71331D"/>
    <w:rsid w:val="6F722B1C"/>
    <w:rsid w:val="6F726FDF"/>
    <w:rsid w:val="6F73583F"/>
    <w:rsid w:val="6F742720"/>
    <w:rsid w:val="6F7701B6"/>
    <w:rsid w:val="6F78018C"/>
    <w:rsid w:val="6F7C62F4"/>
    <w:rsid w:val="6F7E6040"/>
    <w:rsid w:val="6F7F1D27"/>
    <w:rsid w:val="6F80793A"/>
    <w:rsid w:val="6F823EBA"/>
    <w:rsid w:val="6F8268A0"/>
    <w:rsid w:val="6F826F60"/>
    <w:rsid w:val="6F832D80"/>
    <w:rsid w:val="6F842FD4"/>
    <w:rsid w:val="6F847C32"/>
    <w:rsid w:val="6F89027D"/>
    <w:rsid w:val="6F891E77"/>
    <w:rsid w:val="6F89761E"/>
    <w:rsid w:val="6F8B303F"/>
    <w:rsid w:val="6F8B703C"/>
    <w:rsid w:val="6F8E2CA5"/>
    <w:rsid w:val="6F8E6D54"/>
    <w:rsid w:val="6F911A37"/>
    <w:rsid w:val="6F92320E"/>
    <w:rsid w:val="6F9355B4"/>
    <w:rsid w:val="6F952A92"/>
    <w:rsid w:val="6F9728DC"/>
    <w:rsid w:val="6F974E48"/>
    <w:rsid w:val="6F98741B"/>
    <w:rsid w:val="6F9A088B"/>
    <w:rsid w:val="6F9A320F"/>
    <w:rsid w:val="6F9A5A78"/>
    <w:rsid w:val="6F9D34CB"/>
    <w:rsid w:val="6FA174EC"/>
    <w:rsid w:val="6FA671D8"/>
    <w:rsid w:val="6FA75273"/>
    <w:rsid w:val="6FA908F7"/>
    <w:rsid w:val="6FA95F5D"/>
    <w:rsid w:val="6FA97C0B"/>
    <w:rsid w:val="6FAA3CF2"/>
    <w:rsid w:val="6FAA5007"/>
    <w:rsid w:val="6FAB1679"/>
    <w:rsid w:val="6FAC23B6"/>
    <w:rsid w:val="6FAC27C5"/>
    <w:rsid w:val="6FAC27F7"/>
    <w:rsid w:val="6FB47E29"/>
    <w:rsid w:val="6FB55485"/>
    <w:rsid w:val="6FB60718"/>
    <w:rsid w:val="6FB64687"/>
    <w:rsid w:val="6FB81109"/>
    <w:rsid w:val="6FB8245E"/>
    <w:rsid w:val="6FBA10EF"/>
    <w:rsid w:val="6FBB38AC"/>
    <w:rsid w:val="6FBB6FFF"/>
    <w:rsid w:val="6FBD0496"/>
    <w:rsid w:val="6FBD7517"/>
    <w:rsid w:val="6FBE68F0"/>
    <w:rsid w:val="6FC24613"/>
    <w:rsid w:val="6FC36214"/>
    <w:rsid w:val="6FC50DEE"/>
    <w:rsid w:val="6FC658CE"/>
    <w:rsid w:val="6FC70BC5"/>
    <w:rsid w:val="6FC75614"/>
    <w:rsid w:val="6FC8457E"/>
    <w:rsid w:val="6FCA1300"/>
    <w:rsid w:val="6FCA6B12"/>
    <w:rsid w:val="6FCF5F58"/>
    <w:rsid w:val="6FD04773"/>
    <w:rsid w:val="6FD3313C"/>
    <w:rsid w:val="6FD429D9"/>
    <w:rsid w:val="6FD42F69"/>
    <w:rsid w:val="6FD458D4"/>
    <w:rsid w:val="6FD46873"/>
    <w:rsid w:val="6FD8524C"/>
    <w:rsid w:val="6FDA0E97"/>
    <w:rsid w:val="6FDA1107"/>
    <w:rsid w:val="6FDA22EE"/>
    <w:rsid w:val="6FDB1C59"/>
    <w:rsid w:val="6FDB2815"/>
    <w:rsid w:val="6FE1459C"/>
    <w:rsid w:val="6FE26806"/>
    <w:rsid w:val="6FE558A3"/>
    <w:rsid w:val="6FE70150"/>
    <w:rsid w:val="6FE709A7"/>
    <w:rsid w:val="6FE87FD9"/>
    <w:rsid w:val="6FEC2074"/>
    <w:rsid w:val="6FEC32AD"/>
    <w:rsid w:val="6FEC55EA"/>
    <w:rsid w:val="6FEC76E8"/>
    <w:rsid w:val="6FF17D5C"/>
    <w:rsid w:val="6FF20DBF"/>
    <w:rsid w:val="6FF229CA"/>
    <w:rsid w:val="6FF3365C"/>
    <w:rsid w:val="6FF43F36"/>
    <w:rsid w:val="6FF43FF9"/>
    <w:rsid w:val="6FF6797A"/>
    <w:rsid w:val="6FFC065B"/>
    <w:rsid w:val="70013F0A"/>
    <w:rsid w:val="70021C4A"/>
    <w:rsid w:val="7003699F"/>
    <w:rsid w:val="70045233"/>
    <w:rsid w:val="70067B06"/>
    <w:rsid w:val="70071F19"/>
    <w:rsid w:val="70085522"/>
    <w:rsid w:val="70097B91"/>
    <w:rsid w:val="700A46B7"/>
    <w:rsid w:val="700C44CE"/>
    <w:rsid w:val="70104058"/>
    <w:rsid w:val="701214E2"/>
    <w:rsid w:val="70124314"/>
    <w:rsid w:val="70157844"/>
    <w:rsid w:val="701E432E"/>
    <w:rsid w:val="701F342E"/>
    <w:rsid w:val="701F6E4E"/>
    <w:rsid w:val="70210BE7"/>
    <w:rsid w:val="702255B3"/>
    <w:rsid w:val="702608A0"/>
    <w:rsid w:val="7026451C"/>
    <w:rsid w:val="702845CD"/>
    <w:rsid w:val="702923D6"/>
    <w:rsid w:val="702A0162"/>
    <w:rsid w:val="702C2D1B"/>
    <w:rsid w:val="702E62AE"/>
    <w:rsid w:val="703123C8"/>
    <w:rsid w:val="7031706A"/>
    <w:rsid w:val="70335876"/>
    <w:rsid w:val="7034528E"/>
    <w:rsid w:val="703462B6"/>
    <w:rsid w:val="70384108"/>
    <w:rsid w:val="70387965"/>
    <w:rsid w:val="703E3182"/>
    <w:rsid w:val="703E4D15"/>
    <w:rsid w:val="703E6486"/>
    <w:rsid w:val="70420D64"/>
    <w:rsid w:val="70424BB4"/>
    <w:rsid w:val="7045389D"/>
    <w:rsid w:val="704678C7"/>
    <w:rsid w:val="7047265E"/>
    <w:rsid w:val="704B6F7E"/>
    <w:rsid w:val="704D0286"/>
    <w:rsid w:val="704E0F6A"/>
    <w:rsid w:val="705053B2"/>
    <w:rsid w:val="705120FD"/>
    <w:rsid w:val="70541DE8"/>
    <w:rsid w:val="705513A2"/>
    <w:rsid w:val="70557E53"/>
    <w:rsid w:val="70561BB6"/>
    <w:rsid w:val="70561F59"/>
    <w:rsid w:val="70575813"/>
    <w:rsid w:val="705774C6"/>
    <w:rsid w:val="70595CF9"/>
    <w:rsid w:val="705B5934"/>
    <w:rsid w:val="705C44EA"/>
    <w:rsid w:val="705C4966"/>
    <w:rsid w:val="705D0BF1"/>
    <w:rsid w:val="705E1678"/>
    <w:rsid w:val="705E2BD4"/>
    <w:rsid w:val="705F0EA6"/>
    <w:rsid w:val="705F6AF1"/>
    <w:rsid w:val="70627CDE"/>
    <w:rsid w:val="706324FF"/>
    <w:rsid w:val="706407AE"/>
    <w:rsid w:val="70656C3C"/>
    <w:rsid w:val="70663CC3"/>
    <w:rsid w:val="706943AC"/>
    <w:rsid w:val="706A0AFF"/>
    <w:rsid w:val="706A708C"/>
    <w:rsid w:val="706B3275"/>
    <w:rsid w:val="706F5977"/>
    <w:rsid w:val="7070644E"/>
    <w:rsid w:val="70734205"/>
    <w:rsid w:val="70745F0A"/>
    <w:rsid w:val="7076539B"/>
    <w:rsid w:val="70770CC9"/>
    <w:rsid w:val="7077586B"/>
    <w:rsid w:val="70793C6E"/>
    <w:rsid w:val="70796F5C"/>
    <w:rsid w:val="707A7103"/>
    <w:rsid w:val="707C115D"/>
    <w:rsid w:val="707C3FB5"/>
    <w:rsid w:val="707C5C50"/>
    <w:rsid w:val="707C7E5D"/>
    <w:rsid w:val="7080625A"/>
    <w:rsid w:val="708138CF"/>
    <w:rsid w:val="70815002"/>
    <w:rsid w:val="70820AC7"/>
    <w:rsid w:val="7082592A"/>
    <w:rsid w:val="70837CDE"/>
    <w:rsid w:val="70877E6B"/>
    <w:rsid w:val="708A3C9B"/>
    <w:rsid w:val="708B1F5C"/>
    <w:rsid w:val="708C42B3"/>
    <w:rsid w:val="708D6BB0"/>
    <w:rsid w:val="708F3622"/>
    <w:rsid w:val="70902B6F"/>
    <w:rsid w:val="70937A5C"/>
    <w:rsid w:val="7095793D"/>
    <w:rsid w:val="709722F0"/>
    <w:rsid w:val="7097740D"/>
    <w:rsid w:val="709B0F1B"/>
    <w:rsid w:val="709B419F"/>
    <w:rsid w:val="709E2161"/>
    <w:rsid w:val="70A02F81"/>
    <w:rsid w:val="70A109D6"/>
    <w:rsid w:val="70A20D62"/>
    <w:rsid w:val="70A549F9"/>
    <w:rsid w:val="70A929E6"/>
    <w:rsid w:val="70AF6D42"/>
    <w:rsid w:val="70B23AFF"/>
    <w:rsid w:val="70B411CA"/>
    <w:rsid w:val="70B53DC6"/>
    <w:rsid w:val="70B548BF"/>
    <w:rsid w:val="70B6453D"/>
    <w:rsid w:val="70B677A8"/>
    <w:rsid w:val="70B8594D"/>
    <w:rsid w:val="70BB7BA1"/>
    <w:rsid w:val="70BD34E8"/>
    <w:rsid w:val="70BD663F"/>
    <w:rsid w:val="70BF7383"/>
    <w:rsid w:val="70C00295"/>
    <w:rsid w:val="70C03D15"/>
    <w:rsid w:val="70C1526E"/>
    <w:rsid w:val="70C26F2C"/>
    <w:rsid w:val="70C30E9A"/>
    <w:rsid w:val="70C32BC1"/>
    <w:rsid w:val="70C47928"/>
    <w:rsid w:val="70C618E1"/>
    <w:rsid w:val="70CA194D"/>
    <w:rsid w:val="70CB4F9C"/>
    <w:rsid w:val="70CB7C96"/>
    <w:rsid w:val="70CC6C2A"/>
    <w:rsid w:val="70CD04A2"/>
    <w:rsid w:val="70CD2694"/>
    <w:rsid w:val="70CD7C1F"/>
    <w:rsid w:val="70D40012"/>
    <w:rsid w:val="70D558DA"/>
    <w:rsid w:val="70D6201E"/>
    <w:rsid w:val="70D70F63"/>
    <w:rsid w:val="70D97E04"/>
    <w:rsid w:val="70DB28C1"/>
    <w:rsid w:val="70DC5850"/>
    <w:rsid w:val="70DC6536"/>
    <w:rsid w:val="70DD4BA1"/>
    <w:rsid w:val="70DF2162"/>
    <w:rsid w:val="70E06FEC"/>
    <w:rsid w:val="70E33018"/>
    <w:rsid w:val="70E35F56"/>
    <w:rsid w:val="70E461EC"/>
    <w:rsid w:val="70E66384"/>
    <w:rsid w:val="70E70921"/>
    <w:rsid w:val="70E75636"/>
    <w:rsid w:val="70E856DD"/>
    <w:rsid w:val="70E944E0"/>
    <w:rsid w:val="70EA62F5"/>
    <w:rsid w:val="70EB5E83"/>
    <w:rsid w:val="70EC1A79"/>
    <w:rsid w:val="70F207BE"/>
    <w:rsid w:val="70F2255E"/>
    <w:rsid w:val="70F27115"/>
    <w:rsid w:val="70F4082F"/>
    <w:rsid w:val="70F60FC4"/>
    <w:rsid w:val="70F8365C"/>
    <w:rsid w:val="70FA7E13"/>
    <w:rsid w:val="70FB08CC"/>
    <w:rsid w:val="70FB7A28"/>
    <w:rsid w:val="70FC5BC9"/>
    <w:rsid w:val="70FD2EB1"/>
    <w:rsid w:val="70FE1F86"/>
    <w:rsid w:val="70FE765B"/>
    <w:rsid w:val="71006D41"/>
    <w:rsid w:val="71013F4F"/>
    <w:rsid w:val="71014980"/>
    <w:rsid w:val="71025A43"/>
    <w:rsid w:val="710522C4"/>
    <w:rsid w:val="71062B92"/>
    <w:rsid w:val="71077E8A"/>
    <w:rsid w:val="71083A86"/>
    <w:rsid w:val="710872F7"/>
    <w:rsid w:val="71090ECE"/>
    <w:rsid w:val="7109593F"/>
    <w:rsid w:val="710C43DB"/>
    <w:rsid w:val="710D2476"/>
    <w:rsid w:val="71117FB4"/>
    <w:rsid w:val="711238D7"/>
    <w:rsid w:val="71145618"/>
    <w:rsid w:val="711519E1"/>
    <w:rsid w:val="71191000"/>
    <w:rsid w:val="7119296C"/>
    <w:rsid w:val="71197B96"/>
    <w:rsid w:val="711A150E"/>
    <w:rsid w:val="711A5D07"/>
    <w:rsid w:val="711D6C2B"/>
    <w:rsid w:val="711D7C91"/>
    <w:rsid w:val="711E6027"/>
    <w:rsid w:val="711F491F"/>
    <w:rsid w:val="71204AE0"/>
    <w:rsid w:val="71204E51"/>
    <w:rsid w:val="71221295"/>
    <w:rsid w:val="71223B53"/>
    <w:rsid w:val="712258DF"/>
    <w:rsid w:val="71227B90"/>
    <w:rsid w:val="71235221"/>
    <w:rsid w:val="71237BFA"/>
    <w:rsid w:val="71245283"/>
    <w:rsid w:val="712712F2"/>
    <w:rsid w:val="712848DA"/>
    <w:rsid w:val="712C69B5"/>
    <w:rsid w:val="712E220C"/>
    <w:rsid w:val="71333FDD"/>
    <w:rsid w:val="71350E93"/>
    <w:rsid w:val="71397F7C"/>
    <w:rsid w:val="713B362A"/>
    <w:rsid w:val="713B3782"/>
    <w:rsid w:val="713B77D1"/>
    <w:rsid w:val="713C46C9"/>
    <w:rsid w:val="713E7C4C"/>
    <w:rsid w:val="71403CAE"/>
    <w:rsid w:val="71410ECA"/>
    <w:rsid w:val="71464D4A"/>
    <w:rsid w:val="71476FA3"/>
    <w:rsid w:val="714846E4"/>
    <w:rsid w:val="714B2526"/>
    <w:rsid w:val="714E5650"/>
    <w:rsid w:val="714F0E5F"/>
    <w:rsid w:val="71500EA2"/>
    <w:rsid w:val="71501110"/>
    <w:rsid w:val="7151768C"/>
    <w:rsid w:val="715502FA"/>
    <w:rsid w:val="7155754C"/>
    <w:rsid w:val="715628E2"/>
    <w:rsid w:val="71570934"/>
    <w:rsid w:val="71583F50"/>
    <w:rsid w:val="71585FE9"/>
    <w:rsid w:val="715C156B"/>
    <w:rsid w:val="715C3A99"/>
    <w:rsid w:val="715D0CCF"/>
    <w:rsid w:val="715D58C1"/>
    <w:rsid w:val="715E3C96"/>
    <w:rsid w:val="71605355"/>
    <w:rsid w:val="71643157"/>
    <w:rsid w:val="71653AE9"/>
    <w:rsid w:val="71654300"/>
    <w:rsid w:val="71663768"/>
    <w:rsid w:val="71665877"/>
    <w:rsid w:val="71686A7A"/>
    <w:rsid w:val="716D666D"/>
    <w:rsid w:val="716E3A27"/>
    <w:rsid w:val="71700647"/>
    <w:rsid w:val="71716913"/>
    <w:rsid w:val="717211B1"/>
    <w:rsid w:val="7172123F"/>
    <w:rsid w:val="71726DDC"/>
    <w:rsid w:val="71745587"/>
    <w:rsid w:val="717456B3"/>
    <w:rsid w:val="71752DB9"/>
    <w:rsid w:val="71761CBE"/>
    <w:rsid w:val="71796EC0"/>
    <w:rsid w:val="717B0B2F"/>
    <w:rsid w:val="717C73FE"/>
    <w:rsid w:val="717E6651"/>
    <w:rsid w:val="717F0664"/>
    <w:rsid w:val="717F0B49"/>
    <w:rsid w:val="7181654D"/>
    <w:rsid w:val="718175D8"/>
    <w:rsid w:val="71826C92"/>
    <w:rsid w:val="71854BBA"/>
    <w:rsid w:val="71865F4E"/>
    <w:rsid w:val="7186654F"/>
    <w:rsid w:val="71874954"/>
    <w:rsid w:val="7187646D"/>
    <w:rsid w:val="718C506A"/>
    <w:rsid w:val="718C6ED0"/>
    <w:rsid w:val="718C71A9"/>
    <w:rsid w:val="718E0D70"/>
    <w:rsid w:val="718F0E3A"/>
    <w:rsid w:val="718F401A"/>
    <w:rsid w:val="71903315"/>
    <w:rsid w:val="7190760A"/>
    <w:rsid w:val="7192537C"/>
    <w:rsid w:val="71930FD4"/>
    <w:rsid w:val="719518D5"/>
    <w:rsid w:val="71985C71"/>
    <w:rsid w:val="7199422E"/>
    <w:rsid w:val="719A109B"/>
    <w:rsid w:val="719A3CA3"/>
    <w:rsid w:val="719A47D3"/>
    <w:rsid w:val="719C2462"/>
    <w:rsid w:val="719E7CB3"/>
    <w:rsid w:val="71A03AC6"/>
    <w:rsid w:val="71A20198"/>
    <w:rsid w:val="71A829B9"/>
    <w:rsid w:val="71A96A1B"/>
    <w:rsid w:val="71A97D14"/>
    <w:rsid w:val="71AD34DB"/>
    <w:rsid w:val="71AF564E"/>
    <w:rsid w:val="71B05EA8"/>
    <w:rsid w:val="71B1594A"/>
    <w:rsid w:val="71B160FA"/>
    <w:rsid w:val="71B20B98"/>
    <w:rsid w:val="71B21939"/>
    <w:rsid w:val="71B27A52"/>
    <w:rsid w:val="71B42856"/>
    <w:rsid w:val="71B51599"/>
    <w:rsid w:val="71B70093"/>
    <w:rsid w:val="71B75814"/>
    <w:rsid w:val="71B8092E"/>
    <w:rsid w:val="71BA4C69"/>
    <w:rsid w:val="71BC1EA7"/>
    <w:rsid w:val="71BF4BFE"/>
    <w:rsid w:val="71BF77CB"/>
    <w:rsid w:val="71C17E5E"/>
    <w:rsid w:val="71C203D1"/>
    <w:rsid w:val="71C26F25"/>
    <w:rsid w:val="71C33B2F"/>
    <w:rsid w:val="71C35E09"/>
    <w:rsid w:val="71C46E0F"/>
    <w:rsid w:val="71C6015F"/>
    <w:rsid w:val="71C80739"/>
    <w:rsid w:val="71C82AF1"/>
    <w:rsid w:val="71C855DB"/>
    <w:rsid w:val="71C90326"/>
    <w:rsid w:val="71C937A6"/>
    <w:rsid w:val="71CA3621"/>
    <w:rsid w:val="71CB6189"/>
    <w:rsid w:val="71CF320E"/>
    <w:rsid w:val="71D067D8"/>
    <w:rsid w:val="71D16D0B"/>
    <w:rsid w:val="71D266B4"/>
    <w:rsid w:val="71D3064A"/>
    <w:rsid w:val="71D42649"/>
    <w:rsid w:val="71D63CAA"/>
    <w:rsid w:val="71D80301"/>
    <w:rsid w:val="71DA28B6"/>
    <w:rsid w:val="71E0245B"/>
    <w:rsid w:val="71E043DC"/>
    <w:rsid w:val="71E055AD"/>
    <w:rsid w:val="71E23882"/>
    <w:rsid w:val="71E24992"/>
    <w:rsid w:val="71E4607E"/>
    <w:rsid w:val="71E93E81"/>
    <w:rsid w:val="71EB2A43"/>
    <w:rsid w:val="71EB51F0"/>
    <w:rsid w:val="71EC19EF"/>
    <w:rsid w:val="71ED2E4D"/>
    <w:rsid w:val="71EF6C97"/>
    <w:rsid w:val="71F040AA"/>
    <w:rsid w:val="71F11500"/>
    <w:rsid w:val="71F16894"/>
    <w:rsid w:val="71F67C5C"/>
    <w:rsid w:val="71FC6A4B"/>
    <w:rsid w:val="71FD072F"/>
    <w:rsid w:val="71FD319A"/>
    <w:rsid w:val="71FD7806"/>
    <w:rsid w:val="71FE5BFC"/>
    <w:rsid w:val="72011F21"/>
    <w:rsid w:val="720319C1"/>
    <w:rsid w:val="720433A3"/>
    <w:rsid w:val="72050656"/>
    <w:rsid w:val="7207079C"/>
    <w:rsid w:val="72085FFA"/>
    <w:rsid w:val="720957A7"/>
    <w:rsid w:val="720C5D9B"/>
    <w:rsid w:val="720E134F"/>
    <w:rsid w:val="720E6924"/>
    <w:rsid w:val="720F1357"/>
    <w:rsid w:val="721113A5"/>
    <w:rsid w:val="721179D2"/>
    <w:rsid w:val="721240D8"/>
    <w:rsid w:val="7212580B"/>
    <w:rsid w:val="72130A02"/>
    <w:rsid w:val="72136510"/>
    <w:rsid w:val="72161D73"/>
    <w:rsid w:val="7217508A"/>
    <w:rsid w:val="721829C6"/>
    <w:rsid w:val="72187CF5"/>
    <w:rsid w:val="72191E0F"/>
    <w:rsid w:val="72192081"/>
    <w:rsid w:val="721A0D56"/>
    <w:rsid w:val="721E276A"/>
    <w:rsid w:val="7223463F"/>
    <w:rsid w:val="72270C4D"/>
    <w:rsid w:val="722809B1"/>
    <w:rsid w:val="722826A0"/>
    <w:rsid w:val="72282C0C"/>
    <w:rsid w:val="7228743C"/>
    <w:rsid w:val="7229461D"/>
    <w:rsid w:val="722A6D00"/>
    <w:rsid w:val="722D095F"/>
    <w:rsid w:val="722F7971"/>
    <w:rsid w:val="72304666"/>
    <w:rsid w:val="72322C2F"/>
    <w:rsid w:val="72331BFC"/>
    <w:rsid w:val="7234299A"/>
    <w:rsid w:val="72346896"/>
    <w:rsid w:val="72357C9C"/>
    <w:rsid w:val="723C5FFE"/>
    <w:rsid w:val="723F1805"/>
    <w:rsid w:val="724131C4"/>
    <w:rsid w:val="72462DEB"/>
    <w:rsid w:val="7246334D"/>
    <w:rsid w:val="7247131E"/>
    <w:rsid w:val="72506A54"/>
    <w:rsid w:val="725206E6"/>
    <w:rsid w:val="72533E02"/>
    <w:rsid w:val="7254699B"/>
    <w:rsid w:val="725A0BEB"/>
    <w:rsid w:val="725B10E3"/>
    <w:rsid w:val="725C38FD"/>
    <w:rsid w:val="725D7E1D"/>
    <w:rsid w:val="725E132B"/>
    <w:rsid w:val="72603A28"/>
    <w:rsid w:val="726134D5"/>
    <w:rsid w:val="7264358D"/>
    <w:rsid w:val="72645B13"/>
    <w:rsid w:val="72656A6A"/>
    <w:rsid w:val="7266170D"/>
    <w:rsid w:val="72661C82"/>
    <w:rsid w:val="726910E2"/>
    <w:rsid w:val="726B1337"/>
    <w:rsid w:val="726C735B"/>
    <w:rsid w:val="726D43F9"/>
    <w:rsid w:val="72721768"/>
    <w:rsid w:val="72731C02"/>
    <w:rsid w:val="727332F5"/>
    <w:rsid w:val="72751CA4"/>
    <w:rsid w:val="7275259C"/>
    <w:rsid w:val="72754851"/>
    <w:rsid w:val="7277600E"/>
    <w:rsid w:val="727B747C"/>
    <w:rsid w:val="727E0A9D"/>
    <w:rsid w:val="727F6363"/>
    <w:rsid w:val="72832752"/>
    <w:rsid w:val="72850016"/>
    <w:rsid w:val="72861F11"/>
    <w:rsid w:val="728739A7"/>
    <w:rsid w:val="72891E17"/>
    <w:rsid w:val="728C3663"/>
    <w:rsid w:val="728D04E8"/>
    <w:rsid w:val="728E0F8A"/>
    <w:rsid w:val="728F62B1"/>
    <w:rsid w:val="729047C6"/>
    <w:rsid w:val="729354B1"/>
    <w:rsid w:val="72944B75"/>
    <w:rsid w:val="72946FA3"/>
    <w:rsid w:val="72954145"/>
    <w:rsid w:val="7295673D"/>
    <w:rsid w:val="72957AAF"/>
    <w:rsid w:val="72957ED1"/>
    <w:rsid w:val="72975E7F"/>
    <w:rsid w:val="72992F07"/>
    <w:rsid w:val="729A2ED8"/>
    <w:rsid w:val="729B122D"/>
    <w:rsid w:val="729B3437"/>
    <w:rsid w:val="729B35EB"/>
    <w:rsid w:val="729D55E2"/>
    <w:rsid w:val="729E23A1"/>
    <w:rsid w:val="729F487D"/>
    <w:rsid w:val="72A105F3"/>
    <w:rsid w:val="72A14CFA"/>
    <w:rsid w:val="72A2235C"/>
    <w:rsid w:val="72A45054"/>
    <w:rsid w:val="72A45454"/>
    <w:rsid w:val="72A64488"/>
    <w:rsid w:val="72A750D0"/>
    <w:rsid w:val="72A82EEA"/>
    <w:rsid w:val="72A877EA"/>
    <w:rsid w:val="72A93701"/>
    <w:rsid w:val="72AD128A"/>
    <w:rsid w:val="72AF5083"/>
    <w:rsid w:val="72B21C62"/>
    <w:rsid w:val="72B24DAF"/>
    <w:rsid w:val="72B27483"/>
    <w:rsid w:val="72B32FCA"/>
    <w:rsid w:val="72B71E2C"/>
    <w:rsid w:val="72B72498"/>
    <w:rsid w:val="72B7251D"/>
    <w:rsid w:val="72B80AE7"/>
    <w:rsid w:val="72B953D5"/>
    <w:rsid w:val="72BB0FE5"/>
    <w:rsid w:val="72BB4151"/>
    <w:rsid w:val="72BC4351"/>
    <w:rsid w:val="72BD3E48"/>
    <w:rsid w:val="72BD5432"/>
    <w:rsid w:val="72BE174B"/>
    <w:rsid w:val="72BE45A1"/>
    <w:rsid w:val="72BF21A8"/>
    <w:rsid w:val="72BF344D"/>
    <w:rsid w:val="72C21EEF"/>
    <w:rsid w:val="72C228ED"/>
    <w:rsid w:val="72C33A8A"/>
    <w:rsid w:val="72C5645D"/>
    <w:rsid w:val="72C91DE1"/>
    <w:rsid w:val="72CA3143"/>
    <w:rsid w:val="72CA41E8"/>
    <w:rsid w:val="72CC6E18"/>
    <w:rsid w:val="72CD3FE4"/>
    <w:rsid w:val="72D20D93"/>
    <w:rsid w:val="72D30104"/>
    <w:rsid w:val="72D46159"/>
    <w:rsid w:val="72D50508"/>
    <w:rsid w:val="72D64617"/>
    <w:rsid w:val="72D67967"/>
    <w:rsid w:val="72D7339B"/>
    <w:rsid w:val="72D74FB9"/>
    <w:rsid w:val="72D944F5"/>
    <w:rsid w:val="72DD6289"/>
    <w:rsid w:val="72E05CE2"/>
    <w:rsid w:val="72E0616E"/>
    <w:rsid w:val="72E13ECC"/>
    <w:rsid w:val="72E24C5A"/>
    <w:rsid w:val="72E274AD"/>
    <w:rsid w:val="72E31EEB"/>
    <w:rsid w:val="72E3356E"/>
    <w:rsid w:val="72E6614B"/>
    <w:rsid w:val="72E82D49"/>
    <w:rsid w:val="72E86E07"/>
    <w:rsid w:val="72E94DD8"/>
    <w:rsid w:val="72EA40A7"/>
    <w:rsid w:val="72EB0607"/>
    <w:rsid w:val="72EC014D"/>
    <w:rsid w:val="72EC5495"/>
    <w:rsid w:val="72EE4F83"/>
    <w:rsid w:val="72F05613"/>
    <w:rsid w:val="72F116CA"/>
    <w:rsid w:val="72F23448"/>
    <w:rsid w:val="72F33E37"/>
    <w:rsid w:val="72F358A2"/>
    <w:rsid w:val="72F4348D"/>
    <w:rsid w:val="72F914C9"/>
    <w:rsid w:val="72FA6D7D"/>
    <w:rsid w:val="72FB6AC1"/>
    <w:rsid w:val="72FD4CF8"/>
    <w:rsid w:val="72FD71BF"/>
    <w:rsid w:val="72FE7A0A"/>
    <w:rsid w:val="72FF4DB8"/>
    <w:rsid w:val="72FF6E7B"/>
    <w:rsid w:val="73017151"/>
    <w:rsid w:val="730208BD"/>
    <w:rsid w:val="7302607D"/>
    <w:rsid w:val="73026782"/>
    <w:rsid w:val="73036901"/>
    <w:rsid w:val="73073653"/>
    <w:rsid w:val="730876A3"/>
    <w:rsid w:val="730A52A7"/>
    <w:rsid w:val="730B45DD"/>
    <w:rsid w:val="730C2C2B"/>
    <w:rsid w:val="730C323F"/>
    <w:rsid w:val="730C7537"/>
    <w:rsid w:val="730D1456"/>
    <w:rsid w:val="730E6DDE"/>
    <w:rsid w:val="730E7B8F"/>
    <w:rsid w:val="730F00E6"/>
    <w:rsid w:val="7310752E"/>
    <w:rsid w:val="731221ED"/>
    <w:rsid w:val="73132559"/>
    <w:rsid w:val="73135B62"/>
    <w:rsid w:val="731724D7"/>
    <w:rsid w:val="73175549"/>
    <w:rsid w:val="7319086A"/>
    <w:rsid w:val="731A499A"/>
    <w:rsid w:val="731D7F9D"/>
    <w:rsid w:val="731E64A5"/>
    <w:rsid w:val="73201D67"/>
    <w:rsid w:val="73260187"/>
    <w:rsid w:val="73280C9B"/>
    <w:rsid w:val="732843C4"/>
    <w:rsid w:val="732944BF"/>
    <w:rsid w:val="732C69F3"/>
    <w:rsid w:val="732F03CF"/>
    <w:rsid w:val="732F580A"/>
    <w:rsid w:val="73324956"/>
    <w:rsid w:val="73341275"/>
    <w:rsid w:val="7334525A"/>
    <w:rsid w:val="73352479"/>
    <w:rsid w:val="73357149"/>
    <w:rsid w:val="73363B9E"/>
    <w:rsid w:val="73366BD9"/>
    <w:rsid w:val="73366C21"/>
    <w:rsid w:val="733670CE"/>
    <w:rsid w:val="73374F33"/>
    <w:rsid w:val="73396479"/>
    <w:rsid w:val="733C4467"/>
    <w:rsid w:val="733C4CCB"/>
    <w:rsid w:val="73401158"/>
    <w:rsid w:val="7340316D"/>
    <w:rsid w:val="73444F2D"/>
    <w:rsid w:val="734532D8"/>
    <w:rsid w:val="734977C0"/>
    <w:rsid w:val="734B0EC2"/>
    <w:rsid w:val="734E190D"/>
    <w:rsid w:val="734F03F6"/>
    <w:rsid w:val="734F6BCC"/>
    <w:rsid w:val="73523B74"/>
    <w:rsid w:val="73523CA0"/>
    <w:rsid w:val="7355165A"/>
    <w:rsid w:val="735813A1"/>
    <w:rsid w:val="735977CD"/>
    <w:rsid w:val="735A6B5C"/>
    <w:rsid w:val="735B000E"/>
    <w:rsid w:val="735C7851"/>
    <w:rsid w:val="735D59A7"/>
    <w:rsid w:val="735D63BE"/>
    <w:rsid w:val="735F4590"/>
    <w:rsid w:val="735F55E5"/>
    <w:rsid w:val="736142C6"/>
    <w:rsid w:val="736230FB"/>
    <w:rsid w:val="73626ADE"/>
    <w:rsid w:val="7365454D"/>
    <w:rsid w:val="73695467"/>
    <w:rsid w:val="736B6537"/>
    <w:rsid w:val="736C10B2"/>
    <w:rsid w:val="736C1608"/>
    <w:rsid w:val="736C447D"/>
    <w:rsid w:val="736D03A1"/>
    <w:rsid w:val="736D6F8D"/>
    <w:rsid w:val="736E0A3D"/>
    <w:rsid w:val="7370464B"/>
    <w:rsid w:val="73715902"/>
    <w:rsid w:val="73732148"/>
    <w:rsid w:val="7374760B"/>
    <w:rsid w:val="7377293F"/>
    <w:rsid w:val="73795206"/>
    <w:rsid w:val="737A7F70"/>
    <w:rsid w:val="737D15A9"/>
    <w:rsid w:val="738209CB"/>
    <w:rsid w:val="738507DD"/>
    <w:rsid w:val="73850E51"/>
    <w:rsid w:val="73862C24"/>
    <w:rsid w:val="738637A4"/>
    <w:rsid w:val="73864F30"/>
    <w:rsid w:val="73897467"/>
    <w:rsid w:val="738A3990"/>
    <w:rsid w:val="738A5CFC"/>
    <w:rsid w:val="738B13C3"/>
    <w:rsid w:val="738C05B3"/>
    <w:rsid w:val="738E5652"/>
    <w:rsid w:val="738F5962"/>
    <w:rsid w:val="73906B3C"/>
    <w:rsid w:val="73935D0C"/>
    <w:rsid w:val="73947CBA"/>
    <w:rsid w:val="73965009"/>
    <w:rsid w:val="73967B62"/>
    <w:rsid w:val="73981060"/>
    <w:rsid w:val="7399729B"/>
    <w:rsid w:val="739A4295"/>
    <w:rsid w:val="739C6F4B"/>
    <w:rsid w:val="73A437EC"/>
    <w:rsid w:val="73A43965"/>
    <w:rsid w:val="73A82F64"/>
    <w:rsid w:val="73A84B7D"/>
    <w:rsid w:val="73AB566D"/>
    <w:rsid w:val="73AC423D"/>
    <w:rsid w:val="73B01EAD"/>
    <w:rsid w:val="73B07519"/>
    <w:rsid w:val="73B37FAC"/>
    <w:rsid w:val="73B409F5"/>
    <w:rsid w:val="73B43DEB"/>
    <w:rsid w:val="73B4519F"/>
    <w:rsid w:val="73B550E1"/>
    <w:rsid w:val="73B60E44"/>
    <w:rsid w:val="73B61BB7"/>
    <w:rsid w:val="73B6689A"/>
    <w:rsid w:val="73B83CCA"/>
    <w:rsid w:val="73B84199"/>
    <w:rsid w:val="73B94861"/>
    <w:rsid w:val="73B957CF"/>
    <w:rsid w:val="73B958BA"/>
    <w:rsid w:val="73BD2B3E"/>
    <w:rsid w:val="73BE3B12"/>
    <w:rsid w:val="73BE4790"/>
    <w:rsid w:val="73C04A4F"/>
    <w:rsid w:val="73C064A9"/>
    <w:rsid w:val="73C20590"/>
    <w:rsid w:val="73C25775"/>
    <w:rsid w:val="73C27825"/>
    <w:rsid w:val="73C54462"/>
    <w:rsid w:val="73C616E0"/>
    <w:rsid w:val="73C85D6A"/>
    <w:rsid w:val="73CA1342"/>
    <w:rsid w:val="73CB1040"/>
    <w:rsid w:val="73CB45F5"/>
    <w:rsid w:val="73CE3087"/>
    <w:rsid w:val="73CE60BA"/>
    <w:rsid w:val="73CF1536"/>
    <w:rsid w:val="73D041B5"/>
    <w:rsid w:val="73D06863"/>
    <w:rsid w:val="73D10A3B"/>
    <w:rsid w:val="73D13887"/>
    <w:rsid w:val="73D3014C"/>
    <w:rsid w:val="73D35CFB"/>
    <w:rsid w:val="73D46A5D"/>
    <w:rsid w:val="73D53926"/>
    <w:rsid w:val="73D66CC0"/>
    <w:rsid w:val="73D83298"/>
    <w:rsid w:val="73D95A9D"/>
    <w:rsid w:val="73DB4A12"/>
    <w:rsid w:val="73DB7BE6"/>
    <w:rsid w:val="73DC5952"/>
    <w:rsid w:val="73DC73A8"/>
    <w:rsid w:val="73DD0D02"/>
    <w:rsid w:val="73DD64B3"/>
    <w:rsid w:val="73E03A0B"/>
    <w:rsid w:val="73E46F65"/>
    <w:rsid w:val="73E6428F"/>
    <w:rsid w:val="73E76D18"/>
    <w:rsid w:val="73E802BE"/>
    <w:rsid w:val="73EB6240"/>
    <w:rsid w:val="73EB6341"/>
    <w:rsid w:val="73EC32E8"/>
    <w:rsid w:val="73EC6A0E"/>
    <w:rsid w:val="73ED0FF4"/>
    <w:rsid w:val="73ED1946"/>
    <w:rsid w:val="73F43193"/>
    <w:rsid w:val="73F66978"/>
    <w:rsid w:val="73F67CCC"/>
    <w:rsid w:val="73F84888"/>
    <w:rsid w:val="73F90E89"/>
    <w:rsid w:val="73FA7505"/>
    <w:rsid w:val="73FA7812"/>
    <w:rsid w:val="73FF2011"/>
    <w:rsid w:val="73FF7696"/>
    <w:rsid w:val="74025D86"/>
    <w:rsid w:val="74027A67"/>
    <w:rsid w:val="74027EF1"/>
    <w:rsid w:val="74030085"/>
    <w:rsid w:val="740326D4"/>
    <w:rsid w:val="74047EB4"/>
    <w:rsid w:val="74054725"/>
    <w:rsid w:val="7405736E"/>
    <w:rsid w:val="740809E1"/>
    <w:rsid w:val="7408605D"/>
    <w:rsid w:val="7409399F"/>
    <w:rsid w:val="740B08D6"/>
    <w:rsid w:val="740B65DA"/>
    <w:rsid w:val="74103395"/>
    <w:rsid w:val="74130327"/>
    <w:rsid w:val="74147973"/>
    <w:rsid w:val="74154CA1"/>
    <w:rsid w:val="7417003E"/>
    <w:rsid w:val="74191D39"/>
    <w:rsid w:val="74196EEA"/>
    <w:rsid w:val="741A1571"/>
    <w:rsid w:val="741B5280"/>
    <w:rsid w:val="741D266A"/>
    <w:rsid w:val="741E4CB7"/>
    <w:rsid w:val="74277955"/>
    <w:rsid w:val="742A64BC"/>
    <w:rsid w:val="742E0DF0"/>
    <w:rsid w:val="743000C5"/>
    <w:rsid w:val="74317DDB"/>
    <w:rsid w:val="74323784"/>
    <w:rsid w:val="743333F6"/>
    <w:rsid w:val="743502DD"/>
    <w:rsid w:val="74371239"/>
    <w:rsid w:val="7437313A"/>
    <w:rsid w:val="7438433E"/>
    <w:rsid w:val="74397871"/>
    <w:rsid w:val="743A237D"/>
    <w:rsid w:val="743C6CF3"/>
    <w:rsid w:val="744005C9"/>
    <w:rsid w:val="744010F2"/>
    <w:rsid w:val="7443577A"/>
    <w:rsid w:val="74436017"/>
    <w:rsid w:val="74437774"/>
    <w:rsid w:val="74440DCA"/>
    <w:rsid w:val="744A1385"/>
    <w:rsid w:val="744B76A8"/>
    <w:rsid w:val="744F674A"/>
    <w:rsid w:val="74502AC8"/>
    <w:rsid w:val="74535FB7"/>
    <w:rsid w:val="74536800"/>
    <w:rsid w:val="74545198"/>
    <w:rsid w:val="74547EF6"/>
    <w:rsid w:val="74550EB2"/>
    <w:rsid w:val="74587E1A"/>
    <w:rsid w:val="745A1D2F"/>
    <w:rsid w:val="745C3231"/>
    <w:rsid w:val="745C651A"/>
    <w:rsid w:val="745C6CB6"/>
    <w:rsid w:val="745D394F"/>
    <w:rsid w:val="745E5D53"/>
    <w:rsid w:val="745F35C9"/>
    <w:rsid w:val="74627D1D"/>
    <w:rsid w:val="74656D35"/>
    <w:rsid w:val="74663C27"/>
    <w:rsid w:val="74690C62"/>
    <w:rsid w:val="7469674D"/>
    <w:rsid w:val="746D2ADE"/>
    <w:rsid w:val="746E2D9C"/>
    <w:rsid w:val="7473049C"/>
    <w:rsid w:val="74737DED"/>
    <w:rsid w:val="74756207"/>
    <w:rsid w:val="74760A8F"/>
    <w:rsid w:val="74765768"/>
    <w:rsid w:val="747862DB"/>
    <w:rsid w:val="747A13C0"/>
    <w:rsid w:val="747C2991"/>
    <w:rsid w:val="747C7FFB"/>
    <w:rsid w:val="747D242A"/>
    <w:rsid w:val="747D3D85"/>
    <w:rsid w:val="747E1F28"/>
    <w:rsid w:val="747E2553"/>
    <w:rsid w:val="748141B9"/>
    <w:rsid w:val="74864BBC"/>
    <w:rsid w:val="74876164"/>
    <w:rsid w:val="748848B7"/>
    <w:rsid w:val="74890730"/>
    <w:rsid w:val="748B3E4E"/>
    <w:rsid w:val="748C21B6"/>
    <w:rsid w:val="748D6984"/>
    <w:rsid w:val="748F1A16"/>
    <w:rsid w:val="74900D48"/>
    <w:rsid w:val="74933568"/>
    <w:rsid w:val="74936849"/>
    <w:rsid w:val="74981D39"/>
    <w:rsid w:val="7499102E"/>
    <w:rsid w:val="749B34B2"/>
    <w:rsid w:val="749C7998"/>
    <w:rsid w:val="749E6964"/>
    <w:rsid w:val="749F0AD7"/>
    <w:rsid w:val="749F7F5C"/>
    <w:rsid w:val="74A20913"/>
    <w:rsid w:val="74A34322"/>
    <w:rsid w:val="74A84874"/>
    <w:rsid w:val="74A85057"/>
    <w:rsid w:val="74A85962"/>
    <w:rsid w:val="74AC7EBF"/>
    <w:rsid w:val="74AF3F40"/>
    <w:rsid w:val="74B33198"/>
    <w:rsid w:val="74B4401B"/>
    <w:rsid w:val="74B53D55"/>
    <w:rsid w:val="74B556BA"/>
    <w:rsid w:val="74B72B9F"/>
    <w:rsid w:val="74B81533"/>
    <w:rsid w:val="74B86219"/>
    <w:rsid w:val="74B978D6"/>
    <w:rsid w:val="74BA24DE"/>
    <w:rsid w:val="74BA4AC0"/>
    <w:rsid w:val="74BB1BEA"/>
    <w:rsid w:val="74BC3180"/>
    <w:rsid w:val="74BD0964"/>
    <w:rsid w:val="74BD243E"/>
    <w:rsid w:val="74BE2400"/>
    <w:rsid w:val="74C025C2"/>
    <w:rsid w:val="74C13448"/>
    <w:rsid w:val="74C23B69"/>
    <w:rsid w:val="74C277ED"/>
    <w:rsid w:val="74C3146E"/>
    <w:rsid w:val="74C40065"/>
    <w:rsid w:val="74C432ED"/>
    <w:rsid w:val="74C43794"/>
    <w:rsid w:val="74C7314C"/>
    <w:rsid w:val="74C77CB1"/>
    <w:rsid w:val="74C81DD3"/>
    <w:rsid w:val="74C872C8"/>
    <w:rsid w:val="74C927D0"/>
    <w:rsid w:val="74C966C9"/>
    <w:rsid w:val="74CD164E"/>
    <w:rsid w:val="74CE747A"/>
    <w:rsid w:val="74DB10F1"/>
    <w:rsid w:val="74DE64D8"/>
    <w:rsid w:val="74E36094"/>
    <w:rsid w:val="74E57D95"/>
    <w:rsid w:val="74E6009A"/>
    <w:rsid w:val="74E773CC"/>
    <w:rsid w:val="74E85B1E"/>
    <w:rsid w:val="74E965F9"/>
    <w:rsid w:val="74EA44D0"/>
    <w:rsid w:val="74EA7230"/>
    <w:rsid w:val="74EB5710"/>
    <w:rsid w:val="74EC1FD5"/>
    <w:rsid w:val="74EC7B65"/>
    <w:rsid w:val="74EE2C21"/>
    <w:rsid w:val="74EF3F36"/>
    <w:rsid w:val="74F2200B"/>
    <w:rsid w:val="74F34C8D"/>
    <w:rsid w:val="74F42773"/>
    <w:rsid w:val="74FA5BB0"/>
    <w:rsid w:val="74FC2C3F"/>
    <w:rsid w:val="75010232"/>
    <w:rsid w:val="75014BEA"/>
    <w:rsid w:val="75032724"/>
    <w:rsid w:val="7504253A"/>
    <w:rsid w:val="750468B9"/>
    <w:rsid w:val="75060974"/>
    <w:rsid w:val="750672B4"/>
    <w:rsid w:val="7507058B"/>
    <w:rsid w:val="75087436"/>
    <w:rsid w:val="75091DD4"/>
    <w:rsid w:val="75093223"/>
    <w:rsid w:val="750C52BC"/>
    <w:rsid w:val="750C6295"/>
    <w:rsid w:val="750D2512"/>
    <w:rsid w:val="750D4FA0"/>
    <w:rsid w:val="750E5A60"/>
    <w:rsid w:val="750E618E"/>
    <w:rsid w:val="750F7332"/>
    <w:rsid w:val="75115531"/>
    <w:rsid w:val="75117565"/>
    <w:rsid w:val="75147B2C"/>
    <w:rsid w:val="75171F04"/>
    <w:rsid w:val="75172DB2"/>
    <w:rsid w:val="75172F8A"/>
    <w:rsid w:val="75173649"/>
    <w:rsid w:val="751C4438"/>
    <w:rsid w:val="751E0E3F"/>
    <w:rsid w:val="751E29D3"/>
    <w:rsid w:val="752025AD"/>
    <w:rsid w:val="75207B39"/>
    <w:rsid w:val="7522385F"/>
    <w:rsid w:val="75250161"/>
    <w:rsid w:val="752E339B"/>
    <w:rsid w:val="752F0109"/>
    <w:rsid w:val="75300B53"/>
    <w:rsid w:val="75314353"/>
    <w:rsid w:val="753172C8"/>
    <w:rsid w:val="75345C1C"/>
    <w:rsid w:val="753466A4"/>
    <w:rsid w:val="75350EF0"/>
    <w:rsid w:val="75355E74"/>
    <w:rsid w:val="75381081"/>
    <w:rsid w:val="75393A55"/>
    <w:rsid w:val="753A1D9A"/>
    <w:rsid w:val="753A72B7"/>
    <w:rsid w:val="753B020B"/>
    <w:rsid w:val="753B6BD3"/>
    <w:rsid w:val="753B7339"/>
    <w:rsid w:val="753D78B2"/>
    <w:rsid w:val="753F2C25"/>
    <w:rsid w:val="753F46F6"/>
    <w:rsid w:val="7540187F"/>
    <w:rsid w:val="754208F4"/>
    <w:rsid w:val="75456E8D"/>
    <w:rsid w:val="754679DE"/>
    <w:rsid w:val="75471F11"/>
    <w:rsid w:val="754724E9"/>
    <w:rsid w:val="75474079"/>
    <w:rsid w:val="75480802"/>
    <w:rsid w:val="754859DE"/>
    <w:rsid w:val="7549220A"/>
    <w:rsid w:val="754B4FC3"/>
    <w:rsid w:val="754E77CD"/>
    <w:rsid w:val="754F1E1E"/>
    <w:rsid w:val="754F3282"/>
    <w:rsid w:val="755032EF"/>
    <w:rsid w:val="7552025E"/>
    <w:rsid w:val="75523515"/>
    <w:rsid w:val="75523B14"/>
    <w:rsid w:val="755407AE"/>
    <w:rsid w:val="75540C6D"/>
    <w:rsid w:val="7554661C"/>
    <w:rsid w:val="75581FF1"/>
    <w:rsid w:val="75592EEF"/>
    <w:rsid w:val="755C1573"/>
    <w:rsid w:val="755C22CE"/>
    <w:rsid w:val="755C5D89"/>
    <w:rsid w:val="755E1E41"/>
    <w:rsid w:val="756017D1"/>
    <w:rsid w:val="75616B5A"/>
    <w:rsid w:val="75616CF4"/>
    <w:rsid w:val="756171FF"/>
    <w:rsid w:val="756341CB"/>
    <w:rsid w:val="7563519E"/>
    <w:rsid w:val="7566215D"/>
    <w:rsid w:val="75673B6B"/>
    <w:rsid w:val="75673DD2"/>
    <w:rsid w:val="756A3F89"/>
    <w:rsid w:val="756B0719"/>
    <w:rsid w:val="756D6D41"/>
    <w:rsid w:val="756E015F"/>
    <w:rsid w:val="756E5476"/>
    <w:rsid w:val="75700AD5"/>
    <w:rsid w:val="75712807"/>
    <w:rsid w:val="7571346B"/>
    <w:rsid w:val="75741B60"/>
    <w:rsid w:val="75746084"/>
    <w:rsid w:val="75752D26"/>
    <w:rsid w:val="7577317F"/>
    <w:rsid w:val="75783C18"/>
    <w:rsid w:val="75791017"/>
    <w:rsid w:val="75792AA0"/>
    <w:rsid w:val="75795DB4"/>
    <w:rsid w:val="757C2611"/>
    <w:rsid w:val="757E6D72"/>
    <w:rsid w:val="758134F0"/>
    <w:rsid w:val="75820D6E"/>
    <w:rsid w:val="758509B8"/>
    <w:rsid w:val="758708DC"/>
    <w:rsid w:val="758802E9"/>
    <w:rsid w:val="758A5BB1"/>
    <w:rsid w:val="758C6B96"/>
    <w:rsid w:val="758E153B"/>
    <w:rsid w:val="7591381B"/>
    <w:rsid w:val="75954E9D"/>
    <w:rsid w:val="75982E14"/>
    <w:rsid w:val="75984E78"/>
    <w:rsid w:val="759A2DFC"/>
    <w:rsid w:val="75A24A18"/>
    <w:rsid w:val="75A26C23"/>
    <w:rsid w:val="75A5214C"/>
    <w:rsid w:val="75A543DA"/>
    <w:rsid w:val="75A6109D"/>
    <w:rsid w:val="75A8138A"/>
    <w:rsid w:val="75AA2578"/>
    <w:rsid w:val="75AD73E4"/>
    <w:rsid w:val="75AF3E9E"/>
    <w:rsid w:val="75AF5CB0"/>
    <w:rsid w:val="75B028D2"/>
    <w:rsid w:val="75B07955"/>
    <w:rsid w:val="75B4633B"/>
    <w:rsid w:val="75B535DC"/>
    <w:rsid w:val="75B56FB4"/>
    <w:rsid w:val="75B74769"/>
    <w:rsid w:val="75BB0EB4"/>
    <w:rsid w:val="75BB318A"/>
    <w:rsid w:val="75BF0EC1"/>
    <w:rsid w:val="75C03FAF"/>
    <w:rsid w:val="75C344AF"/>
    <w:rsid w:val="75C4081B"/>
    <w:rsid w:val="75C60EE5"/>
    <w:rsid w:val="75C72671"/>
    <w:rsid w:val="75C76B0F"/>
    <w:rsid w:val="75C87BAA"/>
    <w:rsid w:val="75CA36B8"/>
    <w:rsid w:val="75CB1AFC"/>
    <w:rsid w:val="75CE5887"/>
    <w:rsid w:val="75D06D07"/>
    <w:rsid w:val="75D165BE"/>
    <w:rsid w:val="75D23A92"/>
    <w:rsid w:val="75D2744E"/>
    <w:rsid w:val="75D30B4B"/>
    <w:rsid w:val="75D70C0E"/>
    <w:rsid w:val="75D71E4B"/>
    <w:rsid w:val="75D76F5B"/>
    <w:rsid w:val="75D805FE"/>
    <w:rsid w:val="75D838D9"/>
    <w:rsid w:val="75D854B6"/>
    <w:rsid w:val="75DA353B"/>
    <w:rsid w:val="75DD3FFE"/>
    <w:rsid w:val="75DD64FF"/>
    <w:rsid w:val="75E94BE9"/>
    <w:rsid w:val="75EB4710"/>
    <w:rsid w:val="75EE0CFE"/>
    <w:rsid w:val="75F32DC3"/>
    <w:rsid w:val="75F41E81"/>
    <w:rsid w:val="75F65E70"/>
    <w:rsid w:val="75F87026"/>
    <w:rsid w:val="75F91142"/>
    <w:rsid w:val="75F926DB"/>
    <w:rsid w:val="75F97C60"/>
    <w:rsid w:val="75FA1AC6"/>
    <w:rsid w:val="75FE2C6C"/>
    <w:rsid w:val="760124A6"/>
    <w:rsid w:val="76013406"/>
    <w:rsid w:val="76033D52"/>
    <w:rsid w:val="76050AF3"/>
    <w:rsid w:val="76051324"/>
    <w:rsid w:val="76060E38"/>
    <w:rsid w:val="760703EA"/>
    <w:rsid w:val="76070752"/>
    <w:rsid w:val="76072A97"/>
    <w:rsid w:val="76085681"/>
    <w:rsid w:val="760C5E46"/>
    <w:rsid w:val="760F7A12"/>
    <w:rsid w:val="76101243"/>
    <w:rsid w:val="7611654B"/>
    <w:rsid w:val="76121923"/>
    <w:rsid w:val="76122A6B"/>
    <w:rsid w:val="76137402"/>
    <w:rsid w:val="76150BE9"/>
    <w:rsid w:val="76151768"/>
    <w:rsid w:val="761A4607"/>
    <w:rsid w:val="761C4E9E"/>
    <w:rsid w:val="761E0D3A"/>
    <w:rsid w:val="761E7AD7"/>
    <w:rsid w:val="76224A44"/>
    <w:rsid w:val="76251E48"/>
    <w:rsid w:val="762652AE"/>
    <w:rsid w:val="762A1765"/>
    <w:rsid w:val="762A7FCA"/>
    <w:rsid w:val="762C45A5"/>
    <w:rsid w:val="762C7CD9"/>
    <w:rsid w:val="762E330D"/>
    <w:rsid w:val="762F3088"/>
    <w:rsid w:val="762F6AAD"/>
    <w:rsid w:val="76301CD7"/>
    <w:rsid w:val="76317699"/>
    <w:rsid w:val="76332F8A"/>
    <w:rsid w:val="763338AD"/>
    <w:rsid w:val="76342B51"/>
    <w:rsid w:val="76347CC2"/>
    <w:rsid w:val="76357682"/>
    <w:rsid w:val="7636060F"/>
    <w:rsid w:val="763637C3"/>
    <w:rsid w:val="7637660C"/>
    <w:rsid w:val="76386B5A"/>
    <w:rsid w:val="763A7297"/>
    <w:rsid w:val="763C0D09"/>
    <w:rsid w:val="763C3FC5"/>
    <w:rsid w:val="763C6561"/>
    <w:rsid w:val="763C7F57"/>
    <w:rsid w:val="763F0CAB"/>
    <w:rsid w:val="763F6CF3"/>
    <w:rsid w:val="76411B33"/>
    <w:rsid w:val="764366D1"/>
    <w:rsid w:val="76452E50"/>
    <w:rsid w:val="76467C76"/>
    <w:rsid w:val="76481439"/>
    <w:rsid w:val="76481B46"/>
    <w:rsid w:val="764A4318"/>
    <w:rsid w:val="764B30FD"/>
    <w:rsid w:val="764E0CB5"/>
    <w:rsid w:val="764E67C8"/>
    <w:rsid w:val="764F7AA9"/>
    <w:rsid w:val="765065E6"/>
    <w:rsid w:val="76510A62"/>
    <w:rsid w:val="76521184"/>
    <w:rsid w:val="76544DB6"/>
    <w:rsid w:val="76553D9F"/>
    <w:rsid w:val="76560561"/>
    <w:rsid w:val="7656161A"/>
    <w:rsid w:val="76581C58"/>
    <w:rsid w:val="76583096"/>
    <w:rsid w:val="765B3C9C"/>
    <w:rsid w:val="765D3447"/>
    <w:rsid w:val="765F02D8"/>
    <w:rsid w:val="76600F85"/>
    <w:rsid w:val="76603997"/>
    <w:rsid w:val="76612541"/>
    <w:rsid w:val="76616EE0"/>
    <w:rsid w:val="76666340"/>
    <w:rsid w:val="76674A8D"/>
    <w:rsid w:val="766775C4"/>
    <w:rsid w:val="7667799D"/>
    <w:rsid w:val="76690EEA"/>
    <w:rsid w:val="7669205B"/>
    <w:rsid w:val="76696A52"/>
    <w:rsid w:val="766A4B3B"/>
    <w:rsid w:val="766C6219"/>
    <w:rsid w:val="766D4C29"/>
    <w:rsid w:val="766E73C8"/>
    <w:rsid w:val="766E7B53"/>
    <w:rsid w:val="767025E9"/>
    <w:rsid w:val="76712483"/>
    <w:rsid w:val="76743ADA"/>
    <w:rsid w:val="76770052"/>
    <w:rsid w:val="76794129"/>
    <w:rsid w:val="767A5F0B"/>
    <w:rsid w:val="767B7FD0"/>
    <w:rsid w:val="767C24EF"/>
    <w:rsid w:val="767C6C72"/>
    <w:rsid w:val="76816A66"/>
    <w:rsid w:val="7682101F"/>
    <w:rsid w:val="76831728"/>
    <w:rsid w:val="76835248"/>
    <w:rsid w:val="76847A1C"/>
    <w:rsid w:val="76847E35"/>
    <w:rsid w:val="76865169"/>
    <w:rsid w:val="76866F47"/>
    <w:rsid w:val="7688466D"/>
    <w:rsid w:val="76916822"/>
    <w:rsid w:val="769274D7"/>
    <w:rsid w:val="76927F14"/>
    <w:rsid w:val="76950448"/>
    <w:rsid w:val="769534C2"/>
    <w:rsid w:val="76975326"/>
    <w:rsid w:val="7698052E"/>
    <w:rsid w:val="7698070B"/>
    <w:rsid w:val="76983679"/>
    <w:rsid w:val="769E1529"/>
    <w:rsid w:val="769F0B9E"/>
    <w:rsid w:val="769F56CA"/>
    <w:rsid w:val="76A26A34"/>
    <w:rsid w:val="76A30A2F"/>
    <w:rsid w:val="76A31264"/>
    <w:rsid w:val="76A321DC"/>
    <w:rsid w:val="76A51594"/>
    <w:rsid w:val="76A579A8"/>
    <w:rsid w:val="76A700ED"/>
    <w:rsid w:val="76A82915"/>
    <w:rsid w:val="76A863DD"/>
    <w:rsid w:val="76AB7DAD"/>
    <w:rsid w:val="76AC6534"/>
    <w:rsid w:val="76AD5F0F"/>
    <w:rsid w:val="76AF056B"/>
    <w:rsid w:val="76AF3396"/>
    <w:rsid w:val="76AF3E56"/>
    <w:rsid w:val="76AF515F"/>
    <w:rsid w:val="76B102AD"/>
    <w:rsid w:val="76B30FEC"/>
    <w:rsid w:val="76B33326"/>
    <w:rsid w:val="76B40FAB"/>
    <w:rsid w:val="76B60268"/>
    <w:rsid w:val="76B8758B"/>
    <w:rsid w:val="76B90E50"/>
    <w:rsid w:val="76BA09C0"/>
    <w:rsid w:val="76BC7B88"/>
    <w:rsid w:val="76BD046A"/>
    <w:rsid w:val="76BD4BDE"/>
    <w:rsid w:val="76BE0DC7"/>
    <w:rsid w:val="76BF1385"/>
    <w:rsid w:val="76C12B87"/>
    <w:rsid w:val="76C85FFB"/>
    <w:rsid w:val="76C86F5D"/>
    <w:rsid w:val="76C939D0"/>
    <w:rsid w:val="76C9680D"/>
    <w:rsid w:val="76C97F22"/>
    <w:rsid w:val="76CA1666"/>
    <w:rsid w:val="76CB2AD4"/>
    <w:rsid w:val="76CE112B"/>
    <w:rsid w:val="76CE3F02"/>
    <w:rsid w:val="76CE6781"/>
    <w:rsid w:val="76D00DFF"/>
    <w:rsid w:val="76D03B2B"/>
    <w:rsid w:val="76D31E23"/>
    <w:rsid w:val="76D3655B"/>
    <w:rsid w:val="76D4724F"/>
    <w:rsid w:val="76D63A76"/>
    <w:rsid w:val="76D66BED"/>
    <w:rsid w:val="76D81ACA"/>
    <w:rsid w:val="76D836AE"/>
    <w:rsid w:val="76D8688F"/>
    <w:rsid w:val="76DB0C58"/>
    <w:rsid w:val="76DC0B43"/>
    <w:rsid w:val="76DD57D3"/>
    <w:rsid w:val="76DE327D"/>
    <w:rsid w:val="76DE4133"/>
    <w:rsid w:val="76DF4B73"/>
    <w:rsid w:val="76E41E10"/>
    <w:rsid w:val="76E52D33"/>
    <w:rsid w:val="76E558F4"/>
    <w:rsid w:val="76E60073"/>
    <w:rsid w:val="76E72AB9"/>
    <w:rsid w:val="76E762B0"/>
    <w:rsid w:val="76E76A2F"/>
    <w:rsid w:val="76EC15FE"/>
    <w:rsid w:val="76ED7F17"/>
    <w:rsid w:val="76EE2615"/>
    <w:rsid w:val="76EE45B4"/>
    <w:rsid w:val="76EF4776"/>
    <w:rsid w:val="76F0193D"/>
    <w:rsid w:val="76F01AF2"/>
    <w:rsid w:val="76F23BC0"/>
    <w:rsid w:val="76FA2B14"/>
    <w:rsid w:val="76FB03FD"/>
    <w:rsid w:val="76FE144C"/>
    <w:rsid w:val="770178A5"/>
    <w:rsid w:val="77080150"/>
    <w:rsid w:val="7709416E"/>
    <w:rsid w:val="770F55DC"/>
    <w:rsid w:val="7710302F"/>
    <w:rsid w:val="77112CEF"/>
    <w:rsid w:val="771323DF"/>
    <w:rsid w:val="771406E2"/>
    <w:rsid w:val="77150252"/>
    <w:rsid w:val="77151949"/>
    <w:rsid w:val="771546D1"/>
    <w:rsid w:val="77165D56"/>
    <w:rsid w:val="77167600"/>
    <w:rsid w:val="7717058D"/>
    <w:rsid w:val="77176E1E"/>
    <w:rsid w:val="77186FF6"/>
    <w:rsid w:val="77195C8A"/>
    <w:rsid w:val="771B43D5"/>
    <w:rsid w:val="771C0387"/>
    <w:rsid w:val="771E44A7"/>
    <w:rsid w:val="772265E1"/>
    <w:rsid w:val="772434AC"/>
    <w:rsid w:val="7724715B"/>
    <w:rsid w:val="77254716"/>
    <w:rsid w:val="772770E1"/>
    <w:rsid w:val="772774E5"/>
    <w:rsid w:val="77296489"/>
    <w:rsid w:val="772A2AD8"/>
    <w:rsid w:val="772C419F"/>
    <w:rsid w:val="772C7CD6"/>
    <w:rsid w:val="772D3E69"/>
    <w:rsid w:val="772D455A"/>
    <w:rsid w:val="772D719C"/>
    <w:rsid w:val="772F034B"/>
    <w:rsid w:val="77315D1F"/>
    <w:rsid w:val="773216B3"/>
    <w:rsid w:val="77330DB5"/>
    <w:rsid w:val="773423BD"/>
    <w:rsid w:val="7734240F"/>
    <w:rsid w:val="7735145A"/>
    <w:rsid w:val="77377DD7"/>
    <w:rsid w:val="77393370"/>
    <w:rsid w:val="773F4406"/>
    <w:rsid w:val="774003C2"/>
    <w:rsid w:val="774008F5"/>
    <w:rsid w:val="77400D1B"/>
    <w:rsid w:val="77401F49"/>
    <w:rsid w:val="7740764A"/>
    <w:rsid w:val="77420A02"/>
    <w:rsid w:val="7742757D"/>
    <w:rsid w:val="774511A8"/>
    <w:rsid w:val="77456ECE"/>
    <w:rsid w:val="77457DD1"/>
    <w:rsid w:val="7746132F"/>
    <w:rsid w:val="77461EE2"/>
    <w:rsid w:val="77465133"/>
    <w:rsid w:val="77467E05"/>
    <w:rsid w:val="77482E44"/>
    <w:rsid w:val="77494A67"/>
    <w:rsid w:val="774C070F"/>
    <w:rsid w:val="774C26DF"/>
    <w:rsid w:val="774C5D98"/>
    <w:rsid w:val="774D47D1"/>
    <w:rsid w:val="774E7807"/>
    <w:rsid w:val="774F4A67"/>
    <w:rsid w:val="774F53F8"/>
    <w:rsid w:val="774F5A88"/>
    <w:rsid w:val="77502771"/>
    <w:rsid w:val="77510781"/>
    <w:rsid w:val="77527B10"/>
    <w:rsid w:val="775334BB"/>
    <w:rsid w:val="775402B8"/>
    <w:rsid w:val="7754667D"/>
    <w:rsid w:val="77564138"/>
    <w:rsid w:val="77566887"/>
    <w:rsid w:val="77574B72"/>
    <w:rsid w:val="775D16D6"/>
    <w:rsid w:val="775E437B"/>
    <w:rsid w:val="776013DA"/>
    <w:rsid w:val="77614A91"/>
    <w:rsid w:val="77625C4E"/>
    <w:rsid w:val="776601E6"/>
    <w:rsid w:val="776B5F86"/>
    <w:rsid w:val="776C5A1D"/>
    <w:rsid w:val="776D07F6"/>
    <w:rsid w:val="776D3A3A"/>
    <w:rsid w:val="776D42A9"/>
    <w:rsid w:val="776D6BC5"/>
    <w:rsid w:val="7772183B"/>
    <w:rsid w:val="777464D7"/>
    <w:rsid w:val="77747226"/>
    <w:rsid w:val="77752428"/>
    <w:rsid w:val="7776690C"/>
    <w:rsid w:val="77776A2E"/>
    <w:rsid w:val="77792068"/>
    <w:rsid w:val="777B1D8D"/>
    <w:rsid w:val="777B75BB"/>
    <w:rsid w:val="777C50A4"/>
    <w:rsid w:val="777E3DEF"/>
    <w:rsid w:val="777F1882"/>
    <w:rsid w:val="77811EEE"/>
    <w:rsid w:val="7782204A"/>
    <w:rsid w:val="778542B6"/>
    <w:rsid w:val="77854829"/>
    <w:rsid w:val="77855FBD"/>
    <w:rsid w:val="7786599E"/>
    <w:rsid w:val="77882967"/>
    <w:rsid w:val="778847E1"/>
    <w:rsid w:val="778927D7"/>
    <w:rsid w:val="778A58FA"/>
    <w:rsid w:val="778C2E4F"/>
    <w:rsid w:val="77914AA5"/>
    <w:rsid w:val="77924D04"/>
    <w:rsid w:val="779307F9"/>
    <w:rsid w:val="77940D02"/>
    <w:rsid w:val="77961E9B"/>
    <w:rsid w:val="7796552C"/>
    <w:rsid w:val="77976FA4"/>
    <w:rsid w:val="77984695"/>
    <w:rsid w:val="779A0045"/>
    <w:rsid w:val="779A31D1"/>
    <w:rsid w:val="779B170A"/>
    <w:rsid w:val="779B3366"/>
    <w:rsid w:val="779E0BB5"/>
    <w:rsid w:val="77A0429F"/>
    <w:rsid w:val="77A10B3A"/>
    <w:rsid w:val="77A17109"/>
    <w:rsid w:val="77A43222"/>
    <w:rsid w:val="77A76005"/>
    <w:rsid w:val="77AD06AB"/>
    <w:rsid w:val="77B15843"/>
    <w:rsid w:val="77B32F08"/>
    <w:rsid w:val="77B45F19"/>
    <w:rsid w:val="77B6228F"/>
    <w:rsid w:val="77B73007"/>
    <w:rsid w:val="77BA4CA6"/>
    <w:rsid w:val="77BB5F08"/>
    <w:rsid w:val="77BD6712"/>
    <w:rsid w:val="77C1470E"/>
    <w:rsid w:val="77C23ECE"/>
    <w:rsid w:val="77C46D58"/>
    <w:rsid w:val="77C54164"/>
    <w:rsid w:val="77C5505F"/>
    <w:rsid w:val="77C61669"/>
    <w:rsid w:val="77C67B99"/>
    <w:rsid w:val="77C70FCC"/>
    <w:rsid w:val="77C77126"/>
    <w:rsid w:val="77C83C77"/>
    <w:rsid w:val="77CA3B9F"/>
    <w:rsid w:val="77CA723B"/>
    <w:rsid w:val="77CC3C74"/>
    <w:rsid w:val="77CE4200"/>
    <w:rsid w:val="77D55CA9"/>
    <w:rsid w:val="77D63B4A"/>
    <w:rsid w:val="77D75B2B"/>
    <w:rsid w:val="77D818D7"/>
    <w:rsid w:val="77DC600A"/>
    <w:rsid w:val="77DC7B0F"/>
    <w:rsid w:val="77DE5DFA"/>
    <w:rsid w:val="77DF1A11"/>
    <w:rsid w:val="77DF6B48"/>
    <w:rsid w:val="77E0025F"/>
    <w:rsid w:val="77E06EE3"/>
    <w:rsid w:val="77E1197B"/>
    <w:rsid w:val="77E25289"/>
    <w:rsid w:val="77E33340"/>
    <w:rsid w:val="77E359EC"/>
    <w:rsid w:val="77E47281"/>
    <w:rsid w:val="77E56D47"/>
    <w:rsid w:val="77E851B8"/>
    <w:rsid w:val="77E95CC8"/>
    <w:rsid w:val="77EA5D46"/>
    <w:rsid w:val="77EB5307"/>
    <w:rsid w:val="77EE0242"/>
    <w:rsid w:val="77EE3733"/>
    <w:rsid w:val="77EE430D"/>
    <w:rsid w:val="77EF6879"/>
    <w:rsid w:val="77F00125"/>
    <w:rsid w:val="77F10B0C"/>
    <w:rsid w:val="77F16BEE"/>
    <w:rsid w:val="77F368E2"/>
    <w:rsid w:val="77F373C4"/>
    <w:rsid w:val="77F41C39"/>
    <w:rsid w:val="77F427AB"/>
    <w:rsid w:val="77F52D7F"/>
    <w:rsid w:val="77F6001B"/>
    <w:rsid w:val="77F8697F"/>
    <w:rsid w:val="77FB11B6"/>
    <w:rsid w:val="77FB5709"/>
    <w:rsid w:val="77FB65DD"/>
    <w:rsid w:val="77FC0E51"/>
    <w:rsid w:val="77FD307C"/>
    <w:rsid w:val="77FD538D"/>
    <w:rsid w:val="77FE66EA"/>
    <w:rsid w:val="77FE6D81"/>
    <w:rsid w:val="78001403"/>
    <w:rsid w:val="7800524F"/>
    <w:rsid w:val="78007B43"/>
    <w:rsid w:val="78034DC6"/>
    <w:rsid w:val="78043457"/>
    <w:rsid w:val="7807735B"/>
    <w:rsid w:val="78081175"/>
    <w:rsid w:val="78086411"/>
    <w:rsid w:val="780D5F16"/>
    <w:rsid w:val="780D7919"/>
    <w:rsid w:val="780D7EA8"/>
    <w:rsid w:val="780F708C"/>
    <w:rsid w:val="78110559"/>
    <w:rsid w:val="78150A29"/>
    <w:rsid w:val="781536AF"/>
    <w:rsid w:val="7817479F"/>
    <w:rsid w:val="781834F3"/>
    <w:rsid w:val="78196D64"/>
    <w:rsid w:val="781B3D62"/>
    <w:rsid w:val="781B519F"/>
    <w:rsid w:val="781C3C2F"/>
    <w:rsid w:val="781C732D"/>
    <w:rsid w:val="78201097"/>
    <w:rsid w:val="78202B07"/>
    <w:rsid w:val="7822522D"/>
    <w:rsid w:val="78230A8B"/>
    <w:rsid w:val="78240F02"/>
    <w:rsid w:val="78241CBA"/>
    <w:rsid w:val="78242905"/>
    <w:rsid w:val="78245801"/>
    <w:rsid w:val="7826064E"/>
    <w:rsid w:val="78282848"/>
    <w:rsid w:val="782939FE"/>
    <w:rsid w:val="78293F51"/>
    <w:rsid w:val="782A6125"/>
    <w:rsid w:val="782C2CCB"/>
    <w:rsid w:val="782C7E18"/>
    <w:rsid w:val="782D695C"/>
    <w:rsid w:val="782F2883"/>
    <w:rsid w:val="782F6689"/>
    <w:rsid w:val="78314EAE"/>
    <w:rsid w:val="78325A45"/>
    <w:rsid w:val="7835585B"/>
    <w:rsid w:val="783B460F"/>
    <w:rsid w:val="783D3C87"/>
    <w:rsid w:val="783F108F"/>
    <w:rsid w:val="78404A50"/>
    <w:rsid w:val="78435101"/>
    <w:rsid w:val="78442A73"/>
    <w:rsid w:val="78461DA5"/>
    <w:rsid w:val="78465803"/>
    <w:rsid w:val="784A3F80"/>
    <w:rsid w:val="784A78FF"/>
    <w:rsid w:val="784D243C"/>
    <w:rsid w:val="784D3400"/>
    <w:rsid w:val="784D3D99"/>
    <w:rsid w:val="784E5865"/>
    <w:rsid w:val="784E79A4"/>
    <w:rsid w:val="784F27BF"/>
    <w:rsid w:val="78501B54"/>
    <w:rsid w:val="78513EF3"/>
    <w:rsid w:val="7854458C"/>
    <w:rsid w:val="78556789"/>
    <w:rsid w:val="7855732F"/>
    <w:rsid w:val="78564F0D"/>
    <w:rsid w:val="78566EF4"/>
    <w:rsid w:val="7859389C"/>
    <w:rsid w:val="785A7E1E"/>
    <w:rsid w:val="785B74E6"/>
    <w:rsid w:val="785D3C84"/>
    <w:rsid w:val="785F142D"/>
    <w:rsid w:val="785F4A14"/>
    <w:rsid w:val="786047BD"/>
    <w:rsid w:val="78613E4F"/>
    <w:rsid w:val="786241DA"/>
    <w:rsid w:val="78626CA7"/>
    <w:rsid w:val="78626CD3"/>
    <w:rsid w:val="786401B2"/>
    <w:rsid w:val="786448B0"/>
    <w:rsid w:val="78660636"/>
    <w:rsid w:val="786635B8"/>
    <w:rsid w:val="7867650B"/>
    <w:rsid w:val="7869296A"/>
    <w:rsid w:val="786934D5"/>
    <w:rsid w:val="78694CB0"/>
    <w:rsid w:val="786B6D7F"/>
    <w:rsid w:val="786C5753"/>
    <w:rsid w:val="786F3B9C"/>
    <w:rsid w:val="786F5756"/>
    <w:rsid w:val="786F6D33"/>
    <w:rsid w:val="78717BF2"/>
    <w:rsid w:val="78722B0D"/>
    <w:rsid w:val="7875396C"/>
    <w:rsid w:val="78754B5E"/>
    <w:rsid w:val="78790084"/>
    <w:rsid w:val="787A3710"/>
    <w:rsid w:val="787D18DC"/>
    <w:rsid w:val="787D73C8"/>
    <w:rsid w:val="787D76E1"/>
    <w:rsid w:val="78810C6C"/>
    <w:rsid w:val="78886491"/>
    <w:rsid w:val="788B058F"/>
    <w:rsid w:val="788D31A2"/>
    <w:rsid w:val="788E7668"/>
    <w:rsid w:val="78934885"/>
    <w:rsid w:val="78941AEA"/>
    <w:rsid w:val="789519A4"/>
    <w:rsid w:val="78965EB8"/>
    <w:rsid w:val="7897359E"/>
    <w:rsid w:val="78985174"/>
    <w:rsid w:val="789864FA"/>
    <w:rsid w:val="78994A8B"/>
    <w:rsid w:val="789A31E7"/>
    <w:rsid w:val="789D62CA"/>
    <w:rsid w:val="78A22CFB"/>
    <w:rsid w:val="78A3043D"/>
    <w:rsid w:val="78A63C50"/>
    <w:rsid w:val="78A918A1"/>
    <w:rsid w:val="78AA15AA"/>
    <w:rsid w:val="78AA729C"/>
    <w:rsid w:val="78AB1028"/>
    <w:rsid w:val="78AB33AA"/>
    <w:rsid w:val="78AC16E7"/>
    <w:rsid w:val="78AD7F51"/>
    <w:rsid w:val="78AE46A9"/>
    <w:rsid w:val="78B06DFC"/>
    <w:rsid w:val="78B073CD"/>
    <w:rsid w:val="78B07435"/>
    <w:rsid w:val="78B36145"/>
    <w:rsid w:val="78B44153"/>
    <w:rsid w:val="78B4791E"/>
    <w:rsid w:val="78B47F5A"/>
    <w:rsid w:val="78B71080"/>
    <w:rsid w:val="78B76DD4"/>
    <w:rsid w:val="78B9098C"/>
    <w:rsid w:val="78B976D1"/>
    <w:rsid w:val="78BA6935"/>
    <w:rsid w:val="78BC56A0"/>
    <w:rsid w:val="78BC71FF"/>
    <w:rsid w:val="78BD1A2B"/>
    <w:rsid w:val="78BD4366"/>
    <w:rsid w:val="78C1157E"/>
    <w:rsid w:val="78C11849"/>
    <w:rsid w:val="78C22A5E"/>
    <w:rsid w:val="78C301C4"/>
    <w:rsid w:val="78C3096F"/>
    <w:rsid w:val="78C56B2D"/>
    <w:rsid w:val="78C570FA"/>
    <w:rsid w:val="78C72CA0"/>
    <w:rsid w:val="78C733CB"/>
    <w:rsid w:val="78CA0BF4"/>
    <w:rsid w:val="78CB035C"/>
    <w:rsid w:val="78CC52BD"/>
    <w:rsid w:val="78CD3883"/>
    <w:rsid w:val="78CE1C50"/>
    <w:rsid w:val="78CF0B38"/>
    <w:rsid w:val="78D00D26"/>
    <w:rsid w:val="78D20B19"/>
    <w:rsid w:val="78D44E77"/>
    <w:rsid w:val="78D76F72"/>
    <w:rsid w:val="78D91AD8"/>
    <w:rsid w:val="78D94CD1"/>
    <w:rsid w:val="78DA132E"/>
    <w:rsid w:val="78DB0036"/>
    <w:rsid w:val="78DD131C"/>
    <w:rsid w:val="78DE2F9C"/>
    <w:rsid w:val="78DE4284"/>
    <w:rsid w:val="78DF3C39"/>
    <w:rsid w:val="78DF71B4"/>
    <w:rsid w:val="78DF7D39"/>
    <w:rsid w:val="78E07FA2"/>
    <w:rsid w:val="78E1607F"/>
    <w:rsid w:val="78E303B5"/>
    <w:rsid w:val="78E31910"/>
    <w:rsid w:val="78E42034"/>
    <w:rsid w:val="78E42C43"/>
    <w:rsid w:val="78E66010"/>
    <w:rsid w:val="78E72C79"/>
    <w:rsid w:val="78E80D17"/>
    <w:rsid w:val="78E81A44"/>
    <w:rsid w:val="78E852E8"/>
    <w:rsid w:val="78E90123"/>
    <w:rsid w:val="78EA67F6"/>
    <w:rsid w:val="78EB24BB"/>
    <w:rsid w:val="78EB7C89"/>
    <w:rsid w:val="78ED289C"/>
    <w:rsid w:val="78ED79F6"/>
    <w:rsid w:val="78F00F6C"/>
    <w:rsid w:val="78F02C4A"/>
    <w:rsid w:val="78F02F55"/>
    <w:rsid w:val="78F05A97"/>
    <w:rsid w:val="78F221F8"/>
    <w:rsid w:val="78F22397"/>
    <w:rsid w:val="78F313B5"/>
    <w:rsid w:val="78F32E3A"/>
    <w:rsid w:val="78F463D3"/>
    <w:rsid w:val="78F519A9"/>
    <w:rsid w:val="78F72C7F"/>
    <w:rsid w:val="78F73AA7"/>
    <w:rsid w:val="78F75D9A"/>
    <w:rsid w:val="78F770EE"/>
    <w:rsid w:val="78FB045D"/>
    <w:rsid w:val="78FD10F3"/>
    <w:rsid w:val="78FE7C5C"/>
    <w:rsid w:val="78FF4BC6"/>
    <w:rsid w:val="78FF6ED7"/>
    <w:rsid w:val="79006498"/>
    <w:rsid w:val="7901168A"/>
    <w:rsid w:val="790275B7"/>
    <w:rsid w:val="790334C0"/>
    <w:rsid w:val="79055664"/>
    <w:rsid w:val="79090A6B"/>
    <w:rsid w:val="79096484"/>
    <w:rsid w:val="790A6468"/>
    <w:rsid w:val="790C41E1"/>
    <w:rsid w:val="790C6343"/>
    <w:rsid w:val="790D17C5"/>
    <w:rsid w:val="790E195F"/>
    <w:rsid w:val="790E4BFD"/>
    <w:rsid w:val="79126175"/>
    <w:rsid w:val="79126838"/>
    <w:rsid w:val="7913181D"/>
    <w:rsid w:val="79135409"/>
    <w:rsid w:val="791610B2"/>
    <w:rsid w:val="79166409"/>
    <w:rsid w:val="791747BC"/>
    <w:rsid w:val="7918402A"/>
    <w:rsid w:val="791910C8"/>
    <w:rsid w:val="79197A2A"/>
    <w:rsid w:val="791B48FF"/>
    <w:rsid w:val="791D6B0E"/>
    <w:rsid w:val="7924607E"/>
    <w:rsid w:val="79250008"/>
    <w:rsid w:val="79283B53"/>
    <w:rsid w:val="792D1D3C"/>
    <w:rsid w:val="792F090B"/>
    <w:rsid w:val="792F5976"/>
    <w:rsid w:val="79352B6A"/>
    <w:rsid w:val="79377581"/>
    <w:rsid w:val="793874F7"/>
    <w:rsid w:val="793905FC"/>
    <w:rsid w:val="79395FE6"/>
    <w:rsid w:val="793A171B"/>
    <w:rsid w:val="793B132E"/>
    <w:rsid w:val="793B3260"/>
    <w:rsid w:val="793B5149"/>
    <w:rsid w:val="793B5DBF"/>
    <w:rsid w:val="793E7E59"/>
    <w:rsid w:val="793F2F0E"/>
    <w:rsid w:val="7940657F"/>
    <w:rsid w:val="794154EE"/>
    <w:rsid w:val="79431A8C"/>
    <w:rsid w:val="794322D5"/>
    <w:rsid w:val="794676D1"/>
    <w:rsid w:val="79472C19"/>
    <w:rsid w:val="794778E9"/>
    <w:rsid w:val="79483D50"/>
    <w:rsid w:val="794961FB"/>
    <w:rsid w:val="794D4BCA"/>
    <w:rsid w:val="794D6097"/>
    <w:rsid w:val="794E1DC8"/>
    <w:rsid w:val="79510081"/>
    <w:rsid w:val="79510CD3"/>
    <w:rsid w:val="795179EC"/>
    <w:rsid w:val="79521777"/>
    <w:rsid w:val="795318F6"/>
    <w:rsid w:val="79551569"/>
    <w:rsid w:val="79562BA3"/>
    <w:rsid w:val="79567613"/>
    <w:rsid w:val="79595793"/>
    <w:rsid w:val="79596291"/>
    <w:rsid w:val="795F7DF6"/>
    <w:rsid w:val="79671B99"/>
    <w:rsid w:val="79672640"/>
    <w:rsid w:val="79682871"/>
    <w:rsid w:val="796A3539"/>
    <w:rsid w:val="796C00C5"/>
    <w:rsid w:val="796D0C75"/>
    <w:rsid w:val="796D15F1"/>
    <w:rsid w:val="796D1B6E"/>
    <w:rsid w:val="796E2547"/>
    <w:rsid w:val="79706096"/>
    <w:rsid w:val="797524C0"/>
    <w:rsid w:val="79754D9C"/>
    <w:rsid w:val="797616D0"/>
    <w:rsid w:val="79775758"/>
    <w:rsid w:val="79791141"/>
    <w:rsid w:val="797945A6"/>
    <w:rsid w:val="797B58BA"/>
    <w:rsid w:val="797C1042"/>
    <w:rsid w:val="797D0C02"/>
    <w:rsid w:val="797E719F"/>
    <w:rsid w:val="797E7246"/>
    <w:rsid w:val="79817133"/>
    <w:rsid w:val="79825D88"/>
    <w:rsid w:val="798332FC"/>
    <w:rsid w:val="79857CD0"/>
    <w:rsid w:val="79861D95"/>
    <w:rsid w:val="798C56B3"/>
    <w:rsid w:val="798D077E"/>
    <w:rsid w:val="798E30D9"/>
    <w:rsid w:val="798E3205"/>
    <w:rsid w:val="798F2060"/>
    <w:rsid w:val="798F208C"/>
    <w:rsid w:val="799118CE"/>
    <w:rsid w:val="799261E2"/>
    <w:rsid w:val="799373D1"/>
    <w:rsid w:val="79973760"/>
    <w:rsid w:val="79990BD4"/>
    <w:rsid w:val="7999383C"/>
    <w:rsid w:val="799C6922"/>
    <w:rsid w:val="799D1672"/>
    <w:rsid w:val="799E3DF3"/>
    <w:rsid w:val="799F0C75"/>
    <w:rsid w:val="79A02541"/>
    <w:rsid w:val="79A17024"/>
    <w:rsid w:val="79A85706"/>
    <w:rsid w:val="79AA4703"/>
    <w:rsid w:val="79AB056F"/>
    <w:rsid w:val="79AC0FFF"/>
    <w:rsid w:val="79AC6110"/>
    <w:rsid w:val="79AD3FD7"/>
    <w:rsid w:val="79AD68C2"/>
    <w:rsid w:val="79B0106D"/>
    <w:rsid w:val="79B043AB"/>
    <w:rsid w:val="79B07C76"/>
    <w:rsid w:val="79B15B7F"/>
    <w:rsid w:val="79B23CB1"/>
    <w:rsid w:val="79B37773"/>
    <w:rsid w:val="79B41190"/>
    <w:rsid w:val="79B644BF"/>
    <w:rsid w:val="79BA3DD1"/>
    <w:rsid w:val="79BE34B1"/>
    <w:rsid w:val="79C04499"/>
    <w:rsid w:val="79C130A3"/>
    <w:rsid w:val="79C34F7B"/>
    <w:rsid w:val="79C47374"/>
    <w:rsid w:val="79C52D66"/>
    <w:rsid w:val="79C62506"/>
    <w:rsid w:val="79C7364D"/>
    <w:rsid w:val="79CA14D9"/>
    <w:rsid w:val="79CA19B4"/>
    <w:rsid w:val="79CA5E05"/>
    <w:rsid w:val="79D05230"/>
    <w:rsid w:val="79D2579A"/>
    <w:rsid w:val="79D3510B"/>
    <w:rsid w:val="79D36C51"/>
    <w:rsid w:val="79D4234C"/>
    <w:rsid w:val="79D72461"/>
    <w:rsid w:val="79D9080F"/>
    <w:rsid w:val="79D92AE9"/>
    <w:rsid w:val="79DC2674"/>
    <w:rsid w:val="79DD7470"/>
    <w:rsid w:val="79DE4134"/>
    <w:rsid w:val="79DF312E"/>
    <w:rsid w:val="79E13255"/>
    <w:rsid w:val="79E60E85"/>
    <w:rsid w:val="79E74DDA"/>
    <w:rsid w:val="79E83B92"/>
    <w:rsid w:val="79E90987"/>
    <w:rsid w:val="79EB0E31"/>
    <w:rsid w:val="79EB6B3B"/>
    <w:rsid w:val="79EB6BE0"/>
    <w:rsid w:val="79EC362C"/>
    <w:rsid w:val="79EC45BE"/>
    <w:rsid w:val="79EE4E44"/>
    <w:rsid w:val="79EF03E2"/>
    <w:rsid w:val="79EF277B"/>
    <w:rsid w:val="79F00AA1"/>
    <w:rsid w:val="79F130FF"/>
    <w:rsid w:val="79F13B89"/>
    <w:rsid w:val="79F31B52"/>
    <w:rsid w:val="79F4727C"/>
    <w:rsid w:val="79F90312"/>
    <w:rsid w:val="79F93051"/>
    <w:rsid w:val="79F9398C"/>
    <w:rsid w:val="79FA08F4"/>
    <w:rsid w:val="79FB6AA2"/>
    <w:rsid w:val="79FC0890"/>
    <w:rsid w:val="79FC56E4"/>
    <w:rsid w:val="79FD1C2B"/>
    <w:rsid w:val="79FD1CB8"/>
    <w:rsid w:val="79FF276D"/>
    <w:rsid w:val="7A010731"/>
    <w:rsid w:val="7A015CB5"/>
    <w:rsid w:val="7A033692"/>
    <w:rsid w:val="7A0470D1"/>
    <w:rsid w:val="7A053759"/>
    <w:rsid w:val="7A060616"/>
    <w:rsid w:val="7A072201"/>
    <w:rsid w:val="7A075133"/>
    <w:rsid w:val="7A0837E0"/>
    <w:rsid w:val="7A096225"/>
    <w:rsid w:val="7A0E2AE1"/>
    <w:rsid w:val="7A0E58CF"/>
    <w:rsid w:val="7A10481A"/>
    <w:rsid w:val="7A112511"/>
    <w:rsid w:val="7A116D59"/>
    <w:rsid w:val="7A125DE3"/>
    <w:rsid w:val="7A1422A6"/>
    <w:rsid w:val="7A152745"/>
    <w:rsid w:val="7A16485C"/>
    <w:rsid w:val="7A1710CB"/>
    <w:rsid w:val="7A17680C"/>
    <w:rsid w:val="7A1B48E8"/>
    <w:rsid w:val="7A1C5004"/>
    <w:rsid w:val="7A1D0A5D"/>
    <w:rsid w:val="7A1F20CD"/>
    <w:rsid w:val="7A26660E"/>
    <w:rsid w:val="7A266871"/>
    <w:rsid w:val="7A2770E0"/>
    <w:rsid w:val="7A2966C4"/>
    <w:rsid w:val="7A296BB6"/>
    <w:rsid w:val="7A2A2EDF"/>
    <w:rsid w:val="7A2B0F42"/>
    <w:rsid w:val="7A2B39ED"/>
    <w:rsid w:val="7A2B3A78"/>
    <w:rsid w:val="7A2B52B3"/>
    <w:rsid w:val="7A2C4368"/>
    <w:rsid w:val="7A2D2C04"/>
    <w:rsid w:val="7A2F1B7E"/>
    <w:rsid w:val="7A2F358C"/>
    <w:rsid w:val="7A321F0C"/>
    <w:rsid w:val="7A330ECD"/>
    <w:rsid w:val="7A334945"/>
    <w:rsid w:val="7A3350CE"/>
    <w:rsid w:val="7A3A5049"/>
    <w:rsid w:val="7A3A62E6"/>
    <w:rsid w:val="7A3C017B"/>
    <w:rsid w:val="7A4108D2"/>
    <w:rsid w:val="7A465C93"/>
    <w:rsid w:val="7A490C8E"/>
    <w:rsid w:val="7A496E66"/>
    <w:rsid w:val="7A4A5949"/>
    <w:rsid w:val="7A4C32D4"/>
    <w:rsid w:val="7A4F3E6B"/>
    <w:rsid w:val="7A504BBC"/>
    <w:rsid w:val="7A53067B"/>
    <w:rsid w:val="7A5641C2"/>
    <w:rsid w:val="7A5854ED"/>
    <w:rsid w:val="7A5B5AD1"/>
    <w:rsid w:val="7A5C015D"/>
    <w:rsid w:val="7A5D5F1D"/>
    <w:rsid w:val="7A5D6956"/>
    <w:rsid w:val="7A6024A1"/>
    <w:rsid w:val="7A61053D"/>
    <w:rsid w:val="7A6345BD"/>
    <w:rsid w:val="7A6369F9"/>
    <w:rsid w:val="7A6503FA"/>
    <w:rsid w:val="7A695BB9"/>
    <w:rsid w:val="7A6B6241"/>
    <w:rsid w:val="7A6B6CCF"/>
    <w:rsid w:val="7A6E2670"/>
    <w:rsid w:val="7A6F2402"/>
    <w:rsid w:val="7A733857"/>
    <w:rsid w:val="7A790640"/>
    <w:rsid w:val="7A79306F"/>
    <w:rsid w:val="7A7A0354"/>
    <w:rsid w:val="7A7A27B0"/>
    <w:rsid w:val="7A7A403E"/>
    <w:rsid w:val="7A7D123B"/>
    <w:rsid w:val="7A7F1BFD"/>
    <w:rsid w:val="7A8178E5"/>
    <w:rsid w:val="7A8315A0"/>
    <w:rsid w:val="7A8337A2"/>
    <w:rsid w:val="7A833EEA"/>
    <w:rsid w:val="7A8451FC"/>
    <w:rsid w:val="7A8508F7"/>
    <w:rsid w:val="7A853F53"/>
    <w:rsid w:val="7A864E40"/>
    <w:rsid w:val="7A865DBB"/>
    <w:rsid w:val="7A88715E"/>
    <w:rsid w:val="7A8B741F"/>
    <w:rsid w:val="7A8C64A0"/>
    <w:rsid w:val="7A8D5763"/>
    <w:rsid w:val="7A8F06FD"/>
    <w:rsid w:val="7A8F1AFC"/>
    <w:rsid w:val="7A8F25FF"/>
    <w:rsid w:val="7A8F4F30"/>
    <w:rsid w:val="7A900649"/>
    <w:rsid w:val="7A9070C0"/>
    <w:rsid w:val="7A9367E1"/>
    <w:rsid w:val="7A9958C1"/>
    <w:rsid w:val="7A997BCA"/>
    <w:rsid w:val="7A9A1310"/>
    <w:rsid w:val="7A9A57D8"/>
    <w:rsid w:val="7A9B36FD"/>
    <w:rsid w:val="7A9D2266"/>
    <w:rsid w:val="7A9E57CF"/>
    <w:rsid w:val="7A9E6BA0"/>
    <w:rsid w:val="7A9F5235"/>
    <w:rsid w:val="7AA2308E"/>
    <w:rsid w:val="7AA23546"/>
    <w:rsid w:val="7AA37640"/>
    <w:rsid w:val="7AA810B3"/>
    <w:rsid w:val="7AA85DDE"/>
    <w:rsid w:val="7AA960BF"/>
    <w:rsid w:val="7AAB334E"/>
    <w:rsid w:val="7AAB4466"/>
    <w:rsid w:val="7AAE50B8"/>
    <w:rsid w:val="7AB20D6B"/>
    <w:rsid w:val="7AB40BF1"/>
    <w:rsid w:val="7AB50AE7"/>
    <w:rsid w:val="7AB57219"/>
    <w:rsid w:val="7AB62F36"/>
    <w:rsid w:val="7AB70003"/>
    <w:rsid w:val="7AB703BA"/>
    <w:rsid w:val="7ABA6C68"/>
    <w:rsid w:val="7ABA6EB2"/>
    <w:rsid w:val="7ABC0C00"/>
    <w:rsid w:val="7ABC70FE"/>
    <w:rsid w:val="7ABE232F"/>
    <w:rsid w:val="7ABE5F28"/>
    <w:rsid w:val="7ABF017E"/>
    <w:rsid w:val="7AC000D7"/>
    <w:rsid w:val="7AC104D6"/>
    <w:rsid w:val="7AC351D0"/>
    <w:rsid w:val="7AC452B6"/>
    <w:rsid w:val="7AC552E6"/>
    <w:rsid w:val="7AC6621A"/>
    <w:rsid w:val="7AC96910"/>
    <w:rsid w:val="7ACB0260"/>
    <w:rsid w:val="7ACC3764"/>
    <w:rsid w:val="7ACC7616"/>
    <w:rsid w:val="7AD0076C"/>
    <w:rsid w:val="7AD40633"/>
    <w:rsid w:val="7AD41D35"/>
    <w:rsid w:val="7AD43AA0"/>
    <w:rsid w:val="7AD82F06"/>
    <w:rsid w:val="7AD913F6"/>
    <w:rsid w:val="7ADB3BB5"/>
    <w:rsid w:val="7ADF585C"/>
    <w:rsid w:val="7ADF6296"/>
    <w:rsid w:val="7AE1687F"/>
    <w:rsid w:val="7AE452A2"/>
    <w:rsid w:val="7AE51160"/>
    <w:rsid w:val="7AE92683"/>
    <w:rsid w:val="7AEB0EB2"/>
    <w:rsid w:val="7AEB4C56"/>
    <w:rsid w:val="7AEB6FBA"/>
    <w:rsid w:val="7AEB75A0"/>
    <w:rsid w:val="7AED59D2"/>
    <w:rsid w:val="7AEE0218"/>
    <w:rsid w:val="7AEE6702"/>
    <w:rsid w:val="7AEF6733"/>
    <w:rsid w:val="7AEF69FE"/>
    <w:rsid w:val="7AF008D3"/>
    <w:rsid w:val="7AF4096F"/>
    <w:rsid w:val="7AF52914"/>
    <w:rsid w:val="7AF75AB1"/>
    <w:rsid w:val="7AF956D0"/>
    <w:rsid w:val="7AFA283A"/>
    <w:rsid w:val="7AFD1095"/>
    <w:rsid w:val="7AFD1A0A"/>
    <w:rsid w:val="7AFD6683"/>
    <w:rsid w:val="7AFE5C92"/>
    <w:rsid w:val="7AFE6204"/>
    <w:rsid w:val="7B001E74"/>
    <w:rsid w:val="7B001FBF"/>
    <w:rsid w:val="7B052FA2"/>
    <w:rsid w:val="7B0A0ECE"/>
    <w:rsid w:val="7B0A11D0"/>
    <w:rsid w:val="7B0E4F7A"/>
    <w:rsid w:val="7B0F59D7"/>
    <w:rsid w:val="7B10028F"/>
    <w:rsid w:val="7B104EA3"/>
    <w:rsid w:val="7B107E56"/>
    <w:rsid w:val="7B120B89"/>
    <w:rsid w:val="7B135D97"/>
    <w:rsid w:val="7B140DC4"/>
    <w:rsid w:val="7B1478B7"/>
    <w:rsid w:val="7B153641"/>
    <w:rsid w:val="7B174975"/>
    <w:rsid w:val="7B194C42"/>
    <w:rsid w:val="7B1A5297"/>
    <w:rsid w:val="7B1B47CF"/>
    <w:rsid w:val="7B1D0DED"/>
    <w:rsid w:val="7B23432E"/>
    <w:rsid w:val="7B2344A4"/>
    <w:rsid w:val="7B241DE7"/>
    <w:rsid w:val="7B2433B1"/>
    <w:rsid w:val="7B2467FF"/>
    <w:rsid w:val="7B246E39"/>
    <w:rsid w:val="7B2511A3"/>
    <w:rsid w:val="7B255C4F"/>
    <w:rsid w:val="7B275274"/>
    <w:rsid w:val="7B2A61C2"/>
    <w:rsid w:val="7B2B20E0"/>
    <w:rsid w:val="7B2D2D49"/>
    <w:rsid w:val="7B2E616E"/>
    <w:rsid w:val="7B3207F0"/>
    <w:rsid w:val="7B327BF2"/>
    <w:rsid w:val="7B33486D"/>
    <w:rsid w:val="7B352147"/>
    <w:rsid w:val="7B355777"/>
    <w:rsid w:val="7B362A3D"/>
    <w:rsid w:val="7B3705E8"/>
    <w:rsid w:val="7B37130C"/>
    <w:rsid w:val="7B39601B"/>
    <w:rsid w:val="7B3B0410"/>
    <w:rsid w:val="7B3B1BEA"/>
    <w:rsid w:val="7B3D1F6A"/>
    <w:rsid w:val="7B3D3ED3"/>
    <w:rsid w:val="7B3E11A9"/>
    <w:rsid w:val="7B3E4778"/>
    <w:rsid w:val="7B3F495C"/>
    <w:rsid w:val="7B407282"/>
    <w:rsid w:val="7B4151AC"/>
    <w:rsid w:val="7B434B33"/>
    <w:rsid w:val="7B442911"/>
    <w:rsid w:val="7B455F25"/>
    <w:rsid w:val="7B4649A1"/>
    <w:rsid w:val="7B472CB4"/>
    <w:rsid w:val="7B484254"/>
    <w:rsid w:val="7B4857BE"/>
    <w:rsid w:val="7B49567F"/>
    <w:rsid w:val="7B4A73D8"/>
    <w:rsid w:val="7B4B0FFA"/>
    <w:rsid w:val="7B4B194D"/>
    <w:rsid w:val="7B4C0CF8"/>
    <w:rsid w:val="7B4C2EBB"/>
    <w:rsid w:val="7B4C4746"/>
    <w:rsid w:val="7B515BED"/>
    <w:rsid w:val="7B526760"/>
    <w:rsid w:val="7B526EF9"/>
    <w:rsid w:val="7B535F35"/>
    <w:rsid w:val="7B5413C5"/>
    <w:rsid w:val="7B58586D"/>
    <w:rsid w:val="7B586A5B"/>
    <w:rsid w:val="7B5A41D8"/>
    <w:rsid w:val="7B5A6BEA"/>
    <w:rsid w:val="7B5C09C9"/>
    <w:rsid w:val="7B5C3775"/>
    <w:rsid w:val="7B5F0C02"/>
    <w:rsid w:val="7B607B9C"/>
    <w:rsid w:val="7B6134C9"/>
    <w:rsid w:val="7B626679"/>
    <w:rsid w:val="7B627B2D"/>
    <w:rsid w:val="7B631EA8"/>
    <w:rsid w:val="7B63246C"/>
    <w:rsid w:val="7B6538DD"/>
    <w:rsid w:val="7B6576FF"/>
    <w:rsid w:val="7B685C54"/>
    <w:rsid w:val="7B6D2010"/>
    <w:rsid w:val="7B710716"/>
    <w:rsid w:val="7B713CE6"/>
    <w:rsid w:val="7B721718"/>
    <w:rsid w:val="7B737DE5"/>
    <w:rsid w:val="7B754D63"/>
    <w:rsid w:val="7B7A6A8F"/>
    <w:rsid w:val="7B800F59"/>
    <w:rsid w:val="7B80123E"/>
    <w:rsid w:val="7B81013E"/>
    <w:rsid w:val="7B8179F8"/>
    <w:rsid w:val="7B8515DE"/>
    <w:rsid w:val="7B8839C8"/>
    <w:rsid w:val="7B885031"/>
    <w:rsid w:val="7B886DF1"/>
    <w:rsid w:val="7B8B17B7"/>
    <w:rsid w:val="7B8E4932"/>
    <w:rsid w:val="7B9066DD"/>
    <w:rsid w:val="7B913971"/>
    <w:rsid w:val="7B914E78"/>
    <w:rsid w:val="7B944A57"/>
    <w:rsid w:val="7B977445"/>
    <w:rsid w:val="7B9822D3"/>
    <w:rsid w:val="7B990093"/>
    <w:rsid w:val="7B99124F"/>
    <w:rsid w:val="7B994442"/>
    <w:rsid w:val="7B9C4B09"/>
    <w:rsid w:val="7B9D7A05"/>
    <w:rsid w:val="7B9E478C"/>
    <w:rsid w:val="7BA03124"/>
    <w:rsid w:val="7BA1298B"/>
    <w:rsid w:val="7BA352A2"/>
    <w:rsid w:val="7BA4466E"/>
    <w:rsid w:val="7BA56F37"/>
    <w:rsid w:val="7BA6230A"/>
    <w:rsid w:val="7BA66732"/>
    <w:rsid w:val="7BA77B94"/>
    <w:rsid w:val="7BA86588"/>
    <w:rsid w:val="7BAE13C8"/>
    <w:rsid w:val="7BB10F2F"/>
    <w:rsid w:val="7BB422BA"/>
    <w:rsid w:val="7BB42695"/>
    <w:rsid w:val="7BB53DA7"/>
    <w:rsid w:val="7BB554DE"/>
    <w:rsid w:val="7BB57990"/>
    <w:rsid w:val="7BB67529"/>
    <w:rsid w:val="7BB7275A"/>
    <w:rsid w:val="7BB85CCB"/>
    <w:rsid w:val="7BB9667E"/>
    <w:rsid w:val="7BBC23C6"/>
    <w:rsid w:val="7BBD53D3"/>
    <w:rsid w:val="7BBE4C47"/>
    <w:rsid w:val="7BC110DD"/>
    <w:rsid w:val="7BC155E9"/>
    <w:rsid w:val="7BC16476"/>
    <w:rsid w:val="7BC21397"/>
    <w:rsid w:val="7BC35DD7"/>
    <w:rsid w:val="7BC5366F"/>
    <w:rsid w:val="7BC703B2"/>
    <w:rsid w:val="7BC84427"/>
    <w:rsid w:val="7BCA6A53"/>
    <w:rsid w:val="7BCB5A6D"/>
    <w:rsid w:val="7BCF37E1"/>
    <w:rsid w:val="7BD111ED"/>
    <w:rsid w:val="7BD124F5"/>
    <w:rsid w:val="7BD2191F"/>
    <w:rsid w:val="7BD378A9"/>
    <w:rsid w:val="7BD40E26"/>
    <w:rsid w:val="7BD61412"/>
    <w:rsid w:val="7BD63B20"/>
    <w:rsid w:val="7BD6752D"/>
    <w:rsid w:val="7BD73D73"/>
    <w:rsid w:val="7BD8048C"/>
    <w:rsid w:val="7BD85AD8"/>
    <w:rsid w:val="7BD911E9"/>
    <w:rsid w:val="7BDA0C76"/>
    <w:rsid w:val="7BDB16B3"/>
    <w:rsid w:val="7BDB44CB"/>
    <w:rsid w:val="7BDD5B37"/>
    <w:rsid w:val="7BDF40A9"/>
    <w:rsid w:val="7BE02A12"/>
    <w:rsid w:val="7BE72E3A"/>
    <w:rsid w:val="7BE76596"/>
    <w:rsid w:val="7BE81B2F"/>
    <w:rsid w:val="7BEA486D"/>
    <w:rsid w:val="7BEC0338"/>
    <w:rsid w:val="7BEC73B1"/>
    <w:rsid w:val="7BEF4C80"/>
    <w:rsid w:val="7BEF71D5"/>
    <w:rsid w:val="7BF25A2D"/>
    <w:rsid w:val="7BF33D3F"/>
    <w:rsid w:val="7BF40847"/>
    <w:rsid w:val="7BF63562"/>
    <w:rsid w:val="7BF638A4"/>
    <w:rsid w:val="7BF85EB6"/>
    <w:rsid w:val="7BF948E8"/>
    <w:rsid w:val="7BFB4418"/>
    <w:rsid w:val="7BFB65BB"/>
    <w:rsid w:val="7BFD3A54"/>
    <w:rsid w:val="7BFD4BFE"/>
    <w:rsid w:val="7BFD7AEF"/>
    <w:rsid w:val="7C00684D"/>
    <w:rsid w:val="7C01175B"/>
    <w:rsid w:val="7C0144E9"/>
    <w:rsid w:val="7C021100"/>
    <w:rsid w:val="7C054007"/>
    <w:rsid w:val="7C0749A9"/>
    <w:rsid w:val="7C080578"/>
    <w:rsid w:val="7C08410F"/>
    <w:rsid w:val="7C096F9F"/>
    <w:rsid w:val="7C114222"/>
    <w:rsid w:val="7C117F20"/>
    <w:rsid w:val="7C130E90"/>
    <w:rsid w:val="7C187706"/>
    <w:rsid w:val="7C19574F"/>
    <w:rsid w:val="7C196547"/>
    <w:rsid w:val="7C1978A4"/>
    <w:rsid w:val="7C202BB8"/>
    <w:rsid w:val="7C213B8B"/>
    <w:rsid w:val="7C242A8F"/>
    <w:rsid w:val="7C247C55"/>
    <w:rsid w:val="7C2513C8"/>
    <w:rsid w:val="7C25270D"/>
    <w:rsid w:val="7C273245"/>
    <w:rsid w:val="7C2C264A"/>
    <w:rsid w:val="7C2D0046"/>
    <w:rsid w:val="7C2F43D2"/>
    <w:rsid w:val="7C311068"/>
    <w:rsid w:val="7C322AD2"/>
    <w:rsid w:val="7C3747D3"/>
    <w:rsid w:val="7C3B7270"/>
    <w:rsid w:val="7C3C0FA7"/>
    <w:rsid w:val="7C3C10E1"/>
    <w:rsid w:val="7C3D0E60"/>
    <w:rsid w:val="7C3F66CB"/>
    <w:rsid w:val="7C403C01"/>
    <w:rsid w:val="7C40642E"/>
    <w:rsid w:val="7C441074"/>
    <w:rsid w:val="7C444190"/>
    <w:rsid w:val="7C455F7D"/>
    <w:rsid w:val="7C456D17"/>
    <w:rsid w:val="7C470592"/>
    <w:rsid w:val="7C476609"/>
    <w:rsid w:val="7C487398"/>
    <w:rsid w:val="7C4B18F5"/>
    <w:rsid w:val="7C4B517F"/>
    <w:rsid w:val="7C4C0976"/>
    <w:rsid w:val="7C4D2306"/>
    <w:rsid w:val="7C4E732B"/>
    <w:rsid w:val="7C50753A"/>
    <w:rsid w:val="7C5224EF"/>
    <w:rsid w:val="7C564859"/>
    <w:rsid w:val="7C58067C"/>
    <w:rsid w:val="7C594686"/>
    <w:rsid w:val="7C5A4351"/>
    <w:rsid w:val="7C5B18CF"/>
    <w:rsid w:val="7C5C4459"/>
    <w:rsid w:val="7C60059C"/>
    <w:rsid w:val="7C601EA0"/>
    <w:rsid w:val="7C623F95"/>
    <w:rsid w:val="7C6422A5"/>
    <w:rsid w:val="7C6536F7"/>
    <w:rsid w:val="7C672948"/>
    <w:rsid w:val="7C6B4D5E"/>
    <w:rsid w:val="7C6C198B"/>
    <w:rsid w:val="7C6C1C2D"/>
    <w:rsid w:val="7C6D70AD"/>
    <w:rsid w:val="7C70446B"/>
    <w:rsid w:val="7C707FD5"/>
    <w:rsid w:val="7C712264"/>
    <w:rsid w:val="7C734BA5"/>
    <w:rsid w:val="7C74594F"/>
    <w:rsid w:val="7C771334"/>
    <w:rsid w:val="7C786DA1"/>
    <w:rsid w:val="7C7920B6"/>
    <w:rsid w:val="7C7B5B56"/>
    <w:rsid w:val="7C7C1B6A"/>
    <w:rsid w:val="7C7C36A6"/>
    <w:rsid w:val="7C7D2712"/>
    <w:rsid w:val="7C7D737B"/>
    <w:rsid w:val="7C814FA9"/>
    <w:rsid w:val="7C82707C"/>
    <w:rsid w:val="7C835C44"/>
    <w:rsid w:val="7C840659"/>
    <w:rsid w:val="7C845ECB"/>
    <w:rsid w:val="7C8514F1"/>
    <w:rsid w:val="7C85479E"/>
    <w:rsid w:val="7C8548EC"/>
    <w:rsid w:val="7C855DE7"/>
    <w:rsid w:val="7C862659"/>
    <w:rsid w:val="7C891E92"/>
    <w:rsid w:val="7C8948BF"/>
    <w:rsid w:val="7C8B02F1"/>
    <w:rsid w:val="7C8B10BF"/>
    <w:rsid w:val="7C8D7F12"/>
    <w:rsid w:val="7C9064A6"/>
    <w:rsid w:val="7C915F90"/>
    <w:rsid w:val="7C916716"/>
    <w:rsid w:val="7C9773BE"/>
    <w:rsid w:val="7C9971CA"/>
    <w:rsid w:val="7C9A131A"/>
    <w:rsid w:val="7C9B30A5"/>
    <w:rsid w:val="7C9C210A"/>
    <w:rsid w:val="7C9E6BA6"/>
    <w:rsid w:val="7CA04D59"/>
    <w:rsid w:val="7CA2574D"/>
    <w:rsid w:val="7CA53389"/>
    <w:rsid w:val="7CA7764F"/>
    <w:rsid w:val="7CAD5E9C"/>
    <w:rsid w:val="7CAF177D"/>
    <w:rsid w:val="7CAF7D0F"/>
    <w:rsid w:val="7CB03992"/>
    <w:rsid w:val="7CB10500"/>
    <w:rsid w:val="7CB139CF"/>
    <w:rsid w:val="7CB84D27"/>
    <w:rsid w:val="7CBA798D"/>
    <w:rsid w:val="7CBB2551"/>
    <w:rsid w:val="7CBD1A45"/>
    <w:rsid w:val="7CBE73E8"/>
    <w:rsid w:val="7CC07A85"/>
    <w:rsid w:val="7CC21B9F"/>
    <w:rsid w:val="7CC256F7"/>
    <w:rsid w:val="7CC25D2B"/>
    <w:rsid w:val="7CC34CB4"/>
    <w:rsid w:val="7CC5204C"/>
    <w:rsid w:val="7CC717A3"/>
    <w:rsid w:val="7CC83088"/>
    <w:rsid w:val="7CC93728"/>
    <w:rsid w:val="7CC973A4"/>
    <w:rsid w:val="7CCA06AC"/>
    <w:rsid w:val="7CCA2754"/>
    <w:rsid w:val="7CCA75AE"/>
    <w:rsid w:val="7CCC0425"/>
    <w:rsid w:val="7CCC5B34"/>
    <w:rsid w:val="7CCF1477"/>
    <w:rsid w:val="7CD05BDA"/>
    <w:rsid w:val="7CD1644D"/>
    <w:rsid w:val="7CD23276"/>
    <w:rsid w:val="7CD23AC8"/>
    <w:rsid w:val="7CD41555"/>
    <w:rsid w:val="7CD44B4A"/>
    <w:rsid w:val="7CD614D5"/>
    <w:rsid w:val="7CD65CE3"/>
    <w:rsid w:val="7CD65D48"/>
    <w:rsid w:val="7CD66BA3"/>
    <w:rsid w:val="7CD80AE3"/>
    <w:rsid w:val="7CD812CB"/>
    <w:rsid w:val="7CDA2F4F"/>
    <w:rsid w:val="7CDB1D3E"/>
    <w:rsid w:val="7CDD6C73"/>
    <w:rsid w:val="7CE019DE"/>
    <w:rsid w:val="7CE05851"/>
    <w:rsid w:val="7CE05CCB"/>
    <w:rsid w:val="7CE06294"/>
    <w:rsid w:val="7CE07711"/>
    <w:rsid w:val="7CE0777E"/>
    <w:rsid w:val="7CE33E54"/>
    <w:rsid w:val="7CE5787A"/>
    <w:rsid w:val="7CE6697C"/>
    <w:rsid w:val="7CE67EFC"/>
    <w:rsid w:val="7CE8335A"/>
    <w:rsid w:val="7CE92497"/>
    <w:rsid w:val="7CEB6483"/>
    <w:rsid w:val="7CED7241"/>
    <w:rsid w:val="7CEF313F"/>
    <w:rsid w:val="7CF1085C"/>
    <w:rsid w:val="7CF11838"/>
    <w:rsid w:val="7CF35361"/>
    <w:rsid w:val="7CF42F97"/>
    <w:rsid w:val="7CF43FD3"/>
    <w:rsid w:val="7CF4545A"/>
    <w:rsid w:val="7CF4697C"/>
    <w:rsid w:val="7CF54D65"/>
    <w:rsid w:val="7CF67EBE"/>
    <w:rsid w:val="7CF83267"/>
    <w:rsid w:val="7CFA4FA0"/>
    <w:rsid w:val="7CFC24CC"/>
    <w:rsid w:val="7D000C2F"/>
    <w:rsid w:val="7D006F8D"/>
    <w:rsid w:val="7D027C92"/>
    <w:rsid w:val="7D034EBD"/>
    <w:rsid w:val="7D0504FF"/>
    <w:rsid w:val="7D050D15"/>
    <w:rsid w:val="7D0600A5"/>
    <w:rsid w:val="7D060E3C"/>
    <w:rsid w:val="7D063B39"/>
    <w:rsid w:val="7D073345"/>
    <w:rsid w:val="7D0966B9"/>
    <w:rsid w:val="7D0A19A3"/>
    <w:rsid w:val="7D0B317B"/>
    <w:rsid w:val="7D0C1542"/>
    <w:rsid w:val="7D0C16DB"/>
    <w:rsid w:val="7D0D3824"/>
    <w:rsid w:val="7D100D38"/>
    <w:rsid w:val="7D1124C0"/>
    <w:rsid w:val="7D114ED3"/>
    <w:rsid w:val="7D121C4E"/>
    <w:rsid w:val="7D12426B"/>
    <w:rsid w:val="7D127A1A"/>
    <w:rsid w:val="7D13237A"/>
    <w:rsid w:val="7D142727"/>
    <w:rsid w:val="7D157C09"/>
    <w:rsid w:val="7D184C0A"/>
    <w:rsid w:val="7D191BF2"/>
    <w:rsid w:val="7D1C6989"/>
    <w:rsid w:val="7D1D3404"/>
    <w:rsid w:val="7D1D61F3"/>
    <w:rsid w:val="7D23488C"/>
    <w:rsid w:val="7D285B46"/>
    <w:rsid w:val="7D2A034B"/>
    <w:rsid w:val="7D2A1B5C"/>
    <w:rsid w:val="7D2A431D"/>
    <w:rsid w:val="7D2A5865"/>
    <w:rsid w:val="7D2D6788"/>
    <w:rsid w:val="7D2E0641"/>
    <w:rsid w:val="7D2E7E6F"/>
    <w:rsid w:val="7D2F525F"/>
    <w:rsid w:val="7D2F6756"/>
    <w:rsid w:val="7D310759"/>
    <w:rsid w:val="7D317CA3"/>
    <w:rsid w:val="7D323EE3"/>
    <w:rsid w:val="7D337C92"/>
    <w:rsid w:val="7D381B9C"/>
    <w:rsid w:val="7D3948E8"/>
    <w:rsid w:val="7D39711F"/>
    <w:rsid w:val="7D3A7589"/>
    <w:rsid w:val="7D3B48FF"/>
    <w:rsid w:val="7D3C1CE2"/>
    <w:rsid w:val="7D3C66E6"/>
    <w:rsid w:val="7D3E6506"/>
    <w:rsid w:val="7D4463C3"/>
    <w:rsid w:val="7D461C7F"/>
    <w:rsid w:val="7D481745"/>
    <w:rsid w:val="7D481898"/>
    <w:rsid w:val="7D482EF5"/>
    <w:rsid w:val="7D48673A"/>
    <w:rsid w:val="7D490634"/>
    <w:rsid w:val="7D495A01"/>
    <w:rsid w:val="7D4A3695"/>
    <w:rsid w:val="7D4B0AD0"/>
    <w:rsid w:val="7D4B76FE"/>
    <w:rsid w:val="7D4D67FF"/>
    <w:rsid w:val="7D4F1EA7"/>
    <w:rsid w:val="7D532154"/>
    <w:rsid w:val="7D537891"/>
    <w:rsid w:val="7D5503F4"/>
    <w:rsid w:val="7D566A89"/>
    <w:rsid w:val="7D5707C5"/>
    <w:rsid w:val="7D5A2FAC"/>
    <w:rsid w:val="7D5C041D"/>
    <w:rsid w:val="7D5D19EE"/>
    <w:rsid w:val="7D5E022A"/>
    <w:rsid w:val="7D5E1DCD"/>
    <w:rsid w:val="7D5E2A8F"/>
    <w:rsid w:val="7D5E7621"/>
    <w:rsid w:val="7D6129B4"/>
    <w:rsid w:val="7D63646E"/>
    <w:rsid w:val="7D6472FA"/>
    <w:rsid w:val="7D6729E0"/>
    <w:rsid w:val="7D677E32"/>
    <w:rsid w:val="7D6953CF"/>
    <w:rsid w:val="7D6F5B67"/>
    <w:rsid w:val="7D7002CF"/>
    <w:rsid w:val="7D7041F7"/>
    <w:rsid w:val="7D7075D9"/>
    <w:rsid w:val="7D735387"/>
    <w:rsid w:val="7D740FD0"/>
    <w:rsid w:val="7D742E5A"/>
    <w:rsid w:val="7D7645D7"/>
    <w:rsid w:val="7D776AF1"/>
    <w:rsid w:val="7D7916BC"/>
    <w:rsid w:val="7D7A4D68"/>
    <w:rsid w:val="7D7B18A8"/>
    <w:rsid w:val="7D7C19CB"/>
    <w:rsid w:val="7D7C3C09"/>
    <w:rsid w:val="7D7E2020"/>
    <w:rsid w:val="7D7E528F"/>
    <w:rsid w:val="7D7F5542"/>
    <w:rsid w:val="7D8069E9"/>
    <w:rsid w:val="7D8148E8"/>
    <w:rsid w:val="7D816197"/>
    <w:rsid w:val="7D821D36"/>
    <w:rsid w:val="7D82360B"/>
    <w:rsid w:val="7D827775"/>
    <w:rsid w:val="7D836917"/>
    <w:rsid w:val="7D8752B6"/>
    <w:rsid w:val="7D886EA4"/>
    <w:rsid w:val="7D8A5EE1"/>
    <w:rsid w:val="7D8D093A"/>
    <w:rsid w:val="7D8D1F25"/>
    <w:rsid w:val="7D8D3F4C"/>
    <w:rsid w:val="7D8D5E22"/>
    <w:rsid w:val="7D8D7D7D"/>
    <w:rsid w:val="7D8D7D8F"/>
    <w:rsid w:val="7D91775E"/>
    <w:rsid w:val="7D930EFA"/>
    <w:rsid w:val="7D94316C"/>
    <w:rsid w:val="7D956BF7"/>
    <w:rsid w:val="7D963A02"/>
    <w:rsid w:val="7D963BAD"/>
    <w:rsid w:val="7D965BF6"/>
    <w:rsid w:val="7D997F0E"/>
    <w:rsid w:val="7D9A7E3D"/>
    <w:rsid w:val="7D9B121C"/>
    <w:rsid w:val="7D9B2734"/>
    <w:rsid w:val="7D9D3DEF"/>
    <w:rsid w:val="7D9F3303"/>
    <w:rsid w:val="7DA364DB"/>
    <w:rsid w:val="7DA40ACB"/>
    <w:rsid w:val="7DA5441E"/>
    <w:rsid w:val="7DA93F59"/>
    <w:rsid w:val="7DAA4012"/>
    <w:rsid w:val="7DAB39B2"/>
    <w:rsid w:val="7DAB3DD3"/>
    <w:rsid w:val="7DAE56F6"/>
    <w:rsid w:val="7DB002F5"/>
    <w:rsid w:val="7DB10850"/>
    <w:rsid w:val="7DB1505A"/>
    <w:rsid w:val="7DB3319F"/>
    <w:rsid w:val="7DB350EC"/>
    <w:rsid w:val="7DB5533E"/>
    <w:rsid w:val="7DB6601D"/>
    <w:rsid w:val="7DB83175"/>
    <w:rsid w:val="7DB974A6"/>
    <w:rsid w:val="7DBA1AC8"/>
    <w:rsid w:val="7DBA64A4"/>
    <w:rsid w:val="7DBA71CC"/>
    <w:rsid w:val="7DBC2C30"/>
    <w:rsid w:val="7DBD6231"/>
    <w:rsid w:val="7DBE0E69"/>
    <w:rsid w:val="7DBE7C3A"/>
    <w:rsid w:val="7DC03BA4"/>
    <w:rsid w:val="7DC153FB"/>
    <w:rsid w:val="7DC30790"/>
    <w:rsid w:val="7DC33E39"/>
    <w:rsid w:val="7DC42DF4"/>
    <w:rsid w:val="7DC57E16"/>
    <w:rsid w:val="7DC75275"/>
    <w:rsid w:val="7DC77260"/>
    <w:rsid w:val="7DC9116E"/>
    <w:rsid w:val="7DCA1E95"/>
    <w:rsid w:val="7DCB3DD7"/>
    <w:rsid w:val="7DCC3EA4"/>
    <w:rsid w:val="7DCD44B5"/>
    <w:rsid w:val="7DD01063"/>
    <w:rsid w:val="7DD1164D"/>
    <w:rsid w:val="7DD12E02"/>
    <w:rsid w:val="7DD20ECD"/>
    <w:rsid w:val="7DD414A9"/>
    <w:rsid w:val="7DD45738"/>
    <w:rsid w:val="7DD90215"/>
    <w:rsid w:val="7DDA47C6"/>
    <w:rsid w:val="7DDB3866"/>
    <w:rsid w:val="7DE073BB"/>
    <w:rsid w:val="7DE229C2"/>
    <w:rsid w:val="7DE43FB1"/>
    <w:rsid w:val="7DE4522E"/>
    <w:rsid w:val="7DE47A72"/>
    <w:rsid w:val="7DE50F5F"/>
    <w:rsid w:val="7DE517A5"/>
    <w:rsid w:val="7DE612B9"/>
    <w:rsid w:val="7DE63A53"/>
    <w:rsid w:val="7DE77F4E"/>
    <w:rsid w:val="7DE8778B"/>
    <w:rsid w:val="7DE9497E"/>
    <w:rsid w:val="7DEA18F2"/>
    <w:rsid w:val="7DED087E"/>
    <w:rsid w:val="7DED0FD7"/>
    <w:rsid w:val="7DF10FD8"/>
    <w:rsid w:val="7DF17D2E"/>
    <w:rsid w:val="7DF2792C"/>
    <w:rsid w:val="7DF4393B"/>
    <w:rsid w:val="7DF468B9"/>
    <w:rsid w:val="7DF50211"/>
    <w:rsid w:val="7DF60240"/>
    <w:rsid w:val="7DFA3958"/>
    <w:rsid w:val="7DFB0837"/>
    <w:rsid w:val="7DFD238E"/>
    <w:rsid w:val="7DFD7AF3"/>
    <w:rsid w:val="7DFE65BA"/>
    <w:rsid w:val="7DFF276B"/>
    <w:rsid w:val="7E01632F"/>
    <w:rsid w:val="7E031240"/>
    <w:rsid w:val="7E034E65"/>
    <w:rsid w:val="7E036201"/>
    <w:rsid w:val="7E040A1E"/>
    <w:rsid w:val="7E0558A9"/>
    <w:rsid w:val="7E065E1B"/>
    <w:rsid w:val="7E086C13"/>
    <w:rsid w:val="7E0878E9"/>
    <w:rsid w:val="7E0A2F79"/>
    <w:rsid w:val="7E0A4D71"/>
    <w:rsid w:val="7E0D0AF7"/>
    <w:rsid w:val="7E0E7FCD"/>
    <w:rsid w:val="7E0F57BE"/>
    <w:rsid w:val="7E104111"/>
    <w:rsid w:val="7E1120E8"/>
    <w:rsid w:val="7E116AAD"/>
    <w:rsid w:val="7E1518E1"/>
    <w:rsid w:val="7E167501"/>
    <w:rsid w:val="7E1678D4"/>
    <w:rsid w:val="7E1B4DE8"/>
    <w:rsid w:val="7E1C4B65"/>
    <w:rsid w:val="7E1C5F2B"/>
    <w:rsid w:val="7E1C6442"/>
    <w:rsid w:val="7E1E5C6E"/>
    <w:rsid w:val="7E1F3060"/>
    <w:rsid w:val="7E206CA8"/>
    <w:rsid w:val="7E221B04"/>
    <w:rsid w:val="7E25140A"/>
    <w:rsid w:val="7E270528"/>
    <w:rsid w:val="7E276671"/>
    <w:rsid w:val="7E2770C1"/>
    <w:rsid w:val="7E283423"/>
    <w:rsid w:val="7E2A0851"/>
    <w:rsid w:val="7E2C02BC"/>
    <w:rsid w:val="7E2C115C"/>
    <w:rsid w:val="7E2C47E2"/>
    <w:rsid w:val="7E30261B"/>
    <w:rsid w:val="7E30711A"/>
    <w:rsid w:val="7E32563E"/>
    <w:rsid w:val="7E347A7D"/>
    <w:rsid w:val="7E383ECF"/>
    <w:rsid w:val="7E3903F0"/>
    <w:rsid w:val="7E393FF1"/>
    <w:rsid w:val="7E3A1762"/>
    <w:rsid w:val="7E3B4786"/>
    <w:rsid w:val="7E3E03FF"/>
    <w:rsid w:val="7E3F6C7F"/>
    <w:rsid w:val="7E420673"/>
    <w:rsid w:val="7E427B54"/>
    <w:rsid w:val="7E431474"/>
    <w:rsid w:val="7E4B25C6"/>
    <w:rsid w:val="7E4C67A7"/>
    <w:rsid w:val="7E514149"/>
    <w:rsid w:val="7E5346E0"/>
    <w:rsid w:val="7E540B14"/>
    <w:rsid w:val="7E541B56"/>
    <w:rsid w:val="7E54673C"/>
    <w:rsid w:val="7E5514D5"/>
    <w:rsid w:val="7E57470B"/>
    <w:rsid w:val="7E575AE6"/>
    <w:rsid w:val="7E5A0B56"/>
    <w:rsid w:val="7E5B395C"/>
    <w:rsid w:val="7E5C65D3"/>
    <w:rsid w:val="7E5E5109"/>
    <w:rsid w:val="7E5E73A0"/>
    <w:rsid w:val="7E5F3EC7"/>
    <w:rsid w:val="7E60407A"/>
    <w:rsid w:val="7E6128DE"/>
    <w:rsid w:val="7E625564"/>
    <w:rsid w:val="7E6365ED"/>
    <w:rsid w:val="7E6446BB"/>
    <w:rsid w:val="7E654DDA"/>
    <w:rsid w:val="7E657842"/>
    <w:rsid w:val="7E673925"/>
    <w:rsid w:val="7E690274"/>
    <w:rsid w:val="7E6A3855"/>
    <w:rsid w:val="7E6A6019"/>
    <w:rsid w:val="7E6E7A67"/>
    <w:rsid w:val="7E6F2D3E"/>
    <w:rsid w:val="7E712276"/>
    <w:rsid w:val="7E745CD3"/>
    <w:rsid w:val="7E74650A"/>
    <w:rsid w:val="7E746FBB"/>
    <w:rsid w:val="7E7633C8"/>
    <w:rsid w:val="7E782BA2"/>
    <w:rsid w:val="7E7840B8"/>
    <w:rsid w:val="7E787CB3"/>
    <w:rsid w:val="7E7B45FE"/>
    <w:rsid w:val="7E7C29EC"/>
    <w:rsid w:val="7E7E7499"/>
    <w:rsid w:val="7E805DCB"/>
    <w:rsid w:val="7E8128C8"/>
    <w:rsid w:val="7E83211D"/>
    <w:rsid w:val="7E841345"/>
    <w:rsid w:val="7E87543F"/>
    <w:rsid w:val="7E886E5F"/>
    <w:rsid w:val="7E8C466C"/>
    <w:rsid w:val="7E8C59ED"/>
    <w:rsid w:val="7E901178"/>
    <w:rsid w:val="7E9027C7"/>
    <w:rsid w:val="7E9150E9"/>
    <w:rsid w:val="7E9211B9"/>
    <w:rsid w:val="7E9268D6"/>
    <w:rsid w:val="7E94131E"/>
    <w:rsid w:val="7E943105"/>
    <w:rsid w:val="7E945325"/>
    <w:rsid w:val="7E946FC6"/>
    <w:rsid w:val="7E992C76"/>
    <w:rsid w:val="7E993DB1"/>
    <w:rsid w:val="7E9B3D58"/>
    <w:rsid w:val="7E9B663B"/>
    <w:rsid w:val="7E9C0D3C"/>
    <w:rsid w:val="7E9C6B34"/>
    <w:rsid w:val="7E9F26CF"/>
    <w:rsid w:val="7EA021D9"/>
    <w:rsid w:val="7EA113E6"/>
    <w:rsid w:val="7EA26DAF"/>
    <w:rsid w:val="7EA47D0B"/>
    <w:rsid w:val="7EA561C9"/>
    <w:rsid w:val="7EA56A49"/>
    <w:rsid w:val="7EA63755"/>
    <w:rsid w:val="7EA73246"/>
    <w:rsid w:val="7EA82E0B"/>
    <w:rsid w:val="7EAA5657"/>
    <w:rsid w:val="7EAA569E"/>
    <w:rsid w:val="7EAB002A"/>
    <w:rsid w:val="7EAB3672"/>
    <w:rsid w:val="7EAC4BBF"/>
    <w:rsid w:val="7EAC4CD2"/>
    <w:rsid w:val="7EAD67B2"/>
    <w:rsid w:val="7EAF4686"/>
    <w:rsid w:val="7EB36161"/>
    <w:rsid w:val="7EB740F7"/>
    <w:rsid w:val="7EBC676F"/>
    <w:rsid w:val="7EBE0623"/>
    <w:rsid w:val="7EC1332D"/>
    <w:rsid w:val="7EC23A3E"/>
    <w:rsid w:val="7EC71177"/>
    <w:rsid w:val="7EC73EBA"/>
    <w:rsid w:val="7ECC42FD"/>
    <w:rsid w:val="7ECD23A4"/>
    <w:rsid w:val="7ECD5A22"/>
    <w:rsid w:val="7ECE18D2"/>
    <w:rsid w:val="7ED1085E"/>
    <w:rsid w:val="7ED25D4F"/>
    <w:rsid w:val="7ED34096"/>
    <w:rsid w:val="7ED64171"/>
    <w:rsid w:val="7ED73937"/>
    <w:rsid w:val="7ED8070F"/>
    <w:rsid w:val="7ED82CA6"/>
    <w:rsid w:val="7ED8422A"/>
    <w:rsid w:val="7ED93AB9"/>
    <w:rsid w:val="7EDA1FD7"/>
    <w:rsid w:val="7EDA6889"/>
    <w:rsid w:val="7EDB175A"/>
    <w:rsid w:val="7EDB1D18"/>
    <w:rsid w:val="7EDD282A"/>
    <w:rsid w:val="7EDE163E"/>
    <w:rsid w:val="7EDE1C9C"/>
    <w:rsid w:val="7EDF0D23"/>
    <w:rsid w:val="7EE00303"/>
    <w:rsid w:val="7EE85710"/>
    <w:rsid w:val="7EE97B9D"/>
    <w:rsid w:val="7EEC727F"/>
    <w:rsid w:val="7EEE6BEF"/>
    <w:rsid w:val="7EEF7CC7"/>
    <w:rsid w:val="7EF043E0"/>
    <w:rsid w:val="7EF35C37"/>
    <w:rsid w:val="7EF501ED"/>
    <w:rsid w:val="7EF650FD"/>
    <w:rsid w:val="7EF82A30"/>
    <w:rsid w:val="7EF904E9"/>
    <w:rsid w:val="7EF90DED"/>
    <w:rsid w:val="7EF93B6B"/>
    <w:rsid w:val="7EF954E1"/>
    <w:rsid w:val="7EFA36E4"/>
    <w:rsid w:val="7EFA44B1"/>
    <w:rsid w:val="7EFE6F27"/>
    <w:rsid w:val="7F0074E1"/>
    <w:rsid w:val="7F020C33"/>
    <w:rsid w:val="7F023F13"/>
    <w:rsid w:val="7F02485D"/>
    <w:rsid w:val="7F032825"/>
    <w:rsid w:val="7F0615DE"/>
    <w:rsid w:val="7F061BF8"/>
    <w:rsid w:val="7F0705CC"/>
    <w:rsid w:val="7F07632A"/>
    <w:rsid w:val="7F08015E"/>
    <w:rsid w:val="7F097DD1"/>
    <w:rsid w:val="7F0B17A7"/>
    <w:rsid w:val="7F0C3218"/>
    <w:rsid w:val="7F0C3296"/>
    <w:rsid w:val="7F0D66BB"/>
    <w:rsid w:val="7F1010F4"/>
    <w:rsid w:val="7F1043D1"/>
    <w:rsid w:val="7F127E55"/>
    <w:rsid w:val="7F1465EF"/>
    <w:rsid w:val="7F147BB3"/>
    <w:rsid w:val="7F156C73"/>
    <w:rsid w:val="7F1573EB"/>
    <w:rsid w:val="7F165018"/>
    <w:rsid w:val="7F197704"/>
    <w:rsid w:val="7F1A07D9"/>
    <w:rsid w:val="7F1B3F8F"/>
    <w:rsid w:val="7F1C7539"/>
    <w:rsid w:val="7F1D08F1"/>
    <w:rsid w:val="7F1E1003"/>
    <w:rsid w:val="7F1E1BEC"/>
    <w:rsid w:val="7F1E499D"/>
    <w:rsid w:val="7F214E35"/>
    <w:rsid w:val="7F244419"/>
    <w:rsid w:val="7F25144A"/>
    <w:rsid w:val="7F26585D"/>
    <w:rsid w:val="7F2869B6"/>
    <w:rsid w:val="7F297730"/>
    <w:rsid w:val="7F323E70"/>
    <w:rsid w:val="7F335E2C"/>
    <w:rsid w:val="7F362952"/>
    <w:rsid w:val="7F374DA6"/>
    <w:rsid w:val="7F37712C"/>
    <w:rsid w:val="7F3E4C2C"/>
    <w:rsid w:val="7F3E4E01"/>
    <w:rsid w:val="7F406FC2"/>
    <w:rsid w:val="7F421284"/>
    <w:rsid w:val="7F45347F"/>
    <w:rsid w:val="7F4539EC"/>
    <w:rsid w:val="7F48783D"/>
    <w:rsid w:val="7F4879CA"/>
    <w:rsid w:val="7F493039"/>
    <w:rsid w:val="7F4A513C"/>
    <w:rsid w:val="7F4C32AC"/>
    <w:rsid w:val="7F4E406A"/>
    <w:rsid w:val="7F5138DA"/>
    <w:rsid w:val="7F5220B5"/>
    <w:rsid w:val="7F530890"/>
    <w:rsid w:val="7F584022"/>
    <w:rsid w:val="7F585CC9"/>
    <w:rsid w:val="7F5D3E32"/>
    <w:rsid w:val="7F5D464C"/>
    <w:rsid w:val="7F623AB0"/>
    <w:rsid w:val="7F637FD7"/>
    <w:rsid w:val="7F66252A"/>
    <w:rsid w:val="7F6825F3"/>
    <w:rsid w:val="7F6E35D6"/>
    <w:rsid w:val="7F6F3013"/>
    <w:rsid w:val="7F70324A"/>
    <w:rsid w:val="7F72052C"/>
    <w:rsid w:val="7F7271A1"/>
    <w:rsid w:val="7F744D9D"/>
    <w:rsid w:val="7F745F38"/>
    <w:rsid w:val="7F7A1DB7"/>
    <w:rsid w:val="7F7C01E2"/>
    <w:rsid w:val="7F7C2613"/>
    <w:rsid w:val="7F7C79BA"/>
    <w:rsid w:val="7F803F22"/>
    <w:rsid w:val="7F807CD9"/>
    <w:rsid w:val="7F832526"/>
    <w:rsid w:val="7F833C42"/>
    <w:rsid w:val="7F854A80"/>
    <w:rsid w:val="7F8752B8"/>
    <w:rsid w:val="7F8929EE"/>
    <w:rsid w:val="7F8A255C"/>
    <w:rsid w:val="7F8C372D"/>
    <w:rsid w:val="7F8E5B62"/>
    <w:rsid w:val="7F8F57CD"/>
    <w:rsid w:val="7F8F730E"/>
    <w:rsid w:val="7F906C30"/>
    <w:rsid w:val="7F92370E"/>
    <w:rsid w:val="7F9455B6"/>
    <w:rsid w:val="7F9700F6"/>
    <w:rsid w:val="7F975B07"/>
    <w:rsid w:val="7F975FDF"/>
    <w:rsid w:val="7F991C03"/>
    <w:rsid w:val="7F9941CC"/>
    <w:rsid w:val="7F99628B"/>
    <w:rsid w:val="7F996EBC"/>
    <w:rsid w:val="7FA07ED6"/>
    <w:rsid w:val="7FA10950"/>
    <w:rsid w:val="7FA12ACA"/>
    <w:rsid w:val="7FA305C6"/>
    <w:rsid w:val="7FA43ECD"/>
    <w:rsid w:val="7FA47F09"/>
    <w:rsid w:val="7FA85E07"/>
    <w:rsid w:val="7FAB14D8"/>
    <w:rsid w:val="7FAE0955"/>
    <w:rsid w:val="7FAE3D0E"/>
    <w:rsid w:val="7FAE46BB"/>
    <w:rsid w:val="7FAE4BD6"/>
    <w:rsid w:val="7FB14E54"/>
    <w:rsid w:val="7FB3126D"/>
    <w:rsid w:val="7FB3149E"/>
    <w:rsid w:val="7FB37077"/>
    <w:rsid w:val="7FB715E0"/>
    <w:rsid w:val="7FB76E08"/>
    <w:rsid w:val="7FB93B09"/>
    <w:rsid w:val="7FBA0BA3"/>
    <w:rsid w:val="7FBD1FEE"/>
    <w:rsid w:val="7FBF380B"/>
    <w:rsid w:val="7FC2631E"/>
    <w:rsid w:val="7FC81AA8"/>
    <w:rsid w:val="7FC820C6"/>
    <w:rsid w:val="7FC95540"/>
    <w:rsid w:val="7FCB0328"/>
    <w:rsid w:val="7FCB478A"/>
    <w:rsid w:val="7FCB63BB"/>
    <w:rsid w:val="7FCC0734"/>
    <w:rsid w:val="7FCD57ED"/>
    <w:rsid w:val="7FCD77AE"/>
    <w:rsid w:val="7FCE0D00"/>
    <w:rsid w:val="7FCE5CDB"/>
    <w:rsid w:val="7FCF59A1"/>
    <w:rsid w:val="7FD077E8"/>
    <w:rsid w:val="7FD26202"/>
    <w:rsid w:val="7FD274FE"/>
    <w:rsid w:val="7FD31A1B"/>
    <w:rsid w:val="7FD6510F"/>
    <w:rsid w:val="7FD66F41"/>
    <w:rsid w:val="7FD748FB"/>
    <w:rsid w:val="7FD77B38"/>
    <w:rsid w:val="7FDA6B45"/>
    <w:rsid w:val="7FDC5644"/>
    <w:rsid w:val="7FDD5DF9"/>
    <w:rsid w:val="7FDE323D"/>
    <w:rsid w:val="7FDF2A1A"/>
    <w:rsid w:val="7FDF2D20"/>
    <w:rsid w:val="7FE33FEE"/>
    <w:rsid w:val="7FE902FC"/>
    <w:rsid w:val="7FE95132"/>
    <w:rsid w:val="7FEB68E0"/>
    <w:rsid w:val="7FED303B"/>
    <w:rsid w:val="7FED3657"/>
    <w:rsid w:val="7FF55D4A"/>
    <w:rsid w:val="7FF94EDC"/>
    <w:rsid w:val="7FFA3419"/>
    <w:rsid w:val="7FFD27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outlineLvl w:val="0"/>
    </w:pPr>
    <w:rPr>
      <w:rFonts w:eastAsia="宋体" w:asciiTheme="minorAscii" w:hAnsiTheme="minorAscii"/>
      <w:b/>
      <w:kern w:val="44"/>
      <w:sz w:val="30"/>
    </w:rPr>
  </w:style>
  <w:style w:type="paragraph" w:styleId="3">
    <w:name w:val="heading 2"/>
    <w:basedOn w:val="1"/>
    <w:next w:val="1"/>
    <w:unhideWhenUsed/>
    <w:qFormat/>
    <w:uiPriority w:val="0"/>
    <w:pPr>
      <w:pageBreakBefore/>
      <w:outlineLvl w:val="1"/>
    </w:pPr>
    <w:rPr>
      <w:rFonts w:ascii="黑体" w:eastAsia="黑体"/>
      <w:sz w:val="30"/>
      <w:szCs w:val="32"/>
    </w:rPr>
  </w:style>
  <w:style w:type="paragraph" w:styleId="4">
    <w:name w:val="heading 3"/>
    <w:basedOn w:val="1"/>
    <w:next w:val="1"/>
    <w:unhideWhenUsed/>
    <w:qFormat/>
    <w:uiPriority w:val="0"/>
    <w:pPr>
      <w:keepNext/>
      <w:keepLines/>
      <w:numPr>
        <w:ilvl w:val="0"/>
        <w:numId w:val="1"/>
      </w:numPr>
      <w:spacing w:before="260" w:after="260" w:line="416" w:lineRule="auto"/>
      <w:outlineLvl w:val="2"/>
    </w:pPr>
    <w:rPr>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 w:val="21"/>
      <w:szCs w:val="20"/>
    </w:rPr>
  </w:style>
  <w:style w:type="paragraph" w:styleId="6">
    <w:name w:val="annotation text"/>
    <w:basedOn w:val="1"/>
    <w:qFormat/>
    <w:uiPriority w:val="0"/>
    <w:pPr>
      <w:jc w:val="left"/>
    </w:pPr>
  </w:style>
  <w:style w:type="paragraph" w:styleId="7">
    <w:name w:val="Body Text"/>
    <w:basedOn w:val="1"/>
    <w:qFormat/>
    <w:uiPriority w:val="0"/>
    <w:rPr>
      <w:sz w:val="28"/>
    </w:rPr>
  </w:style>
  <w:style w:type="paragraph" w:styleId="8">
    <w:name w:val="toc 3"/>
    <w:basedOn w:val="1"/>
    <w:next w:val="1"/>
    <w:qFormat/>
    <w:uiPriority w:val="0"/>
    <w:pPr>
      <w:ind w:left="840" w:leftChars="400"/>
    </w:pPr>
  </w:style>
  <w:style w:type="paragraph" w:styleId="9">
    <w:name w:val="Plain Text"/>
    <w:basedOn w:val="1"/>
    <w:qFormat/>
    <w:uiPriority w:val="0"/>
    <w:rPr>
      <w:rFonts w:ascii="宋体" w:hAnsi="Courier New" w:eastAsia="宋体" w:cs="Courier New"/>
      <w:szCs w:val="21"/>
    </w:rPr>
  </w:style>
  <w:style w:type="paragraph" w:styleId="10">
    <w:name w:val="Body Text Indent 2"/>
    <w:basedOn w:val="1"/>
    <w:qFormat/>
    <w:uiPriority w:val="0"/>
    <w:pPr>
      <w:spacing w:line="300" w:lineRule="auto"/>
      <w:ind w:firstLine="592"/>
    </w:pPr>
    <w:rPr>
      <w:sz w:val="2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qFormat/>
    <w:uiPriority w:val="0"/>
    <w:rPr>
      <w:color w:val="343434"/>
      <w:u w:val="none"/>
    </w:rPr>
  </w:style>
  <w:style w:type="character" w:styleId="19">
    <w:name w:val="Emphasis"/>
    <w:basedOn w:val="17"/>
    <w:qFormat/>
    <w:uiPriority w:val="0"/>
  </w:style>
  <w:style w:type="character" w:styleId="20">
    <w:name w:val="HTML Definition"/>
    <w:basedOn w:val="17"/>
    <w:qFormat/>
    <w:uiPriority w:val="0"/>
  </w:style>
  <w:style w:type="character" w:styleId="21">
    <w:name w:val="HTML Typewriter"/>
    <w:basedOn w:val="17"/>
    <w:qFormat/>
    <w:uiPriority w:val="0"/>
    <w:rPr>
      <w:rFonts w:hint="default" w:ascii="Courier New" w:hAnsi="Courier New" w:cs="Courier New"/>
      <w:sz w:val="20"/>
    </w:rPr>
  </w:style>
  <w:style w:type="character" w:styleId="22">
    <w:name w:val="HTML Acronym"/>
    <w:basedOn w:val="17"/>
    <w:qFormat/>
    <w:uiPriority w:val="0"/>
  </w:style>
  <w:style w:type="character" w:styleId="23">
    <w:name w:val="HTML Variable"/>
    <w:basedOn w:val="17"/>
    <w:qFormat/>
    <w:uiPriority w:val="0"/>
  </w:style>
  <w:style w:type="character" w:styleId="24">
    <w:name w:val="Hyperlink"/>
    <w:basedOn w:val="17"/>
    <w:qFormat/>
    <w:uiPriority w:val="0"/>
    <w:rPr>
      <w:color w:val="343434"/>
      <w:u w:val="none"/>
    </w:rPr>
  </w:style>
  <w:style w:type="character" w:styleId="25">
    <w:name w:val="HTML Code"/>
    <w:basedOn w:val="17"/>
    <w:qFormat/>
    <w:uiPriority w:val="0"/>
    <w:rPr>
      <w:rFonts w:hint="default" w:ascii="Courier New" w:hAnsi="Courier New" w:cs="Courier New"/>
      <w:sz w:val="20"/>
    </w:rPr>
  </w:style>
  <w:style w:type="character" w:styleId="26">
    <w:name w:val="annotation reference"/>
    <w:basedOn w:val="17"/>
    <w:qFormat/>
    <w:uiPriority w:val="0"/>
    <w:rPr>
      <w:sz w:val="21"/>
      <w:szCs w:val="21"/>
    </w:rPr>
  </w:style>
  <w:style w:type="character" w:styleId="27">
    <w:name w:val="HTML Cite"/>
    <w:basedOn w:val="17"/>
    <w:qFormat/>
    <w:uiPriority w:val="0"/>
  </w:style>
  <w:style w:type="character" w:styleId="28">
    <w:name w:val="HTML Keyboard"/>
    <w:basedOn w:val="17"/>
    <w:qFormat/>
    <w:uiPriority w:val="0"/>
    <w:rPr>
      <w:rFonts w:ascii="Courier New" w:hAnsi="Courier New" w:cs="Courier New"/>
      <w:sz w:val="20"/>
    </w:rPr>
  </w:style>
  <w:style w:type="character" w:styleId="29">
    <w:name w:val="HTML Sample"/>
    <w:basedOn w:val="17"/>
    <w:qFormat/>
    <w:uiPriority w:val="0"/>
    <w:rPr>
      <w:rFonts w:hint="default" w:ascii="Courier New" w:hAnsi="Courier New" w:cs="Courier New"/>
    </w:rPr>
  </w:style>
  <w:style w:type="paragraph" w:customStyle="1" w:styleId="30">
    <w:name w:val="君邦正文"/>
    <w:basedOn w:val="1"/>
    <w:qFormat/>
    <w:uiPriority w:val="0"/>
    <w:pPr>
      <w:spacing w:after="60" w:afterLines="0" w:line="360" w:lineRule="auto"/>
      <w:ind w:firstLine="480" w:firstLineChars="200"/>
      <w:jc w:val="both"/>
    </w:pPr>
    <w:rPr>
      <w:bCs/>
      <w:snapToGrid w:val="0"/>
      <w:sz w:val="24"/>
      <w:lang w:val="en-US" w:eastAsia="zh-CN" w:bidi="ar-SA"/>
    </w:rPr>
  </w:style>
  <w:style w:type="paragraph" w:customStyle="1" w:styleId="31">
    <w:name w:val="正文(修改)"/>
    <w:basedOn w:val="1"/>
    <w:qFormat/>
    <w:uiPriority w:val="0"/>
    <w:pPr>
      <w:spacing w:line="360" w:lineRule="auto"/>
      <w:ind w:firstLine="480" w:firstLineChars="200"/>
    </w:pPr>
    <w:rPr>
      <w:kern w:val="0"/>
      <w:sz w:val="24"/>
      <w:szCs w:val="24"/>
    </w:rPr>
  </w:style>
  <w:style w:type="paragraph" w:customStyle="1" w:styleId="32">
    <w:name w:val="正文（77）"/>
    <w:qFormat/>
    <w:uiPriority w:val="0"/>
    <w:pPr>
      <w:spacing w:line="360" w:lineRule="auto"/>
      <w:ind w:firstLine="480" w:firstLineChars="200"/>
      <w:jc w:val="both"/>
    </w:pPr>
    <w:rPr>
      <w:rFonts w:ascii="Times New Roman" w:hAnsi="Times New Roman" w:eastAsia="楷体_GB2312" w:cs="宋体"/>
      <w:kern w:val="2"/>
      <w:sz w:val="24"/>
      <w:szCs w:val="22"/>
      <w:lang w:val="en-US" w:eastAsia="zh-CN" w:bidi="ar-SA"/>
    </w:rPr>
  </w:style>
  <w:style w:type="paragraph" w:customStyle="1" w:styleId="33">
    <w:name w:val="样式1"/>
    <w:basedOn w:val="1"/>
    <w:qFormat/>
    <w:uiPriority w:val="0"/>
    <w:pPr>
      <w:spacing w:line="500" w:lineRule="exact"/>
      <w:ind w:firstLine="480" w:firstLineChars="200"/>
    </w:pPr>
    <w:rPr>
      <w:sz w:val="24"/>
      <w:szCs w:val="20"/>
    </w:rPr>
  </w:style>
  <w:style w:type="paragraph" w:customStyle="1" w:styleId="34">
    <w:name w:val="表内格式"/>
    <w:basedOn w:val="1"/>
    <w:next w:val="1"/>
    <w:qFormat/>
    <w:uiPriority w:val="0"/>
    <w:pPr>
      <w:jc w:val="center"/>
    </w:pPr>
    <w:rPr>
      <w:rFonts w:eastAsia="楷体_GB2312"/>
      <w:sz w:val="18"/>
      <w:szCs w:val="18"/>
    </w:rPr>
  </w:style>
  <w:style w:type="paragraph" w:customStyle="1" w:styleId="35">
    <w:name w:val="正文2"/>
    <w:basedOn w:val="1"/>
    <w:qFormat/>
    <w:uiPriority w:val="0"/>
    <w:pPr>
      <w:adjustRightInd w:val="0"/>
      <w:snapToGrid w:val="0"/>
      <w:spacing w:line="440" w:lineRule="atLeast"/>
      <w:ind w:firstLine="567"/>
    </w:pPr>
    <w:rPr>
      <w:sz w:val="24"/>
      <w:szCs w:val="20"/>
    </w:rPr>
  </w:style>
  <w:style w:type="paragraph" w:customStyle="1" w:styleId="36">
    <w:name w:val="注释"/>
    <w:basedOn w:val="1"/>
    <w:qFormat/>
    <w:uiPriority w:val="0"/>
    <w:pPr>
      <w:adjustRightInd w:val="0"/>
      <w:snapToGrid w:val="0"/>
      <w:spacing w:line="360" w:lineRule="auto"/>
      <w:textAlignment w:val="baseline"/>
    </w:pPr>
    <w:rPr>
      <w:rFonts w:ascii="宋体"/>
      <w:snapToGrid w:val="0"/>
      <w:spacing w:val="4"/>
      <w:kern w:val="0"/>
      <w:szCs w:val="24"/>
    </w:rPr>
  </w:style>
  <w:style w:type="paragraph" w:customStyle="1" w:styleId="37">
    <w:name w:val="样式 正文首行缩进:  2 字符 + 首行缩进:  2 字符"/>
    <w:basedOn w:val="1"/>
    <w:qFormat/>
    <w:uiPriority w:val="0"/>
    <w:pPr>
      <w:spacing w:line="360" w:lineRule="auto"/>
      <w:ind w:firstLine="480" w:firstLineChars="200"/>
    </w:pPr>
    <w:rPr>
      <w:rFonts w:cs="宋体"/>
      <w:sz w:val="24"/>
    </w:rPr>
  </w:style>
  <w:style w:type="paragraph" w:customStyle="1" w:styleId="38">
    <w:name w:val="小节标题"/>
    <w:basedOn w:val="1"/>
    <w:qFormat/>
    <w:uiPriority w:val="0"/>
    <w:pPr>
      <w:widowControl/>
      <w:spacing w:before="175" w:after="102" w:line="351" w:lineRule="atLeast"/>
      <w:textAlignment w:val="baseline"/>
    </w:pPr>
    <w:rPr>
      <w:rFonts w:eastAsia="黑体"/>
      <w:color w:val="000000"/>
      <w:kern w:val="0"/>
      <w:u w:val="none" w:color="000000"/>
    </w:rPr>
  </w:style>
  <w:style w:type="paragraph" w:customStyle="1" w:styleId="39">
    <w:name w:val="reader-word-layer reader-word-s30-3"/>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40">
    <w:name w:val="right"/>
    <w:basedOn w:val="17"/>
    <w:qFormat/>
    <w:uiPriority w:val="0"/>
  </w:style>
  <w:style w:type="character" w:customStyle="1" w:styleId="41">
    <w:name w:val="left"/>
    <w:basedOn w:val="17"/>
    <w:qFormat/>
    <w:uiPriority w:val="0"/>
  </w:style>
  <w:style w:type="character" w:customStyle="1" w:styleId="42">
    <w:name w:val="rotator"/>
    <w:basedOn w:val="17"/>
    <w:qFormat/>
    <w:uiPriority w:val="0"/>
  </w:style>
  <w:style w:type="character" w:customStyle="1" w:styleId="43">
    <w:name w:val="pause"/>
    <w:basedOn w:val="17"/>
    <w:qFormat/>
    <w:uiPriority w:val="0"/>
  </w:style>
  <w:style w:type="character" w:customStyle="1" w:styleId="44">
    <w:name w:val="mask"/>
    <w:basedOn w:val="17"/>
    <w:qFormat/>
    <w:uiPriority w:val="0"/>
  </w:style>
  <w:style w:type="character" w:customStyle="1" w:styleId="45">
    <w:name w:val="labeltitle1"/>
    <w:basedOn w:val="17"/>
    <w:qFormat/>
    <w:uiPriority w:val="0"/>
    <w:rPr>
      <w:b/>
      <w:sz w:val="30"/>
      <w:szCs w:val="30"/>
    </w:rPr>
  </w:style>
  <w:style w:type="character" w:customStyle="1" w:styleId="46">
    <w:name w:val="labeltitle21"/>
    <w:basedOn w:val="17"/>
    <w:qFormat/>
    <w:uiPriority w:val="0"/>
    <w:rPr>
      <w:b/>
      <w:sz w:val="19"/>
      <w:szCs w:val="19"/>
    </w:rPr>
  </w:style>
  <w:style w:type="paragraph" w:customStyle="1" w:styleId="4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file:///C:\DOCUME~1\ADMINI~1\LOCALS~1\Temp\ksohtml\wps24B.tmp.png"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11988</Words>
  <Characters>14150</Characters>
  <Lines>0</Lines>
  <Paragraphs>0</Paragraphs>
  <TotalTime>0</TotalTime>
  <ScaleCrop>false</ScaleCrop>
  <LinksUpToDate>false</LinksUpToDate>
  <CharactersWithSpaces>14245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2017-07-12T05:12:00Z</dcterms:created>
  <dc:creator>Administrator</dc:creator>
  <cp:lastModifiedBy>李妮</cp:lastModifiedBy>
  <dcterms:modified xsi:type="dcterms:W3CDTF">2025-09-23T08:06:04Z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eyJoZGlkIjoiNWI1ZTA5YTFiMmY1MjJkYmQ5NTJlNDA0OGJhNzNiNWIiLCJ1c2VySWQiOiIyOTgzOTI0MjEifQ==</vt:lpwstr>
  </property>
  <property fmtid="{D5CDD505-2E9C-101B-9397-08002B2CF9AE}" pid="4" name="ICV">
    <vt:lpwstr>1CC45429E58F4F2799077ADDF4EEC23D_12</vt:lpwstr>
  </property>
</Properties>
</file>