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640108">
      <w:pPr>
        <w:rPr>
          <w:rFonts w:hint="eastAsia" w:ascii="Times New Roman" w:hAnsi="Times New Roman" w:cs="Times New Roman"/>
          <w:b/>
          <w:sz w:val="24"/>
          <w:szCs w:val="24"/>
        </w:rPr>
      </w:pPr>
      <w:r>
        <w:rPr>
          <w:rFonts w:ascii="Times New Roman" w:hAnsi="Times New Roman" w:cs="Times New Roman"/>
          <w:b/>
          <w:sz w:val="24"/>
          <w:szCs w:val="24"/>
        </w:rPr>
        <w:t>附件1 环评项目委托书</w:t>
      </w:r>
    </w:p>
    <w:p w14:paraId="2804DA28">
      <w:pPr>
        <w:rPr>
          <w:rFonts w:ascii="Times New Roman" w:hAnsi="Times New Roman" w:cs="Times New Roman"/>
          <w:b/>
          <w:sz w:val="24"/>
          <w:szCs w:val="24"/>
        </w:rPr>
      </w:pPr>
    </w:p>
    <w:p w14:paraId="580A8C2F">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7496175" cy="5132705"/>
            <wp:effectExtent l="635" t="0" r="0" b="0"/>
            <wp:docPr id="1" name="图片 1" descr="C:\Users\lenocob\Documents\Tencent Files\406558128\Image\C2C\7C5B48E5AD5679F782FCE41119B00A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enocob\Documents\Tencent Files\406558128\Image\C2C\7C5B48E5AD5679F782FCE41119B00AB9.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rot="5400000">
                      <a:off x="0" y="0"/>
                      <a:ext cx="7489717" cy="5127997"/>
                    </a:xfrm>
                    <a:prstGeom prst="rect">
                      <a:avLst/>
                    </a:prstGeom>
                    <a:noFill/>
                    <a:ln>
                      <a:noFill/>
                    </a:ln>
                  </pic:spPr>
                </pic:pic>
              </a:graphicData>
            </a:graphic>
          </wp:inline>
        </w:drawing>
      </w:r>
    </w:p>
    <w:p w14:paraId="4AB90DD6">
      <w:pPr>
        <w:rPr>
          <w:rFonts w:ascii="Times New Roman" w:hAnsi="Times New Roman" w:cs="Times New Roman"/>
          <w:b/>
          <w:sz w:val="24"/>
          <w:szCs w:val="24"/>
        </w:rPr>
      </w:pPr>
    </w:p>
    <w:p w14:paraId="34101281">
      <w:pPr>
        <w:rPr>
          <w:rFonts w:ascii="Times New Roman" w:hAnsi="Times New Roman" w:cs="Times New Roman"/>
          <w:b/>
          <w:sz w:val="24"/>
          <w:szCs w:val="24"/>
        </w:rPr>
      </w:pPr>
    </w:p>
    <w:p w14:paraId="28B34BCF">
      <w:pPr>
        <w:rPr>
          <w:rFonts w:ascii="Times New Roman" w:hAnsi="Times New Roman" w:cs="Times New Roman"/>
          <w:b/>
          <w:sz w:val="24"/>
          <w:szCs w:val="24"/>
        </w:rPr>
      </w:pPr>
    </w:p>
    <w:p w14:paraId="0F579722">
      <w:pPr>
        <w:rPr>
          <w:rFonts w:ascii="Times New Roman" w:hAnsi="Times New Roman" w:cs="Times New Roman"/>
          <w:b/>
          <w:sz w:val="24"/>
          <w:szCs w:val="24"/>
        </w:rPr>
        <w:sectPr>
          <w:footerReference r:id="rId3" w:type="default"/>
          <w:pgSz w:w="11906" w:h="16838"/>
          <w:pgMar w:top="1440" w:right="1800" w:bottom="1440" w:left="1800" w:header="851" w:footer="992" w:gutter="0"/>
          <w:cols w:space="425" w:num="1"/>
          <w:docGrid w:type="lines" w:linePitch="312" w:charSpace="0"/>
        </w:sectPr>
      </w:pPr>
    </w:p>
    <w:p w14:paraId="0B9568A5">
      <w:pPr>
        <w:rPr>
          <w:rFonts w:ascii="Times New Roman" w:hAnsi="Times New Roman" w:cs="Times New Roman"/>
          <w:b/>
          <w:sz w:val="24"/>
          <w:szCs w:val="24"/>
        </w:rPr>
      </w:pPr>
      <w:r>
        <w:rPr>
          <w:rFonts w:ascii="Times New Roman" w:hAnsi="Times New Roman" w:cs="Times New Roman"/>
          <w:b/>
          <w:sz w:val="24"/>
          <w:szCs w:val="24"/>
        </w:rPr>
        <w:t>附件</w:t>
      </w:r>
      <w:r>
        <w:rPr>
          <w:rFonts w:hint="eastAsia" w:ascii="Times New Roman" w:hAnsi="Times New Roman" w:cs="Times New Roman"/>
          <w:b/>
          <w:sz w:val="24"/>
          <w:szCs w:val="24"/>
        </w:rPr>
        <w:t>2项目备案证</w:t>
      </w:r>
    </w:p>
    <w:p w14:paraId="52D6BDB8">
      <w:pPr>
        <w:rPr>
          <w:rFonts w:ascii="Times New Roman" w:hAnsi="Times New Roman" w:cs="Times New Roman"/>
          <w:b/>
          <w:sz w:val="24"/>
          <w:szCs w:val="24"/>
        </w:rPr>
        <w:sectPr>
          <w:pgSz w:w="16838" w:h="11906" w:orient="landscape"/>
          <w:pgMar w:top="1800" w:right="1440" w:bottom="1800" w:left="1440" w:header="851" w:footer="992" w:gutter="0"/>
          <w:cols w:space="425" w:num="1"/>
          <w:docGrid w:type="lines" w:linePitch="312" w:charSpace="0"/>
        </w:sectPr>
      </w:pPr>
      <w:r>
        <w:rPr>
          <w:rFonts w:ascii="Times New Roman" w:hAnsi="Times New Roman" w:cs="Times New Roman"/>
          <w:b/>
          <w:sz w:val="24"/>
          <w:szCs w:val="24"/>
        </w:rPr>
        <w:drawing>
          <wp:inline distT="0" distB="0" distL="0" distR="0">
            <wp:extent cx="7619365" cy="4800600"/>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7616190" cy="4798289"/>
                    </a:xfrm>
                    <a:prstGeom prst="rect">
                      <a:avLst/>
                    </a:prstGeom>
                  </pic:spPr>
                </pic:pic>
              </a:graphicData>
            </a:graphic>
          </wp:inline>
        </w:drawing>
      </w:r>
    </w:p>
    <w:p w14:paraId="06EC25C7">
      <w:pPr>
        <w:rPr>
          <w:rFonts w:ascii="Times New Roman" w:hAnsi="Times New Roman" w:cs="Times New Roman"/>
          <w:b/>
          <w:sz w:val="24"/>
          <w:szCs w:val="24"/>
        </w:rPr>
      </w:pPr>
      <w:r>
        <w:rPr>
          <w:rFonts w:hint="eastAsia" w:ascii="Times New Roman" w:hAnsi="Times New Roman" w:cs="Times New Roman"/>
          <w:b/>
          <w:sz w:val="24"/>
          <w:szCs w:val="24"/>
        </w:rPr>
        <w:t>附件3  建设用地规划许可证</w:t>
      </w:r>
    </w:p>
    <w:p w14:paraId="2C2CB643">
      <w:pPr>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5271135" cy="8153400"/>
            <wp:effectExtent l="0" t="0" r="571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274310" cy="8157636"/>
                    </a:xfrm>
                    <a:prstGeom prst="rect">
                      <a:avLst/>
                    </a:prstGeom>
                  </pic:spPr>
                </pic:pic>
              </a:graphicData>
            </a:graphic>
          </wp:inline>
        </w:drawing>
      </w:r>
    </w:p>
    <w:p w14:paraId="4433D2A7">
      <w:pPr>
        <w:rPr>
          <w:rFonts w:ascii="Times New Roman" w:hAnsi="Times New Roman" w:cs="Times New Roman"/>
          <w:b/>
          <w:sz w:val="24"/>
          <w:szCs w:val="24"/>
        </w:rPr>
      </w:pPr>
    </w:p>
    <w:p w14:paraId="55E98EFD">
      <w:pPr>
        <w:rPr>
          <w:rFonts w:ascii="Times New Roman" w:hAnsi="Times New Roman" w:cs="Times New Roman"/>
          <w:b/>
          <w:sz w:val="24"/>
          <w:szCs w:val="24"/>
        </w:rPr>
      </w:pPr>
      <w:r>
        <w:rPr>
          <w:rFonts w:hint="eastAsia" w:ascii="Times New Roman" w:hAnsi="Times New Roman" w:cs="Times New Roman"/>
          <w:b/>
          <w:sz w:val="24"/>
          <w:szCs w:val="24"/>
        </w:rPr>
        <w:t>附件4葛店开发区规划环评</w:t>
      </w:r>
      <w:r>
        <w:rPr>
          <w:rFonts w:ascii="Times New Roman" w:hAnsi="Times New Roman" w:cs="Times New Roman"/>
          <w:b/>
          <w:sz w:val="24"/>
          <w:szCs w:val="24"/>
        </w:rPr>
        <w:t>批复</w:t>
      </w:r>
    </w:p>
    <w:p w14:paraId="60F61D89">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114300" distR="114300">
            <wp:extent cx="5271770" cy="7713345"/>
            <wp:effectExtent l="0" t="0" r="5080" b="1905"/>
            <wp:docPr id="7" name="图片 7" descr="IMG_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1358"/>
                    <pic:cNvPicPr>
                      <a:picLocks noChangeAspect="1"/>
                    </pic:cNvPicPr>
                  </pic:nvPicPr>
                  <pic:blipFill>
                    <a:blip r:embed="rId8"/>
                    <a:stretch>
                      <a:fillRect/>
                    </a:stretch>
                  </pic:blipFill>
                  <pic:spPr>
                    <a:xfrm>
                      <a:off x="0" y="0"/>
                      <a:ext cx="5271770" cy="7713345"/>
                    </a:xfrm>
                    <a:prstGeom prst="rect">
                      <a:avLst/>
                    </a:prstGeom>
                  </pic:spPr>
                </pic:pic>
              </a:graphicData>
            </a:graphic>
          </wp:inline>
        </w:drawing>
      </w:r>
    </w:p>
    <w:p w14:paraId="5B663519">
      <w:pPr>
        <w:rPr>
          <w:rFonts w:ascii="Times New Roman" w:hAnsi="Times New Roman" w:cs="Times New Roman"/>
          <w:b/>
          <w:sz w:val="24"/>
          <w:szCs w:val="24"/>
        </w:rPr>
      </w:pPr>
    </w:p>
    <w:p w14:paraId="3042D7F2">
      <w:pPr>
        <w:rPr>
          <w:rFonts w:ascii="Times New Roman" w:hAnsi="Times New Roman" w:cs="Times New Roman"/>
          <w:b/>
          <w:sz w:val="24"/>
          <w:szCs w:val="24"/>
        </w:rPr>
      </w:pPr>
    </w:p>
    <w:p w14:paraId="422FDF5C">
      <w:pPr>
        <w:rPr>
          <w:rFonts w:ascii="Times New Roman" w:hAnsi="Times New Roman" w:cs="Times New Roman"/>
          <w:b/>
          <w:sz w:val="24"/>
          <w:szCs w:val="24"/>
        </w:rPr>
      </w:pPr>
    </w:p>
    <w:p w14:paraId="12502C51">
      <w:pPr>
        <w:rPr>
          <w:rFonts w:ascii="Times New Roman" w:hAnsi="Times New Roman" w:cs="Times New Roman"/>
          <w:b/>
          <w:sz w:val="24"/>
          <w:szCs w:val="24"/>
        </w:rPr>
      </w:pPr>
    </w:p>
    <w:p w14:paraId="68092B5C">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114300" distR="114300">
            <wp:extent cx="5269230" cy="8597265"/>
            <wp:effectExtent l="0" t="0" r="7620" b="13335"/>
            <wp:docPr id="16" name="图片 16" descr="IMG_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1359"/>
                    <pic:cNvPicPr>
                      <a:picLocks noChangeAspect="1"/>
                    </pic:cNvPicPr>
                  </pic:nvPicPr>
                  <pic:blipFill>
                    <a:blip r:embed="rId9"/>
                    <a:stretch>
                      <a:fillRect/>
                    </a:stretch>
                  </pic:blipFill>
                  <pic:spPr>
                    <a:xfrm>
                      <a:off x="0" y="0"/>
                      <a:ext cx="5269230" cy="8597265"/>
                    </a:xfrm>
                    <a:prstGeom prst="rect">
                      <a:avLst/>
                    </a:prstGeom>
                  </pic:spPr>
                </pic:pic>
              </a:graphicData>
            </a:graphic>
          </wp:inline>
        </w:drawing>
      </w:r>
    </w:p>
    <w:p w14:paraId="2532E8D9">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114300" distR="114300">
            <wp:extent cx="5366385" cy="7922895"/>
            <wp:effectExtent l="0" t="0" r="5715" b="1905"/>
            <wp:docPr id="17" name="图片 17" descr="IMG_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1357"/>
                    <pic:cNvPicPr>
                      <a:picLocks noChangeAspect="1"/>
                    </pic:cNvPicPr>
                  </pic:nvPicPr>
                  <pic:blipFill>
                    <a:blip r:embed="rId10"/>
                    <a:stretch>
                      <a:fillRect/>
                    </a:stretch>
                  </pic:blipFill>
                  <pic:spPr>
                    <a:xfrm>
                      <a:off x="0" y="0"/>
                      <a:ext cx="5366385" cy="7922895"/>
                    </a:xfrm>
                    <a:prstGeom prst="rect">
                      <a:avLst/>
                    </a:prstGeom>
                  </pic:spPr>
                </pic:pic>
              </a:graphicData>
            </a:graphic>
          </wp:inline>
        </w:drawing>
      </w:r>
    </w:p>
    <w:p w14:paraId="079E2D78">
      <w:pPr>
        <w:rPr>
          <w:rFonts w:ascii="Times New Roman" w:hAnsi="Times New Roman" w:cs="Times New Roman"/>
          <w:b/>
          <w:sz w:val="24"/>
          <w:szCs w:val="24"/>
        </w:rPr>
      </w:pPr>
    </w:p>
    <w:p w14:paraId="30D5A496">
      <w:pPr>
        <w:rPr>
          <w:rFonts w:ascii="Times New Roman" w:hAnsi="Times New Roman" w:cs="Times New Roman"/>
          <w:b/>
          <w:sz w:val="24"/>
          <w:szCs w:val="24"/>
        </w:rPr>
      </w:pPr>
    </w:p>
    <w:p w14:paraId="7AC87A81">
      <w:pPr>
        <w:rPr>
          <w:rFonts w:ascii="Times New Roman" w:hAnsi="Times New Roman" w:cs="Times New Roman"/>
          <w:b/>
          <w:sz w:val="24"/>
          <w:szCs w:val="24"/>
        </w:rPr>
      </w:pPr>
    </w:p>
    <w:p w14:paraId="270FB526">
      <w:pPr>
        <w:rPr>
          <w:rFonts w:ascii="Times New Roman" w:hAnsi="Times New Roman" w:cs="Times New Roman"/>
          <w:b/>
          <w:sz w:val="24"/>
          <w:szCs w:val="24"/>
        </w:rPr>
      </w:pPr>
    </w:p>
    <w:p w14:paraId="2A2F58A6">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114300" distR="114300">
            <wp:extent cx="5516880" cy="7867650"/>
            <wp:effectExtent l="0" t="0" r="7620" b="0"/>
            <wp:docPr id="18" name="图片 18" descr="IMG_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1356"/>
                    <pic:cNvPicPr>
                      <a:picLocks noChangeAspect="1"/>
                    </pic:cNvPicPr>
                  </pic:nvPicPr>
                  <pic:blipFill>
                    <a:blip r:embed="rId11"/>
                    <a:stretch>
                      <a:fillRect/>
                    </a:stretch>
                  </pic:blipFill>
                  <pic:spPr>
                    <a:xfrm>
                      <a:off x="0" y="0"/>
                      <a:ext cx="5516880" cy="7867650"/>
                    </a:xfrm>
                    <a:prstGeom prst="rect">
                      <a:avLst/>
                    </a:prstGeom>
                  </pic:spPr>
                </pic:pic>
              </a:graphicData>
            </a:graphic>
          </wp:inline>
        </w:drawing>
      </w:r>
    </w:p>
    <w:p w14:paraId="4DE26ED6">
      <w:pPr>
        <w:rPr>
          <w:rFonts w:ascii="Times New Roman" w:hAnsi="Times New Roman" w:cs="Times New Roman"/>
          <w:b/>
          <w:sz w:val="24"/>
          <w:szCs w:val="24"/>
        </w:rPr>
      </w:pPr>
    </w:p>
    <w:p w14:paraId="1EAFEFBA">
      <w:pPr>
        <w:rPr>
          <w:rFonts w:ascii="Times New Roman" w:hAnsi="Times New Roman" w:cs="Times New Roman"/>
          <w:b/>
          <w:sz w:val="24"/>
          <w:szCs w:val="24"/>
        </w:rPr>
      </w:pPr>
    </w:p>
    <w:p w14:paraId="71BEE192">
      <w:pPr>
        <w:rPr>
          <w:rFonts w:ascii="Times New Roman" w:hAnsi="Times New Roman" w:cs="Times New Roman"/>
          <w:b/>
          <w:sz w:val="24"/>
          <w:szCs w:val="24"/>
        </w:rPr>
      </w:pPr>
    </w:p>
    <w:p w14:paraId="7113E2AD">
      <w:pPr>
        <w:spacing w:line="360" w:lineRule="auto"/>
        <w:rPr>
          <w:rFonts w:ascii="Times New Roman" w:hAnsi="Times New Roman" w:cs="Times New Roman"/>
          <w:b/>
          <w:sz w:val="24"/>
          <w:szCs w:val="24"/>
        </w:rPr>
      </w:pPr>
      <w:r>
        <w:rPr>
          <w:rFonts w:hint="eastAsia" w:ascii="Times New Roman" w:cs="Times New Roman"/>
          <w:b/>
        </w:rPr>
        <w:t>附件5</w:t>
      </w:r>
      <w:r>
        <w:rPr>
          <w:rFonts w:ascii="Times New Roman" w:cs="Times New Roman"/>
          <w:b/>
        </w:rPr>
        <w:t>湖北武洲新材料</w:t>
      </w:r>
      <w:r>
        <w:rPr>
          <w:rFonts w:hint="eastAsia" w:ascii="Times New Roman" w:cs="Times New Roman"/>
          <w:b/>
        </w:rPr>
        <w:t>有限公司年产6000吨硅钢片无机涂料溶液工程项目环评批复</w:t>
      </w:r>
      <w:r>
        <w:rPr>
          <w:rFonts w:ascii="Times New Roman" w:hAnsi="Times New Roman" w:cs="Times New Roman"/>
          <w:b/>
          <w:sz w:val="24"/>
          <w:szCs w:val="24"/>
        </w:rPr>
        <w:drawing>
          <wp:inline distT="0" distB="0" distL="0" distR="0">
            <wp:extent cx="7900035" cy="5343525"/>
            <wp:effectExtent l="1905"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rot="5400000">
                      <a:off x="0" y="0"/>
                      <a:ext cx="7908787" cy="5349204"/>
                    </a:xfrm>
                    <a:prstGeom prst="rect">
                      <a:avLst/>
                    </a:prstGeom>
                  </pic:spPr>
                </pic:pic>
              </a:graphicData>
            </a:graphic>
          </wp:inline>
        </w:drawing>
      </w:r>
    </w:p>
    <w:p w14:paraId="1C00A87D">
      <w:pPr>
        <w:rPr>
          <w:rFonts w:ascii="Times New Roman" w:hAnsi="Times New Roman" w:cs="Times New Roman"/>
          <w:b/>
          <w:sz w:val="24"/>
          <w:szCs w:val="24"/>
        </w:rPr>
      </w:pPr>
    </w:p>
    <w:p w14:paraId="644DD113">
      <w:pPr>
        <w:rPr>
          <w:rFonts w:ascii="Times New Roman" w:hAnsi="Times New Roman" w:cs="Times New Roman"/>
          <w:b/>
          <w:sz w:val="24"/>
          <w:szCs w:val="24"/>
        </w:rPr>
      </w:pPr>
    </w:p>
    <w:p w14:paraId="3B9CE04F">
      <w:pPr>
        <w:rPr>
          <w:rFonts w:ascii="Times New Roman" w:hAnsi="Times New Roman" w:cs="Times New Roman"/>
          <w:b/>
          <w:sz w:val="24"/>
          <w:szCs w:val="24"/>
        </w:rPr>
      </w:pPr>
    </w:p>
    <w:p w14:paraId="6B994A85">
      <w:pPr>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8358505" cy="5181600"/>
            <wp:effectExtent l="7303"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rot="5400000">
                      <a:off x="0" y="0"/>
                      <a:ext cx="8368040" cy="5187357"/>
                    </a:xfrm>
                    <a:prstGeom prst="rect">
                      <a:avLst/>
                    </a:prstGeom>
                  </pic:spPr>
                </pic:pic>
              </a:graphicData>
            </a:graphic>
          </wp:inline>
        </w:drawing>
      </w:r>
    </w:p>
    <w:p w14:paraId="64AB01A0">
      <w:pPr>
        <w:rPr>
          <w:rFonts w:ascii="Times New Roman" w:hAnsi="Times New Roman" w:cs="Times New Roman"/>
          <w:b/>
          <w:sz w:val="24"/>
          <w:szCs w:val="24"/>
        </w:rPr>
      </w:pPr>
    </w:p>
    <w:p w14:paraId="2594A92E">
      <w:pPr>
        <w:spacing w:line="360" w:lineRule="auto"/>
        <w:rPr>
          <w:rFonts w:ascii="Times New Roman" w:cs="Times New Roman"/>
          <w:b/>
        </w:rPr>
      </w:pPr>
      <w:r>
        <w:rPr>
          <w:rFonts w:hint="eastAsia" w:ascii="Times New Roman" w:cs="Times New Roman"/>
          <w:b/>
        </w:rPr>
        <w:t>附件6 武汉华甜生物科技有限公司</w:t>
      </w:r>
      <w:r>
        <w:rPr>
          <w:rFonts w:ascii="Times New Roman" w:cs="Times New Roman"/>
          <w:b/>
        </w:rPr>
        <w:t>1000吨食品添加剂生产项目</w:t>
      </w:r>
      <w:r>
        <w:rPr>
          <w:rFonts w:hint="eastAsia" w:ascii="Times New Roman" w:cs="Times New Roman"/>
          <w:b/>
        </w:rPr>
        <w:t>竣工环保验收文件</w:t>
      </w:r>
    </w:p>
    <w:p w14:paraId="0B9B1B33">
      <w:pPr>
        <w:rPr>
          <w:rFonts w:ascii="Times New Roman" w:hAnsi="Times New Roman" w:cs="Times New Roman"/>
          <w:b/>
          <w:sz w:val="24"/>
          <w:szCs w:val="24"/>
        </w:rPr>
      </w:pPr>
    </w:p>
    <w:p w14:paraId="4406E18E">
      <w:pPr>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8049260" cy="4989830"/>
            <wp:effectExtent l="5715"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rot="5400000">
                      <a:off x="0" y="0"/>
                      <a:ext cx="8045386" cy="4987428"/>
                    </a:xfrm>
                    <a:prstGeom prst="rect">
                      <a:avLst/>
                    </a:prstGeom>
                  </pic:spPr>
                </pic:pic>
              </a:graphicData>
            </a:graphic>
          </wp:inline>
        </w:drawing>
      </w:r>
    </w:p>
    <w:p w14:paraId="01ED6AE9">
      <w:pPr>
        <w:rPr>
          <w:rFonts w:ascii="Times New Roman" w:hAnsi="Times New Roman" w:cs="Times New Roman"/>
          <w:b/>
          <w:sz w:val="24"/>
          <w:szCs w:val="24"/>
        </w:rPr>
      </w:pPr>
    </w:p>
    <w:p w14:paraId="096DD1FC">
      <w:pPr>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8394700" cy="5305425"/>
            <wp:effectExtent l="1587" t="0" r="7938" b="7937"/>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rot="5400000">
                      <a:off x="0" y="0"/>
                      <a:ext cx="8404222" cy="5311122"/>
                    </a:xfrm>
                    <a:prstGeom prst="rect">
                      <a:avLst/>
                    </a:prstGeom>
                  </pic:spPr>
                </pic:pic>
              </a:graphicData>
            </a:graphic>
          </wp:inline>
        </w:drawing>
      </w:r>
    </w:p>
    <w:p w14:paraId="43A14E7E">
      <w:pPr>
        <w:rPr>
          <w:rFonts w:ascii="Times New Roman" w:hAnsi="Times New Roman" w:cs="Times New Roman"/>
          <w:b/>
          <w:sz w:val="24"/>
          <w:szCs w:val="24"/>
        </w:rPr>
      </w:pPr>
    </w:p>
    <w:p w14:paraId="109A8BBA">
      <w:pPr>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8653780" cy="5257800"/>
            <wp:effectExtent l="254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rot="5400000">
                      <a:off x="0" y="0"/>
                      <a:ext cx="8663504" cy="5263520"/>
                    </a:xfrm>
                    <a:prstGeom prst="rect">
                      <a:avLst/>
                    </a:prstGeom>
                  </pic:spPr>
                </pic:pic>
              </a:graphicData>
            </a:graphic>
          </wp:inline>
        </w:drawing>
      </w:r>
    </w:p>
    <w:p w14:paraId="4CFCAA31">
      <w:pPr>
        <w:rPr>
          <w:rFonts w:ascii="Times New Roman" w:hAnsi="Times New Roman" w:cs="Times New Roman"/>
          <w:b/>
          <w:sz w:val="24"/>
          <w:szCs w:val="24"/>
        </w:rPr>
      </w:pPr>
      <w:r>
        <w:rPr>
          <w:rFonts w:hint="eastAsia" w:ascii="Times New Roman" w:hAnsi="Times New Roman" w:cs="Times New Roman"/>
          <w:b/>
          <w:sz w:val="24"/>
          <w:szCs w:val="24"/>
        </w:rPr>
        <w:t>附件7建设项目内容确认函</w:t>
      </w:r>
    </w:p>
    <w:p w14:paraId="0EE21E7F">
      <w:pPr>
        <w:rPr>
          <w:rFonts w:ascii="Times New Roman" w:hAnsi="Times New Roman" w:cs="Times New Roman"/>
          <w:b/>
          <w:sz w:val="24"/>
          <w:szCs w:val="24"/>
        </w:rPr>
      </w:pPr>
    </w:p>
    <w:p w14:paraId="4312730A">
      <w:pPr>
        <w:spacing w:line="360" w:lineRule="auto"/>
        <w:rPr>
          <w:rFonts w:ascii="宋体" w:hAnsi="宋体"/>
          <w:b/>
          <w:sz w:val="24"/>
        </w:rPr>
      </w:pPr>
      <w:r>
        <w:rPr>
          <w:rFonts w:ascii="黑体" w:hAnsi="宋体" w:eastAsia="黑体"/>
          <w:sz w:val="52"/>
          <w:szCs w:val="52"/>
        </w:rPr>
        <w:drawing>
          <wp:inline distT="0" distB="0" distL="0" distR="0">
            <wp:extent cx="8013065" cy="5337810"/>
            <wp:effectExtent l="4128"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rot="5400000">
                      <a:off x="0" y="0"/>
                      <a:ext cx="8037821" cy="5354250"/>
                    </a:xfrm>
                    <a:prstGeom prst="rect">
                      <a:avLst/>
                    </a:prstGeom>
                  </pic:spPr>
                </pic:pic>
              </a:graphicData>
            </a:graphic>
          </wp:inline>
        </w:drawing>
      </w:r>
    </w:p>
    <w:p w14:paraId="1453B1AC">
      <w:pPr>
        <w:spacing w:line="360" w:lineRule="auto"/>
        <w:rPr>
          <w:rFonts w:ascii="宋体" w:hAnsi="宋体"/>
          <w:b/>
          <w:sz w:val="24"/>
        </w:rPr>
      </w:pPr>
    </w:p>
    <w:p w14:paraId="19FD6290">
      <w:pPr>
        <w:rPr>
          <w:rFonts w:ascii="Times New Roman" w:hAnsi="Times New Roman" w:cs="Times New Roman"/>
          <w:b/>
          <w:sz w:val="24"/>
          <w:szCs w:val="24"/>
        </w:rPr>
      </w:pPr>
      <w:r>
        <w:rPr>
          <w:rFonts w:ascii="Times New Roman" w:hAnsi="Times New Roman" w:cs="Times New Roman"/>
          <w:b/>
          <w:sz w:val="24"/>
          <w:szCs w:val="24"/>
        </w:rPr>
        <w:t>附件</w:t>
      </w:r>
      <w:r>
        <w:rPr>
          <w:rFonts w:hint="eastAsia" w:ascii="Times New Roman" w:hAnsi="Times New Roman" w:cs="Times New Roman"/>
          <w:b/>
          <w:sz w:val="24"/>
          <w:szCs w:val="24"/>
        </w:rPr>
        <w:t>8风险应急预案（企业承诺待完善）</w:t>
      </w:r>
    </w:p>
    <w:p w14:paraId="49665E71">
      <w:pPr>
        <w:rPr>
          <w:rFonts w:ascii="Times New Roman" w:hAnsi="Times New Roman" w:cs="Times New Roman"/>
          <w:b/>
          <w:sz w:val="24"/>
          <w:szCs w:val="24"/>
        </w:rPr>
      </w:pPr>
    </w:p>
    <w:p w14:paraId="608C1F40">
      <w:pPr>
        <w:rPr>
          <w:rFonts w:ascii="Times New Roman" w:hAnsi="Times New Roman" w:cs="Times New Roman"/>
          <w:b/>
          <w:sz w:val="24"/>
          <w:szCs w:val="24"/>
        </w:rPr>
      </w:pPr>
    </w:p>
    <w:p w14:paraId="66371E66">
      <w:pPr>
        <w:rPr>
          <w:rFonts w:ascii="Times New Roman" w:hAnsi="Times New Roman" w:cs="Times New Roman"/>
          <w:b/>
          <w:sz w:val="24"/>
          <w:szCs w:val="24"/>
        </w:rPr>
      </w:pPr>
    </w:p>
    <w:p w14:paraId="648611C8">
      <w:pPr>
        <w:rPr>
          <w:rFonts w:ascii="Times New Roman" w:hAnsi="Times New Roman" w:cs="Times New Roman"/>
          <w:b/>
          <w:sz w:val="24"/>
          <w:szCs w:val="24"/>
        </w:rPr>
      </w:pPr>
    </w:p>
    <w:p w14:paraId="6B86FC38">
      <w:pPr>
        <w:rPr>
          <w:rFonts w:ascii="Times New Roman" w:hAnsi="Times New Roman" w:cs="Times New Roman"/>
          <w:b/>
          <w:sz w:val="24"/>
          <w:szCs w:val="24"/>
        </w:rPr>
      </w:pPr>
    </w:p>
    <w:p w14:paraId="2F90DADD">
      <w:pPr>
        <w:tabs>
          <w:tab w:val="left" w:pos="989"/>
          <w:tab w:val="center" w:pos="4152"/>
        </w:tabs>
        <w:spacing w:line="240" w:lineRule="atLeast"/>
        <w:jc w:val="center"/>
        <w:rPr>
          <w:rFonts w:eastAsia="黑体"/>
          <w:b/>
          <w:bCs/>
          <w:sz w:val="44"/>
        </w:rPr>
      </w:pPr>
      <w:r>
        <w:rPr>
          <w:rFonts w:hint="eastAsia" w:eastAsia="黑体"/>
          <w:b/>
          <w:bCs/>
          <w:sz w:val="44"/>
        </w:rPr>
        <w:t>湖北武洲新材有限公司</w:t>
      </w:r>
    </w:p>
    <w:p w14:paraId="0F5A9B1F">
      <w:pPr>
        <w:tabs>
          <w:tab w:val="left" w:pos="989"/>
          <w:tab w:val="center" w:pos="4152"/>
        </w:tabs>
        <w:spacing w:line="240" w:lineRule="atLeast"/>
        <w:jc w:val="center"/>
        <w:rPr>
          <w:rFonts w:eastAsia="黑体"/>
          <w:b/>
          <w:sz w:val="44"/>
        </w:rPr>
      </w:pPr>
      <w:r>
        <w:rPr>
          <w:rFonts w:hint="eastAsia" w:eastAsia="黑体"/>
          <w:b/>
          <w:bCs/>
          <w:sz w:val="44"/>
        </w:rPr>
        <w:t>年产300吨水性工业涂料生产项目</w:t>
      </w:r>
    </w:p>
    <w:p w14:paraId="653F3536">
      <w:pPr>
        <w:spacing w:line="240" w:lineRule="atLeast"/>
        <w:jc w:val="center"/>
        <w:rPr>
          <w:rFonts w:eastAsia="黑体"/>
          <w:b/>
          <w:sz w:val="44"/>
        </w:rPr>
      </w:pPr>
    </w:p>
    <w:p w14:paraId="57CCB79F">
      <w:pPr>
        <w:spacing w:line="240" w:lineRule="atLeast"/>
        <w:jc w:val="center"/>
        <w:rPr>
          <w:rFonts w:eastAsia="黑体"/>
          <w:b/>
          <w:sz w:val="84"/>
          <w:szCs w:val="84"/>
        </w:rPr>
      </w:pPr>
      <w:r>
        <w:rPr>
          <w:rFonts w:hint="eastAsia" w:eastAsia="黑体"/>
          <w:b/>
          <w:sz w:val="84"/>
          <w:szCs w:val="84"/>
        </w:rPr>
        <w:t>环境风险应急预案</w:t>
      </w:r>
    </w:p>
    <w:p w14:paraId="07C73972">
      <w:pPr>
        <w:spacing w:line="240" w:lineRule="atLeast"/>
        <w:jc w:val="center"/>
        <w:rPr>
          <w:rFonts w:eastAsia="黑体"/>
          <w:b/>
          <w:sz w:val="44"/>
        </w:rPr>
      </w:pPr>
    </w:p>
    <w:p w14:paraId="2DFB6FC6">
      <w:pPr>
        <w:spacing w:line="240" w:lineRule="atLeast"/>
        <w:jc w:val="left"/>
        <w:rPr>
          <w:sz w:val="24"/>
        </w:rPr>
      </w:pPr>
    </w:p>
    <w:p w14:paraId="701C8D97">
      <w:pPr>
        <w:spacing w:line="240" w:lineRule="atLeast"/>
        <w:jc w:val="left"/>
        <w:rPr>
          <w:sz w:val="24"/>
        </w:rPr>
      </w:pPr>
    </w:p>
    <w:p w14:paraId="65ED469F">
      <w:pPr>
        <w:spacing w:line="240" w:lineRule="atLeast"/>
        <w:jc w:val="left"/>
        <w:rPr>
          <w:sz w:val="24"/>
        </w:rPr>
      </w:pPr>
    </w:p>
    <w:p w14:paraId="5E289B3E">
      <w:pPr>
        <w:spacing w:line="240" w:lineRule="atLeast"/>
        <w:jc w:val="left"/>
        <w:rPr>
          <w:sz w:val="24"/>
        </w:rPr>
      </w:pPr>
    </w:p>
    <w:p w14:paraId="004569DA">
      <w:pPr>
        <w:spacing w:line="240" w:lineRule="atLeast"/>
        <w:jc w:val="left"/>
        <w:rPr>
          <w:sz w:val="24"/>
        </w:rPr>
      </w:pPr>
    </w:p>
    <w:p w14:paraId="32C1DCFD">
      <w:pPr>
        <w:spacing w:line="240" w:lineRule="atLeast"/>
        <w:jc w:val="left"/>
        <w:rPr>
          <w:sz w:val="24"/>
        </w:rPr>
      </w:pPr>
    </w:p>
    <w:p w14:paraId="16766E23">
      <w:pPr>
        <w:spacing w:line="240" w:lineRule="atLeast"/>
        <w:jc w:val="left"/>
        <w:rPr>
          <w:sz w:val="24"/>
        </w:rPr>
      </w:pPr>
    </w:p>
    <w:p w14:paraId="4022E1E3">
      <w:pPr>
        <w:spacing w:line="240" w:lineRule="atLeast"/>
        <w:rPr>
          <w:sz w:val="24"/>
        </w:rPr>
      </w:pPr>
    </w:p>
    <w:p w14:paraId="3CA63A16">
      <w:pPr>
        <w:spacing w:line="240" w:lineRule="atLeast"/>
        <w:rPr>
          <w:sz w:val="24"/>
        </w:rPr>
      </w:pPr>
      <w:r>
        <w:rPr>
          <w:rFonts w:hint="eastAsia"/>
          <w:sz w:val="24"/>
        </w:rPr>
        <w:t xml:space="preserve">                 </w:t>
      </w:r>
      <w:r>
        <w:rPr>
          <w:rFonts w:hint="eastAsia" w:eastAsia="黑体"/>
          <w:sz w:val="24"/>
        </w:rPr>
        <w:t xml:space="preserve">          </w:t>
      </w:r>
    </w:p>
    <w:p w14:paraId="46E7A143">
      <w:pPr>
        <w:spacing w:line="360" w:lineRule="auto"/>
        <w:ind w:firstLine="1193" w:firstLineChars="396"/>
        <w:rPr>
          <w:rFonts w:ascii="宋体" w:hAnsi="宋体"/>
          <w:b/>
          <w:sz w:val="30"/>
          <w:szCs w:val="30"/>
        </w:rPr>
      </w:pPr>
    </w:p>
    <w:p w14:paraId="7871626A">
      <w:pPr>
        <w:spacing w:line="360" w:lineRule="auto"/>
        <w:ind w:firstLine="1193" w:firstLineChars="396"/>
        <w:rPr>
          <w:rFonts w:ascii="宋体" w:hAnsi="宋体"/>
          <w:b/>
          <w:sz w:val="30"/>
          <w:szCs w:val="30"/>
        </w:rPr>
      </w:pPr>
    </w:p>
    <w:p w14:paraId="68FDA069">
      <w:pPr>
        <w:spacing w:line="360" w:lineRule="auto"/>
        <w:ind w:firstLine="1193" w:firstLineChars="396"/>
        <w:rPr>
          <w:rFonts w:ascii="宋体" w:hAnsi="宋体"/>
          <w:b/>
          <w:sz w:val="30"/>
          <w:szCs w:val="30"/>
        </w:rPr>
      </w:pPr>
    </w:p>
    <w:p w14:paraId="7744C8A3">
      <w:pPr>
        <w:spacing w:line="360" w:lineRule="auto"/>
        <w:ind w:firstLine="1193" w:firstLineChars="396"/>
        <w:rPr>
          <w:rFonts w:ascii="宋体" w:hAnsi="宋体"/>
          <w:b/>
          <w:sz w:val="30"/>
          <w:szCs w:val="30"/>
        </w:rPr>
      </w:pPr>
      <w:r>
        <w:rPr>
          <w:rFonts w:hint="eastAsia" w:ascii="宋体" w:hAnsi="宋体"/>
          <w:b/>
          <w:sz w:val="30"/>
          <w:szCs w:val="30"/>
        </w:rPr>
        <w:t>预案编号：NO：01</w:t>
      </w:r>
    </w:p>
    <w:p w14:paraId="6A6D2ECC">
      <w:pPr>
        <w:spacing w:line="360" w:lineRule="auto"/>
        <w:ind w:firstLine="1205" w:firstLineChars="400"/>
        <w:rPr>
          <w:rFonts w:ascii="宋体" w:hAnsi="宋体"/>
          <w:b/>
          <w:sz w:val="30"/>
          <w:szCs w:val="30"/>
        </w:rPr>
      </w:pPr>
      <w:r>
        <w:rPr>
          <w:rFonts w:hint="eastAsia" w:ascii="宋体" w:hAnsi="宋体"/>
          <w:b/>
          <w:sz w:val="30"/>
          <w:szCs w:val="30"/>
        </w:rPr>
        <w:t>颁布日期：2017年12月</w:t>
      </w:r>
    </w:p>
    <w:p w14:paraId="3FD5733E">
      <w:pPr>
        <w:spacing w:line="360" w:lineRule="auto"/>
        <w:ind w:firstLine="1282" w:firstLineChars="491"/>
      </w:pPr>
      <w:r>
        <w:rPr>
          <w:rFonts w:hint="eastAsia" w:ascii="宋体" w:hAnsi="宋体"/>
          <w:b/>
          <w:spacing w:val="-20"/>
          <w:sz w:val="30"/>
          <w:szCs w:val="30"/>
        </w:rPr>
        <w:t>编制单位：</w:t>
      </w:r>
      <w:r>
        <w:rPr>
          <w:rFonts w:hint="eastAsia" w:ascii="宋体" w:hAnsi="宋体"/>
          <w:b/>
          <w:bCs/>
          <w:spacing w:val="-20"/>
          <w:sz w:val="30"/>
          <w:szCs w:val="30"/>
        </w:rPr>
        <w:t>湖北武洲新材有限公司</w:t>
      </w:r>
    </w:p>
    <w:p w14:paraId="3C23BEA0"/>
    <w:p w14:paraId="44C0F7F7"/>
    <w:p w14:paraId="3EF921FC"/>
    <w:p w14:paraId="50D378DA">
      <w:pPr>
        <w:jc w:val="center"/>
        <w:rPr>
          <w:b/>
          <w:bCs/>
          <w:sz w:val="32"/>
          <w:szCs w:val="32"/>
        </w:rPr>
      </w:pPr>
    </w:p>
    <w:p w14:paraId="32ACF528">
      <w:pPr>
        <w:jc w:val="center"/>
        <w:rPr>
          <w:b/>
          <w:bCs/>
          <w:sz w:val="32"/>
          <w:szCs w:val="32"/>
        </w:rPr>
      </w:pPr>
      <w:r>
        <w:rPr>
          <w:b/>
          <w:bCs/>
          <w:sz w:val="32"/>
          <w:szCs w:val="32"/>
        </w:rPr>
        <w:t>风险事故应急预案</w:t>
      </w:r>
    </w:p>
    <w:p w14:paraId="0D8A5291">
      <w:pPr>
        <w:spacing w:line="440" w:lineRule="exact"/>
        <w:ind w:firstLine="480" w:firstLineChars="200"/>
        <w:rPr>
          <w:sz w:val="24"/>
        </w:rPr>
      </w:pPr>
      <w:r>
        <w:rPr>
          <w:rFonts w:hint="eastAsia"/>
          <w:sz w:val="24"/>
        </w:rPr>
        <w:t>为保证在危险化学品重特大生产安全事故发生后，能够及时有效和有序地实施应急救援，减少人员伤亡和财产损失，根据《中华人民共和国安全生产法》、《危险化学品安全管理条例》等有关法律、法规，结合建设单位实际，制订本预案</w:t>
      </w:r>
      <w:r>
        <w:rPr>
          <w:sz w:val="24"/>
        </w:rPr>
        <w:t>。</w:t>
      </w:r>
    </w:p>
    <w:p w14:paraId="34550076">
      <w:pPr>
        <w:spacing w:line="560" w:lineRule="exact"/>
        <w:rPr>
          <w:b/>
          <w:sz w:val="24"/>
        </w:rPr>
      </w:pPr>
      <w:bookmarkStart w:id="0" w:name="_Toc132779355"/>
      <w:r>
        <w:rPr>
          <w:rFonts w:hint="eastAsia"/>
          <w:b/>
          <w:sz w:val="24"/>
        </w:rPr>
        <w:t>一、（1）应急救援范围：</w:t>
      </w:r>
    </w:p>
    <w:p w14:paraId="7EF3F729">
      <w:pPr>
        <w:spacing w:line="560" w:lineRule="exact"/>
        <w:ind w:firstLine="480" w:firstLineChars="200"/>
        <w:rPr>
          <w:sz w:val="24"/>
        </w:rPr>
      </w:pPr>
      <w:r>
        <w:rPr>
          <w:rFonts w:hint="eastAsia"/>
          <w:sz w:val="24"/>
        </w:rPr>
        <w:t>本预案适用于湖北武洲</w:t>
      </w:r>
      <w:r>
        <w:rPr>
          <w:sz w:val="24"/>
        </w:rPr>
        <w:t>新材料科技有限公司</w:t>
      </w:r>
      <w:r>
        <w:rPr>
          <w:rFonts w:hint="eastAsia"/>
          <w:sz w:val="24"/>
        </w:rPr>
        <w:t>发生危险化学品生产安全事故。</w:t>
      </w:r>
    </w:p>
    <w:p w14:paraId="6910031D">
      <w:pPr>
        <w:spacing w:line="560" w:lineRule="exact"/>
        <w:ind w:firstLine="480" w:firstLineChars="200"/>
        <w:rPr>
          <w:sz w:val="24"/>
        </w:rPr>
      </w:pPr>
      <w:r>
        <w:rPr>
          <w:rFonts w:hint="eastAsia"/>
          <w:sz w:val="24"/>
        </w:rPr>
        <w:t>（2）应急救援组织机构及职责</w:t>
      </w:r>
    </w:p>
    <w:p w14:paraId="4AC72FCE">
      <w:pPr>
        <w:spacing w:line="560" w:lineRule="exact"/>
        <w:ind w:firstLine="600" w:firstLineChars="250"/>
        <w:rPr>
          <w:sz w:val="24"/>
        </w:rPr>
      </w:pPr>
      <w:r>
        <w:rPr>
          <w:rFonts w:hint="eastAsia"/>
          <w:sz w:val="24"/>
        </w:rPr>
        <w:t>①企业成立危险化学品生产安全事故应急救援指挥部（以下简称指挥部），统一领导应急救援工作。总指挥由企业第一安全责任人担任，副总指挥由有关领导和负责人担任，成员由公司领导、生产部、安全部等部门负责人和相关部门办事人员组成。</w:t>
      </w:r>
    </w:p>
    <w:p w14:paraId="67CE9965">
      <w:pPr>
        <w:spacing w:line="560" w:lineRule="exact"/>
        <w:ind w:firstLine="480" w:firstLineChars="200"/>
        <w:rPr>
          <w:sz w:val="24"/>
        </w:rPr>
      </w:pPr>
      <w:r>
        <w:rPr>
          <w:rFonts w:hint="eastAsia"/>
          <w:sz w:val="24"/>
        </w:rPr>
        <w:t>②指挥部主要职责</w:t>
      </w:r>
    </w:p>
    <w:p w14:paraId="02F94C86">
      <w:pPr>
        <w:spacing w:line="560" w:lineRule="exact"/>
        <w:ind w:firstLine="480" w:firstLineChars="200"/>
        <w:rPr>
          <w:sz w:val="24"/>
        </w:rPr>
      </w:pPr>
      <w:r>
        <w:rPr>
          <w:rFonts w:hint="eastAsia"/>
          <w:sz w:val="24"/>
        </w:rPr>
        <w:t>a.组织领导全厂应急救援工作，发布应急救援命令；</w:t>
      </w:r>
    </w:p>
    <w:p w14:paraId="54578BCE">
      <w:pPr>
        <w:spacing w:line="560" w:lineRule="exact"/>
        <w:ind w:firstLine="480" w:firstLineChars="200"/>
        <w:rPr>
          <w:sz w:val="24"/>
        </w:rPr>
      </w:pPr>
      <w:r>
        <w:rPr>
          <w:rFonts w:hint="eastAsia"/>
          <w:sz w:val="24"/>
        </w:rPr>
        <w:t>b.根据事故发生情况，统一部署有关应急救援预案的实施工作，并对应急救援工作发生的情况采取紧急处理措施；</w:t>
      </w:r>
    </w:p>
    <w:p w14:paraId="56EAE084">
      <w:pPr>
        <w:spacing w:line="560" w:lineRule="exact"/>
        <w:ind w:firstLine="480" w:firstLineChars="200"/>
        <w:rPr>
          <w:sz w:val="24"/>
        </w:rPr>
      </w:pPr>
      <w:r>
        <w:rPr>
          <w:rFonts w:hint="eastAsia"/>
          <w:sz w:val="24"/>
        </w:rPr>
        <w:t>c.在全厂范围内紧急调用各类救援物资、设备、人员；</w:t>
      </w:r>
    </w:p>
    <w:p w14:paraId="26CA8609">
      <w:pPr>
        <w:spacing w:line="560" w:lineRule="exact"/>
        <w:ind w:firstLine="480" w:firstLineChars="200"/>
        <w:rPr>
          <w:sz w:val="24"/>
        </w:rPr>
      </w:pPr>
      <w:r>
        <w:rPr>
          <w:rFonts w:hint="eastAsia"/>
          <w:sz w:val="24"/>
        </w:rPr>
        <w:t>d.根据事故灾害情况，有危及周边单位和人员的险情时，组织人员疏散工作；</w:t>
      </w:r>
    </w:p>
    <w:p w14:paraId="1152B041">
      <w:pPr>
        <w:spacing w:line="560" w:lineRule="exact"/>
        <w:ind w:firstLine="480" w:firstLineChars="200"/>
        <w:rPr>
          <w:sz w:val="24"/>
        </w:rPr>
      </w:pPr>
      <w:r>
        <w:rPr>
          <w:rFonts w:hint="eastAsia"/>
          <w:sz w:val="24"/>
        </w:rPr>
        <w:t>e.做好伤亡人员的善后及安抚工作。</w:t>
      </w:r>
    </w:p>
    <w:p w14:paraId="727F50F0">
      <w:pPr>
        <w:spacing w:line="560" w:lineRule="exact"/>
        <w:ind w:firstLine="480" w:firstLineChars="200"/>
        <w:rPr>
          <w:sz w:val="24"/>
        </w:rPr>
      </w:pPr>
      <w:r>
        <w:rPr>
          <w:rFonts w:hint="eastAsia"/>
          <w:sz w:val="24"/>
        </w:rPr>
        <w:t>③指挥部下设办公室（设在安全生产管理部门），主要负责传达指挥部领导指示，协调有关部门做好应急救援工作；组织协调有关部门制定应急救援预案；事故发生时，迅速了解、收集和汇总有关情况，及时向指挥部提供各种相关信息和资料。</w:t>
      </w:r>
    </w:p>
    <w:p w14:paraId="40783D4C">
      <w:pPr>
        <w:spacing w:line="560" w:lineRule="exact"/>
        <w:ind w:firstLine="480" w:firstLineChars="200"/>
        <w:rPr>
          <w:sz w:val="24"/>
        </w:rPr>
      </w:pPr>
      <w:r>
        <w:rPr>
          <w:rFonts w:hint="eastAsia"/>
          <w:sz w:val="24"/>
        </w:rPr>
        <w:t>④指挥部下设5个工作组</w:t>
      </w:r>
    </w:p>
    <w:p w14:paraId="545FCE5A">
      <w:pPr>
        <w:spacing w:line="560" w:lineRule="exact"/>
        <w:ind w:firstLine="480" w:firstLineChars="200"/>
        <w:rPr>
          <w:sz w:val="24"/>
        </w:rPr>
      </w:pPr>
      <w:r>
        <w:rPr>
          <w:rFonts w:hint="eastAsia"/>
          <w:sz w:val="24"/>
        </w:rPr>
        <w:t xml:space="preserve">事故应急救援预案应明确执行应急救援行动中特定任务的专业队伍。按任务可划分为： </w:t>
      </w:r>
    </w:p>
    <w:p w14:paraId="347CB4A7">
      <w:pPr>
        <w:spacing w:line="360" w:lineRule="auto"/>
        <w:ind w:firstLine="480" w:firstLineChars="200"/>
        <w:rPr>
          <w:sz w:val="24"/>
        </w:rPr>
      </w:pPr>
      <w:r>
        <w:rPr>
          <w:rFonts w:hint="eastAsia"/>
          <w:sz w:val="24"/>
        </w:rPr>
        <w:t xml:space="preserve">a.通讯组：确保各专业队与总调度室和领导小组之间通讯的畅通，通过通讯指挥各专业队执行应急救援行动； </w:t>
      </w:r>
    </w:p>
    <w:p w14:paraId="39E059A2">
      <w:pPr>
        <w:spacing w:line="360" w:lineRule="auto"/>
        <w:ind w:firstLine="480" w:firstLineChars="200"/>
        <w:rPr>
          <w:sz w:val="24"/>
        </w:rPr>
      </w:pPr>
      <w:r>
        <w:rPr>
          <w:rFonts w:hint="eastAsia"/>
          <w:sz w:val="24"/>
        </w:rPr>
        <w:t xml:space="preserve">b.治安组：维持厂区治安，按事故的发展态势有计划地疏散人员，控制事故区域人员、车辆的进出； </w:t>
      </w:r>
    </w:p>
    <w:p w14:paraId="4BE02497">
      <w:pPr>
        <w:spacing w:line="360" w:lineRule="auto"/>
        <w:ind w:firstLine="480" w:firstLineChars="200"/>
        <w:rPr>
          <w:sz w:val="24"/>
        </w:rPr>
      </w:pPr>
      <w:r>
        <w:rPr>
          <w:rFonts w:hint="eastAsia"/>
          <w:sz w:val="24"/>
        </w:rPr>
        <w:t xml:space="preserve">c.消防组：对火灾、泄漏事故，利用专业器材完成灭火、堵漏等任务，并对其它具有泄漏、火灾、爆炸等潜在危险点进行监控和保护，有效实施应急救援、处理措施，防止事故扩大，造成二次事故； </w:t>
      </w:r>
    </w:p>
    <w:p w14:paraId="781B491B">
      <w:pPr>
        <w:spacing w:line="360" w:lineRule="auto"/>
        <w:ind w:firstLine="480" w:firstLineChars="200"/>
        <w:rPr>
          <w:sz w:val="24"/>
        </w:rPr>
      </w:pPr>
      <w:r>
        <w:rPr>
          <w:rFonts w:hint="eastAsia"/>
          <w:sz w:val="24"/>
        </w:rPr>
        <w:t>d.抢险抢修组：该队成员要对事故现场、地形、设备、工艺熟悉，在具有防护措施的前提下，必要时深入事故发生中心区域，关闭系统，抢修设备，防止事故扩大，降低事故损失，抑制危害范围的扩大；</w:t>
      </w:r>
    </w:p>
    <w:p w14:paraId="618F3A6F">
      <w:pPr>
        <w:spacing w:line="360" w:lineRule="auto"/>
        <w:ind w:firstLine="480" w:firstLineChars="200"/>
        <w:rPr>
          <w:sz w:val="24"/>
        </w:rPr>
      </w:pPr>
      <w:r>
        <w:rPr>
          <w:rFonts w:hint="eastAsia"/>
          <w:sz w:val="24"/>
        </w:rPr>
        <w:t>e.医疗救护组：对受害人员实施医疗救护、转移等活动；</w:t>
      </w:r>
    </w:p>
    <w:p w14:paraId="57527F38">
      <w:pPr>
        <w:spacing w:line="560" w:lineRule="exact"/>
        <w:ind w:firstLine="480" w:firstLineChars="200"/>
        <w:rPr>
          <w:sz w:val="24"/>
        </w:rPr>
      </w:pPr>
      <w:r>
        <w:rPr>
          <w:rFonts w:hint="eastAsia"/>
          <w:sz w:val="24"/>
        </w:rPr>
        <w:t>（3）危险目标的确定和危险性评估</w:t>
      </w:r>
    </w:p>
    <w:p w14:paraId="1CD0DFC4">
      <w:pPr>
        <w:spacing w:line="560" w:lineRule="exact"/>
        <w:ind w:firstLine="480" w:firstLineChars="200"/>
        <w:rPr>
          <w:sz w:val="24"/>
        </w:rPr>
      </w:pPr>
      <w:r>
        <w:rPr>
          <w:rFonts w:hint="eastAsia"/>
          <w:sz w:val="24"/>
        </w:rPr>
        <w:t>初步调查，建设单位的危险化学品主要为冰醋酸、异丙醇、甲醛、丙烯酸、液氨、天然气、过硫酸铵、双氧水、次氯酸钙、浓硫酸、</w:t>
      </w:r>
      <w:r>
        <w:rPr>
          <w:sz w:val="24"/>
        </w:rPr>
        <w:t>三氯化磷</w:t>
      </w:r>
      <w:r>
        <w:rPr>
          <w:rFonts w:hint="eastAsia"/>
          <w:sz w:val="24"/>
        </w:rPr>
        <w:t>、氯化苄、</w:t>
      </w:r>
      <w:r>
        <w:rPr>
          <w:sz w:val="24"/>
        </w:rPr>
        <w:t>盐酸、</w:t>
      </w:r>
      <w:r>
        <w:rPr>
          <w:rFonts w:hint="eastAsia"/>
          <w:sz w:val="24"/>
        </w:rPr>
        <w:t>顺酐、氢氧化钠、次氯酸钠等。</w:t>
      </w:r>
    </w:p>
    <w:p w14:paraId="3CAA1E71">
      <w:pPr>
        <w:spacing w:line="560" w:lineRule="exact"/>
        <w:ind w:firstLine="480" w:firstLineChars="200"/>
        <w:rPr>
          <w:sz w:val="24"/>
        </w:rPr>
      </w:pPr>
      <w:r>
        <w:rPr>
          <w:rFonts w:hint="eastAsia"/>
          <w:sz w:val="24"/>
        </w:rPr>
        <w:t>（4）应急救援体系及演练</w:t>
      </w:r>
    </w:p>
    <w:p w14:paraId="48C680EB">
      <w:pPr>
        <w:spacing w:line="560" w:lineRule="exact"/>
        <w:ind w:firstLine="480" w:firstLineChars="200"/>
        <w:rPr>
          <w:sz w:val="24"/>
        </w:rPr>
      </w:pPr>
      <w:r>
        <w:rPr>
          <w:rFonts w:hint="eastAsia"/>
          <w:sz w:val="24"/>
        </w:rPr>
        <w:t>①安全、环保部门是危险化学品事故应急救援的主要力量。</w:t>
      </w:r>
    </w:p>
    <w:p w14:paraId="252BEEA6">
      <w:pPr>
        <w:spacing w:line="560" w:lineRule="exact"/>
        <w:ind w:firstLine="480" w:firstLineChars="200"/>
        <w:rPr>
          <w:sz w:val="24"/>
        </w:rPr>
      </w:pPr>
      <w:r>
        <w:rPr>
          <w:rFonts w:hint="eastAsia"/>
          <w:sz w:val="24"/>
        </w:rPr>
        <w:t>②危险化学品安全技术指标、性能不清楚的，可向国家化学品登记注册中心、湖北省化学品登记注册办公室等单位寻求化学事故应急咨询服务。</w:t>
      </w:r>
    </w:p>
    <w:p w14:paraId="613BE84D">
      <w:pPr>
        <w:spacing w:line="560" w:lineRule="exact"/>
        <w:ind w:firstLine="480" w:firstLineChars="200"/>
        <w:rPr>
          <w:sz w:val="24"/>
        </w:rPr>
      </w:pPr>
      <w:r>
        <w:rPr>
          <w:rFonts w:hint="eastAsia"/>
          <w:sz w:val="24"/>
        </w:rPr>
        <w:t>③企业第一安全负责人负责应急救援特勤队伍的建设，制订应急救援的战术方案并定期组织演练，指导企业兼职消防队伍进行定期演练。</w:t>
      </w:r>
    </w:p>
    <w:p w14:paraId="7E7C8F88">
      <w:pPr>
        <w:spacing w:line="560" w:lineRule="exact"/>
        <w:ind w:firstLine="480" w:firstLineChars="200"/>
        <w:rPr>
          <w:sz w:val="24"/>
        </w:rPr>
      </w:pPr>
      <w:r>
        <w:rPr>
          <w:rFonts w:hint="eastAsia"/>
          <w:sz w:val="24"/>
        </w:rPr>
        <w:t>（5）事故报告和现场保护</w:t>
      </w:r>
    </w:p>
    <w:p w14:paraId="02E50846">
      <w:pPr>
        <w:spacing w:line="560" w:lineRule="exact"/>
        <w:ind w:firstLine="480" w:firstLineChars="200"/>
        <w:rPr>
          <w:sz w:val="24"/>
        </w:rPr>
      </w:pPr>
      <w:r>
        <w:rPr>
          <w:rFonts w:hint="eastAsia"/>
          <w:sz w:val="24"/>
        </w:rPr>
        <w:t>事故发生后，事故部位责任人应按照有关规定，立即将事故情况上报企业负责人。通讯联络方式应张贴在公司各部门办公室和生产值班室内。</w:t>
      </w:r>
    </w:p>
    <w:p w14:paraId="306E703B">
      <w:pPr>
        <w:spacing w:line="560" w:lineRule="exact"/>
        <w:ind w:firstLine="480" w:firstLineChars="200"/>
        <w:rPr>
          <w:sz w:val="24"/>
        </w:rPr>
      </w:pPr>
      <w:r>
        <w:rPr>
          <w:rFonts w:hint="eastAsia"/>
          <w:sz w:val="24"/>
        </w:rPr>
        <w:t>（6）事故的应急救援</w:t>
      </w:r>
    </w:p>
    <w:p w14:paraId="5DDDBCB7">
      <w:pPr>
        <w:spacing w:line="560" w:lineRule="exact"/>
        <w:ind w:firstLine="480" w:firstLineChars="200"/>
        <w:rPr>
          <w:sz w:val="24"/>
        </w:rPr>
      </w:pPr>
      <w:r>
        <w:rPr>
          <w:rFonts w:hint="eastAsia"/>
          <w:sz w:val="24"/>
        </w:rPr>
        <w:t>①建立警戒区域</w:t>
      </w:r>
    </w:p>
    <w:p w14:paraId="7070B3ED">
      <w:pPr>
        <w:spacing w:line="560" w:lineRule="exact"/>
        <w:ind w:firstLine="480" w:firstLineChars="200"/>
        <w:rPr>
          <w:sz w:val="24"/>
        </w:rPr>
      </w:pPr>
      <w:r>
        <w:rPr>
          <w:rFonts w:hint="eastAsia"/>
          <w:sz w:val="24"/>
        </w:rPr>
        <w:t>事故发生后，应根据化学品泄漏情况或毒物扩散所涉及</w:t>
      </w:r>
      <w:bookmarkStart w:id="48" w:name="_GoBack"/>
      <w:bookmarkEnd w:id="48"/>
      <w:r>
        <w:rPr>
          <w:rFonts w:hint="eastAsia"/>
          <w:sz w:val="24"/>
        </w:rPr>
        <w:t>得范围建立警戒区，并在通往事故区域的主要干道上实行交通管制，建立警戒区域时应注意以下几点：</w:t>
      </w:r>
    </w:p>
    <w:p w14:paraId="66B1CE9B">
      <w:pPr>
        <w:spacing w:line="560" w:lineRule="exact"/>
        <w:ind w:firstLine="480" w:firstLineChars="200"/>
        <w:rPr>
          <w:sz w:val="24"/>
        </w:rPr>
      </w:pPr>
      <w:r>
        <w:rPr>
          <w:rFonts w:hint="eastAsia"/>
          <w:sz w:val="24"/>
        </w:rPr>
        <w:t>a警戒区域的边界应设警示标志并有专人警戒；</w:t>
      </w:r>
    </w:p>
    <w:p w14:paraId="63110DC7">
      <w:pPr>
        <w:spacing w:line="560" w:lineRule="exact"/>
        <w:ind w:firstLine="480" w:firstLineChars="200"/>
        <w:rPr>
          <w:sz w:val="24"/>
        </w:rPr>
      </w:pPr>
      <w:r>
        <w:rPr>
          <w:rFonts w:hint="eastAsia"/>
          <w:sz w:val="24"/>
        </w:rPr>
        <w:t>b除消防、应急处理人员以及必须坚守岗位的相关人员外，其他人员禁止进入警戒区。</w:t>
      </w:r>
    </w:p>
    <w:p w14:paraId="5A5B244A">
      <w:pPr>
        <w:spacing w:line="560" w:lineRule="exact"/>
        <w:ind w:firstLine="480" w:firstLineChars="200"/>
        <w:rPr>
          <w:sz w:val="24"/>
        </w:rPr>
      </w:pPr>
      <w:r>
        <w:rPr>
          <w:rFonts w:hint="eastAsia"/>
          <w:sz w:val="24"/>
        </w:rPr>
        <w:t>②紧急疏散</w:t>
      </w:r>
    </w:p>
    <w:p w14:paraId="38A9C8DA">
      <w:pPr>
        <w:spacing w:line="560" w:lineRule="exact"/>
        <w:ind w:firstLine="480" w:firstLineChars="200"/>
        <w:rPr>
          <w:sz w:val="24"/>
        </w:rPr>
      </w:pPr>
      <w:r>
        <w:rPr>
          <w:rFonts w:hint="eastAsia"/>
          <w:sz w:val="24"/>
        </w:rPr>
        <w:t>迅速将警戒区域及污染区域内与事故处理无关的人员撤离，以减少不必要的人员伤亡。</w:t>
      </w:r>
    </w:p>
    <w:p w14:paraId="44EFDC70">
      <w:pPr>
        <w:spacing w:line="560" w:lineRule="exact"/>
        <w:ind w:firstLine="480" w:firstLineChars="200"/>
        <w:rPr>
          <w:sz w:val="24"/>
        </w:rPr>
      </w:pPr>
      <w:r>
        <w:rPr>
          <w:rFonts w:hint="eastAsia"/>
          <w:sz w:val="24"/>
        </w:rPr>
        <w:t>紧急疏散时应注意：</w:t>
      </w:r>
    </w:p>
    <w:p w14:paraId="4466B032">
      <w:pPr>
        <w:spacing w:line="560" w:lineRule="exact"/>
        <w:ind w:firstLine="480" w:firstLineChars="200"/>
        <w:rPr>
          <w:sz w:val="24"/>
        </w:rPr>
      </w:pPr>
      <w:r>
        <w:rPr>
          <w:rFonts w:hint="eastAsia"/>
          <w:sz w:val="24"/>
        </w:rPr>
        <w:t>a如事故物质有毒时，需要佩戴个体防护用品或采用简易有效的防护措施，并有相应的监护措施；</w:t>
      </w:r>
    </w:p>
    <w:p w14:paraId="7EC29F78">
      <w:pPr>
        <w:spacing w:line="560" w:lineRule="exact"/>
        <w:ind w:firstLine="480" w:firstLineChars="200"/>
        <w:rPr>
          <w:sz w:val="24"/>
        </w:rPr>
      </w:pPr>
      <w:r>
        <w:rPr>
          <w:rFonts w:hint="eastAsia"/>
          <w:sz w:val="24"/>
        </w:rPr>
        <w:t>b应向上风方向转移，明确专人引导和护送疏散人员到安全区，并在疏散或撤离的路线上设立哨位，指名方向；</w:t>
      </w:r>
    </w:p>
    <w:p w14:paraId="756F8474">
      <w:pPr>
        <w:spacing w:line="560" w:lineRule="exact"/>
        <w:ind w:firstLine="480" w:firstLineChars="200"/>
        <w:rPr>
          <w:sz w:val="24"/>
        </w:rPr>
      </w:pPr>
      <w:r>
        <w:rPr>
          <w:rFonts w:hint="eastAsia"/>
          <w:sz w:val="24"/>
        </w:rPr>
        <w:t>c不要在低洼处或下风处滞留；</w:t>
      </w:r>
    </w:p>
    <w:p w14:paraId="07696D2F">
      <w:pPr>
        <w:spacing w:line="560" w:lineRule="exact"/>
        <w:ind w:firstLine="480" w:firstLineChars="200"/>
        <w:rPr>
          <w:sz w:val="24"/>
        </w:rPr>
      </w:pPr>
      <w:r>
        <w:rPr>
          <w:rFonts w:hint="eastAsia"/>
          <w:sz w:val="24"/>
        </w:rPr>
        <w:t>d要查清是否有人留在污染区与着火区；</w:t>
      </w:r>
    </w:p>
    <w:p w14:paraId="2261A1C6">
      <w:pPr>
        <w:spacing w:line="560" w:lineRule="exact"/>
        <w:ind w:firstLine="480" w:firstLineChars="200"/>
        <w:rPr>
          <w:sz w:val="24"/>
        </w:rPr>
      </w:pPr>
      <w:r>
        <w:rPr>
          <w:rFonts w:hint="eastAsia"/>
          <w:sz w:val="24"/>
        </w:rPr>
        <w:t>e为疏散工作顺利进行，每个车间至少有两个畅通无阻的紧急出口，并有明显标志。</w:t>
      </w:r>
    </w:p>
    <w:p w14:paraId="40AFFD6A">
      <w:pPr>
        <w:spacing w:line="560" w:lineRule="exact"/>
        <w:ind w:firstLine="480" w:firstLineChars="200"/>
        <w:rPr>
          <w:sz w:val="24"/>
        </w:rPr>
      </w:pPr>
      <w:r>
        <w:rPr>
          <w:rFonts w:hint="eastAsia"/>
          <w:sz w:val="24"/>
        </w:rPr>
        <w:t>③现场急救</w:t>
      </w:r>
    </w:p>
    <w:p w14:paraId="7E620ADC">
      <w:pPr>
        <w:spacing w:line="560" w:lineRule="exact"/>
        <w:ind w:firstLine="480" w:firstLineChars="200"/>
        <w:rPr>
          <w:sz w:val="24"/>
        </w:rPr>
      </w:pPr>
      <w:r>
        <w:rPr>
          <w:rFonts w:hint="eastAsia"/>
          <w:sz w:val="24"/>
        </w:rPr>
        <w:t>现场急救注意事项如下：</w:t>
      </w:r>
    </w:p>
    <w:p w14:paraId="7078680B">
      <w:pPr>
        <w:spacing w:line="560" w:lineRule="exact"/>
        <w:ind w:firstLine="480" w:firstLineChars="200"/>
        <w:rPr>
          <w:sz w:val="24"/>
        </w:rPr>
      </w:pPr>
      <w:r>
        <w:rPr>
          <w:rFonts w:hint="eastAsia"/>
          <w:sz w:val="24"/>
        </w:rPr>
        <w:t>a选择有利地形，设置急救点，做好自身及伤者的个体防护；</w:t>
      </w:r>
    </w:p>
    <w:p w14:paraId="341A31D6">
      <w:pPr>
        <w:spacing w:line="560" w:lineRule="exact"/>
        <w:ind w:firstLine="480" w:firstLineChars="200"/>
        <w:rPr>
          <w:sz w:val="24"/>
        </w:rPr>
      </w:pPr>
      <w:r>
        <w:rPr>
          <w:rFonts w:hint="eastAsia"/>
          <w:sz w:val="24"/>
        </w:rPr>
        <w:t>b防止发生继发性损害，应至少2-3人为一组集体行动，以便相互照应；</w:t>
      </w:r>
    </w:p>
    <w:p w14:paraId="731B839C">
      <w:pPr>
        <w:spacing w:line="560" w:lineRule="exact"/>
        <w:ind w:firstLine="480" w:firstLineChars="200"/>
        <w:rPr>
          <w:sz w:val="24"/>
        </w:rPr>
      </w:pPr>
      <w:r>
        <w:rPr>
          <w:rFonts w:hint="eastAsia"/>
          <w:sz w:val="24"/>
        </w:rPr>
        <w:t>c当发现有人受到化学品伤害时，应进行以下处理</w:t>
      </w:r>
    </w:p>
    <w:p w14:paraId="42265A6A">
      <w:pPr>
        <w:spacing w:line="560" w:lineRule="exact"/>
        <w:ind w:firstLine="480" w:firstLineChars="200"/>
        <w:rPr>
          <w:sz w:val="24"/>
        </w:rPr>
      </w:pPr>
      <w:r>
        <w:rPr>
          <w:rFonts w:hint="eastAsia"/>
          <w:sz w:val="24"/>
        </w:rPr>
        <w:t>④ 应急救援的注意事项</w:t>
      </w:r>
    </w:p>
    <w:p w14:paraId="5BD30AB2">
      <w:pPr>
        <w:spacing w:line="560" w:lineRule="exact"/>
        <w:ind w:firstLine="480" w:firstLineChars="200"/>
        <w:rPr>
          <w:sz w:val="24"/>
        </w:rPr>
      </w:pPr>
      <w:r>
        <w:rPr>
          <w:rFonts w:hint="eastAsia"/>
          <w:sz w:val="24"/>
        </w:rPr>
        <w:t>a救援人员进入危险区应以2-3人为一组，随时保持通讯联系；做好自身防护，避免发生伤亡。</w:t>
      </w:r>
    </w:p>
    <w:p w14:paraId="558FD363">
      <w:pPr>
        <w:spacing w:line="560" w:lineRule="exact"/>
        <w:ind w:firstLine="480" w:firstLineChars="200"/>
        <w:rPr>
          <w:sz w:val="24"/>
        </w:rPr>
      </w:pPr>
      <w:r>
        <w:rPr>
          <w:rFonts w:hint="eastAsia"/>
          <w:sz w:val="24"/>
        </w:rPr>
        <w:t>b工程救援队尽可能和事故单位协同作战，与公安、消防、医疗急救等专业队伍协调行动；救援所用的工具应具备防爆功能。</w:t>
      </w:r>
    </w:p>
    <w:p w14:paraId="73F53D47">
      <w:pPr>
        <w:spacing w:line="560" w:lineRule="exact"/>
        <w:ind w:firstLine="480" w:firstLineChars="200"/>
        <w:rPr>
          <w:sz w:val="24"/>
        </w:rPr>
      </w:pPr>
      <w:r>
        <w:rPr>
          <w:rFonts w:hint="eastAsia"/>
          <w:sz w:val="24"/>
        </w:rPr>
        <w:t>c 现场医疗急救，按照先重后轻的原则，对伤员实行一人一卡，避免危重伤员的多次转院；妥善处理好伤员的污染衣物，防止继发性损害。</w:t>
      </w:r>
    </w:p>
    <w:p w14:paraId="55FE427E">
      <w:pPr>
        <w:spacing w:line="560" w:lineRule="exact"/>
        <w:ind w:firstLine="480" w:firstLineChars="200"/>
        <w:rPr>
          <w:sz w:val="24"/>
        </w:rPr>
      </w:pPr>
      <w:r>
        <w:rPr>
          <w:rFonts w:hint="eastAsia"/>
          <w:sz w:val="24"/>
        </w:rPr>
        <w:t>d 组织污染区群众撤离事故现场，指导群众做好个人防护，向上风 向（避免横穿危险区域）快速转移至安全区域，并尽快除去污染衣物。</w:t>
      </w:r>
    </w:p>
    <w:p w14:paraId="22E0873A">
      <w:pPr>
        <w:spacing w:line="560" w:lineRule="exact"/>
        <w:ind w:firstLine="480" w:firstLineChars="200"/>
        <w:rPr>
          <w:sz w:val="24"/>
        </w:rPr>
      </w:pPr>
      <w:r>
        <w:rPr>
          <w:rFonts w:hint="eastAsia"/>
          <w:sz w:val="24"/>
        </w:rPr>
        <w:t>⑤其他</w:t>
      </w:r>
    </w:p>
    <w:p w14:paraId="3E5AEEA6">
      <w:pPr>
        <w:spacing w:line="560" w:lineRule="exact"/>
        <w:ind w:firstLine="480" w:firstLineChars="200"/>
        <w:rPr>
          <w:sz w:val="24"/>
        </w:rPr>
      </w:pPr>
      <w:r>
        <w:rPr>
          <w:rFonts w:hint="eastAsia"/>
          <w:sz w:val="24"/>
        </w:rPr>
        <w:t>担任应急救援任务的有关部门、单位、专业组应及时向指挥部报告救援工作进展情况，由指挥部做出撤离现场、结束救援工作的决定。</w:t>
      </w:r>
    </w:p>
    <w:p w14:paraId="3041C809">
      <w:pPr>
        <w:pStyle w:val="25"/>
        <w:spacing w:line="360" w:lineRule="auto"/>
        <w:ind w:firstLine="0" w:firstLineChars="0"/>
      </w:pPr>
      <w:bookmarkStart w:id="1" w:name="_Toc358905312"/>
      <w:bookmarkStart w:id="2" w:name="_Toc363481979"/>
      <w:bookmarkStart w:id="3" w:name="_Toc499195132"/>
      <w:r>
        <w:rPr>
          <w:rFonts w:hint="eastAsia"/>
        </w:rPr>
        <w:t>二 应急救援预案的启动</w:t>
      </w:r>
      <w:bookmarkEnd w:id="1"/>
      <w:bookmarkEnd w:id="2"/>
      <w:bookmarkEnd w:id="3"/>
    </w:p>
    <w:p w14:paraId="4850009C">
      <w:pPr>
        <w:widowControl/>
        <w:spacing w:line="360" w:lineRule="auto"/>
        <w:ind w:firstLine="480" w:firstLineChars="200"/>
        <w:jc w:val="left"/>
        <w:rPr>
          <w:sz w:val="24"/>
        </w:rPr>
      </w:pPr>
      <w:r>
        <w:rPr>
          <w:rFonts w:hint="eastAsia"/>
          <w:sz w:val="24"/>
        </w:rPr>
        <w:t>（1）企业基本情况</w:t>
      </w:r>
    </w:p>
    <w:p w14:paraId="65BEB14B">
      <w:pPr>
        <w:spacing w:line="360" w:lineRule="auto"/>
        <w:ind w:firstLine="480" w:firstLineChars="200"/>
        <w:rPr>
          <w:sz w:val="24"/>
        </w:rPr>
      </w:pPr>
      <w:r>
        <w:rPr>
          <w:rFonts w:hint="eastAsia"/>
          <w:sz w:val="24"/>
        </w:rPr>
        <w:t>湖北武洲</w:t>
      </w:r>
      <w:r>
        <w:rPr>
          <w:sz w:val="24"/>
        </w:rPr>
        <w:t>新材料科技有限公司年产</w:t>
      </w:r>
      <w:r>
        <w:rPr>
          <w:rFonts w:hint="eastAsia"/>
          <w:sz w:val="24"/>
        </w:rPr>
        <w:t>300吨</w:t>
      </w:r>
      <w:r>
        <w:rPr>
          <w:sz w:val="24"/>
        </w:rPr>
        <w:t>水性工业涂料建设项目位于</w:t>
      </w:r>
      <w:r>
        <w:rPr>
          <w:rFonts w:hint="eastAsia"/>
          <w:sz w:val="24"/>
        </w:rPr>
        <w:t>鄂州市</w:t>
      </w:r>
      <w:r>
        <w:rPr>
          <w:sz w:val="24"/>
        </w:rPr>
        <w:t>葛店</w:t>
      </w:r>
      <w:r>
        <w:rPr>
          <w:rFonts w:hint="eastAsia"/>
          <w:sz w:val="24"/>
        </w:rPr>
        <w:t>经济</w:t>
      </w:r>
      <w:r>
        <w:rPr>
          <w:sz w:val="24"/>
        </w:rPr>
        <w:t>开发区</w:t>
      </w:r>
      <w:r>
        <w:rPr>
          <w:rFonts w:hint="eastAsia"/>
          <w:sz w:val="24"/>
        </w:rPr>
        <w:t>工业园</w:t>
      </w:r>
      <w:r>
        <w:rPr>
          <w:sz w:val="24"/>
        </w:rPr>
        <w:t>。</w:t>
      </w:r>
    </w:p>
    <w:p w14:paraId="49E59E8C">
      <w:pPr>
        <w:spacing w:line="360" w:lineRule="auto"/>
        <w:ind w:firstLine="480" w:firstLineChars="200"/>
        <w:rPr>
          <w:sz w:val="24"/>
        </w:rPr>
      </w:pPr>
      <w:r>
        <w:rPr>
          <w:rFonts w:hint="eastAsia"/>
          <w:sz w:val="24"/>
        </w:rPr>
        <w:t xml:space="preserve">（2）目的 </w:t>
      </w:r>
    </w:p>
    <w:p w14:paraId="7C7B65C7">
      <w:pPr>
        <w:spacing w:line="360" w:lineRule="auto"/>
        <w:ind w:firstLine="480" w:firstLineChars="200"/>
        <w:rPr>
          <w:sz w:val="24"/>
        </w:rPr>
      </w:pPr>
      <w:r>
        <w:rPr>
          <w:rFonts w:hint="eastAsia"/>
          <w:sz w:val="24"/>
        </w:rPr>
        <w:t>为了在发生突发性事故时，公司各级职能部门能做到反应迅速，忙而不乱，发挥整体救灾效能，最大限度地减少事故的损失和影响，尽快恢复正常生产。特制订本预案。</w:t>
      </w:r>
    </w:p>
    <w:p w14:paraId="1C2B8CD7">
      <w:pPr>
        <w:spacing w:line="360" w:lineRule="auto"/>
        <w:ind w:firstLine="480" w:firstLineChars="200"/>
        <w:rPr>
          <w:sz w:val="24"/>
        </w:rPr>
      </w:pPr>
      <w:r>
        <w:rPr>
          <w:rFonts w:hint="eastAsia"/>
          <w:sz w:val="24"/>
        </w:rPr>
        <w:t>（3）处理原则</w:t>
      </w:r>
    </w:p>
    <w:p w14:paraId="1E215B80">
      <w:pPr>
        <w:spacing w:line="360" w:lineRule="auto"/>
        <w:ind w:firstLine="480" w:firstLineChars="200"/>
        <w:rPr>
          <w:sz w:val="24"/>
        </w:rPr>
      </w:pPr>
      <w:r>
        <w:rPr>
          <w:rFonts w:hint="eastAsia"/>
          <w:sz w:val="24"/>
        </w:rPr>
        <w:t>①启动原则：在公司发生重大事故及灾害时，本预案由公司生产总调度室启动。</w:t>
      </w:r>
    </w:p>
    <w:p w14:paraId="527A667C">
      <w:pPr>
        <w:spacing w:line="360" w:lineRule="auto"/>
        <w:ind w:firstLine="480" w:firstLineChars="200"/>
        <w:rPr>
          <w:sz w:val="24"/>
        </w:rPr>
      </w:pPr>
      <w:r>
        <w:rPr>
          <w:rFonts w:hint="eastAsia"/>
          <w:sz w:val="24"/>
        </w:rPr>
        <w:t>②响应原则：公司救灾指挥部成员、各应急救援小组成员和相关生产车间事故处理领导小组成员在接到事故及灾害报告后，无论何时，只要在本地区，必须马上以最快的方式赶赴事故现场，按相应的事故处理预案正确有效地开展事故应急处理和救灾工作，尽可能避免或减少人员伤亡，尽最大努力减少事故损失和缩小事故影响范围。</w:t>
      </w:r>
    </w:p>
    <w:p w14:paraId="5D316227">
      <w:pPr>
        <w:spacing w:line="360" w:lineRule="auto"/>
        <w:ind w:firstLine="480" w:firstLineChars="200"/>
        <w:rPr>
          <w:sz w:val="24"/>
        </w:rPr>
      </w:pPr>
      <w:r>
        <w:rPr>
          <w:rFonts w:hint="eastAsia"/>
          <w:sz w:val="24"/>
        </w:rPr>
        <w:t>③有事请假原则：公司各救援小组组长在离开本地区时，必须向公司救灾指挥部总指挥请假，同时将救灾小组组长的职责向副组长交待清楚。</w:t>
      </w:r>
    </w:p>
    <w:p w14:paraId="5E129E65">
      <w:pPr>
        <w:spacing w:line="360" w:lineRule="auto"/>
        <w:ind w:firstLine="480" w:firstLineChars="200"/>
        <w:rPr>
          <w:sz w:val="24"/>
        </w:rPr>
      </w:pPr>
      <w:r>
        <w:rPr>
          <w:rFonts w:hint="eastAsia"/>
          <w:sz w:val="24"/>
        </w:rPr>
        <w:t>④指挥原则：在车间事故应急领导小组成员未到达现场前，事故处理由当班班长负责指挥；在公司救灾指挥部成员未到达之前，由车间事故应急领导小组指挥；公司救灾指挥部到达现场后，事故处理由救灾指挥部统一指挥。</w:t>
      </w:r>
    </w:p>
    <w:p w14:paraId="5912EE2A">
      <w:pPr>
        <w:spacing w:line="360" w:lineRule="auto"/>
        <w:ind w:firstLine="480" w:firstLineChars="200"/>
        <w:rPr>
          <w:sz w:val="24"/>
        </w:rPr>
      </w:pPr>
      <w:r>
        <w:rPr>
          <w:rFonts w:hint="eastAsia"/>
          <w:sz w:val="24"/>
        </w:rPr>
        <w:t>⑤处理原则：事故应急处理坚持局部利益服从全局利益，一般工作服从应急工作的基本原则。</w:t>
      </w:r>
    </w:p>
    <w:p w14:paraId="5188AE52">
      <w:pPr>
        <w:pStyle w:val="25"/>
        <w:ind w:firstLine="0" w:firstLineChars="0"/>
      </w:pPr>
      <w:bookmarkStart w:id="4" w:name="_Toc354339297"/>
      <w:bookmarkStart w:id="5" w:name="_Toc499195133"/>
      <w:bookmarkStart w:id="6" w:name="_Toc287702669"/>
      <w:bookmarkStart w:id="7" w:name="_Toc300331075"/>
      <w:bookmarkStart w:id="8" w:name="_Toc300330971"/>
      <w:bookmarkStart w:id="9" w:name="_Toc297735237"/>
      <w:r>
        <w:rPr>
          <w:rFonts w:hint="eastAsia"/>
        </w:rPr>
        <w:t>三、安全管理机构的设置及人员配备</w:t>
      </w:r>
      <w:bookmarkEnd w:id="4"/>
      <w:bookmarkEnd w:id="5"/>
      <w:bookmarkEnd w:id="6"/>
      <w:bookmarkEnd w:id="7"/>
      <w:bookmarkEnd w:id="8"/>
      <w:bookmarkEnd w:id="9"/>
    </w:p>
    <w:p w14:paraId="4CE24BDD">
      <w:pPr>
        <w:pStyle w:val="9"/>
        <w:widowControl w:val="0"/>
        <w:overflowPunct w:val="0"/>
        <w:spacing w:before="0" w:beforeAutospacing="0" w:after="0" w:afterAutospacing="0" w:line="360" w:lineRule="auto"/>
        <w:ind w:firstLine="480" w:firstLineChars="200"/>
        <w:jc w:val="both"/>
        <w:rPr>
          <w:rFonts w:asciiTheme="minorHAnsi" w:hAnsiTheme="minorHAnsi"/>
          <w:kern w:val="2"/>
          <w:szCs w:val="22"/>
        </w:rPr>
      </w:pPr>
      <w:bookmarkStart w:id="10" w:name="_Toc287860314"/>
      <w:bookmarkStart w:id="11" w:name="_Toc265502625"/>
      <w:bookmarkStart w:id="12" w:name="_Toc297798165"/>
      <w:bookmarkStart w:id="13" w:name="_Toc271728237"/>
      <w:bookmarkStart w:id="14" w:name="_Toc275591498"/>
      <w:bookmarkStart w:id="15" w:name="_Toc284082817"/>
      <w:bookmarkStart w:id="16" w:name="_Toc285790796"/>
      <w:bookmarkStart w:id="17" w:name="_Toc257187319"/>
      <w:bookmarkStart w:id="18" w:name="_Toc292263116"/>
      <w:bookmarkStart w:id="19" w:name="_Toc300667122"/>
      <w:bookmarkStart w:id="20" w:name="_Toc266087469"/>
      <w:bookmarkStart w:id="21" w:name="_Toc266087734"/>
      <w:bookmarkStart w:id="22" w:name="_Toc265758284"/>
      <w:r>
        <w:rPr>
          <w:rFonts w:asciiTheme="minorHAnsi" w:hAnsiTheme="minorHAnsi"/>
          <w:kern w:val="2"/>
          <w:szCs w:val="22"/>
        </w:rPr>
        <w:t>（1）安全卫生管理</w:t>
      </w:r>
      <w:bookmarkEnd w:id="10"/>
      <w:bookmarkEnd w:id="11"/>
      <w:bookmarkEnd w:id="12"/>
      <w:bookmarkEnd w:id="13"/>
      <w:bookmarkEnd w:id="14"/>
      <w:bookmarkEnd w:id="15"/>
      <w:bookmarkEnd w:id="16"/>
      <w:bookmarkEnd w:id="17"/>
      <w:bookmarkEnd w:id="18"/>
      <w:bookmarkEnd w:id="19"/>
      <w:bookmarkEnd w:id="20"/>
      <w:bookmarkEnd w:id="21"/>
      <w:bookmarkEnd w:id="22"/>
    </w:p>
    <w:p w14:paraId="09075F62">
      <w:pPr>
        <w:pStyle w:val="9"/>
        <w:widowControl w:val="0"/>
        <w:overflowPunct w:val="0"/>
        <w:spacing w:before="0" w:beforeAutospacing="0" w:after="0" w:afterAutospacing="0" w:line="360" w:lineRule="auto"/>
        <w:ind w:firstLine="480" w:firstLineChars="200"/>
        <w:jc w:val="both"/>
        <w:rPr>
          <w:rFonts w:asciiTheme="minorHAnsi" w:hAnsiTheme="minorHAnsi"/>
          <w:kern w:val="2"/>
          <w:szCs w:val="22"/>
        </w:rPr>
      </w:pPr>
      <w:bookmarkStart w:id="23" w:name="_Toc265502626"/>
      <w:bookmarkStart w:id="24" w:name="_Toc300667123"/>
      <w:bookmarkStart w:id="25" w:name="_Toc266087470"/>
      <w:bookmarkStart w:id="26" w:name="_Toc257187320"/>
      <w:bookmarkStart w:id="27" w:name="_Toc266087735"/>
      <w:bookmarkStart w:id="28" w:name="_Toc297798166"/>
      <w:bookmarkStart w:id="29" w:name="_Toc284082818"/>
      <w:bookmarkStart w:id="30" w:name="_Toc271728238"/>
      <w:bookmarkStart w:id="31" w:name="_Toc265758285"/>
      <w:bookmarkStart w:id="32" w:name="_Toc292263117"/>
      <w:bookmarkStart w:id="33" w:name="_Toc287860315"/>
      <w:bookmarkStart w:id="34" w:name="_Toc285790797"/>
      <w:bookmarkStart w:id="35" w:name="_Toc275591499"/>
      <w:r>
        <w:rPr>
          <w:rFonts w:asciiTheme="minorHAnsi" w:hAnsiTheme="minorHAnsi"/>
          <w:kern w:val="2"/>
          <w:szCs w:val="22"/>
        </w:rPr>
        <w:t>①安全卫生管理机构</w:t>
      </w:r>
      <w:bookmarkEnd w:id="23"/>
      <w:bookmarkEnd w:id="24"/>
      <w:bookmarkEnd w:id="25"/>
      <w:bookmarkEnd w:id="26"/>
      <w:bookmarkEnd w:id="27"/>
      <w:bookmarkEnd w:id="28"/>
      <w:bookmarkEnd w:id="29"/>
      <w:bookmarkEnd w:id="30"/>
      <w:bookmarkEnd w:id="31"/>
      <w:bookmarkEnd w:id="32"/>
      <w:bookmarkEnd w:id="33"/>
      <w:bookmarkEnd w:id="34"/>
      <w:bookmarkEnd w:id="35"/>
    </w:p>
    <w:p w14:paraId="61AD7ED6">
      <w:pPr>
        <w:spacing w:line="360" w:lineRule="auto"/>
        <w:ind w:firstLine="480" w:firstLineChars="200"/>
        <w:rPr>
          <w:sz w:val="24"/>
        </w:rPr>
      </w:pPr>
      <w:r>
        <w:rPr>
          <w:rFonts w:hint="eastAsia"/>
          <w:sz w:val="24"/>
        </w:rPr>
        <w:t>本项目依托厂内安全环保科，设置专职安全管理人员，负责本项目的日常安全生产管理工作、负责安全生产管理制度、管理体系的编制、建立和落实；负责车间检修安全规程的制定和落实；负责日常安全生产监督、安全教育、培训等工作。</w:t>
      </w:r>
    </w:p>
    <w:p w14:paraId="52CD54F4">
      <w:pPr>
        <w:pStyle w:val="9"/>
        <w:overflowPunct w:val="0"/>
        <w:spacing w:before="0" w:beforeAutospacing="0" w:after="0" w:afterAutospacing="0" w:line="360" w:lineRule="auto"/>
        <w:ind w:firstLine="480" w:firstLineChars="200"/>
        <w:rPr>
          <w:rFonts w:asciiTheme="minorHAnsi" w:hAnsiTheme="minorHAnsi"/>
          <w:kern w:val="2"/>
          <w:szCs w:val="22"/>
        </w:rPr>
      </w:pPr>
      <w:bookmarkStart w:id="36" w:name="_Toc300331078"/>
      <w:bookmarkStart w:id="37" w:name="_Toc300330974"/>
      <w:r>
        <w:rPr>
          <w:rFonts w:asciiTheme="minorHAnsi" w:hAnsiTheme="minorHAnsi"/>
          <w:kern w:val="2"/>
          <w:szCs w:val="22"/>
        </w:rPr>
        <w:t>②项目投产后配备安全卫生管理人员的条件和数量的建议</w:t>
      </w:r>
      <w:bookmarkEnd w:id="36"/>
      <w:bookmarkEnd w:id="37"/>
    </w:p>
    <w:p w14:paraId="7E85E987">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本项目建成投产前，企业应当聘请具有丰富操作经验的技术人员和安全管理人员，借鉴国内相同装置的操作和安全管理经验，结合本项目的实际 情况，制定各种安全管理制度、安全操作规程，并应按照标准要求制定符合 企业自身情况的《事故应急救援预案》。</w:t>
      </w:r>
    </w:p>
    <w:p w14:paraId="3EF65EA3">
      <w:pPr>
        <w:pStyle w:val="9"/>
        <w:overflowPunct w:val="0"/>
        <w:spacing w:before="0" w:beforeAutospacing="0" w:after="0" w:afterAutospacing="0" w:line="360" w:lineRule="auto"/>
        <w:ind w:left="420" w:leftChars="200"/>
        <w:rPr>
          <w:rFonts w:asciiTheme="minorHAnsi" w:hAnsiTheme="minorHAnsi"/>
          <w:kern w:val="2"/>
          <w:szCs w:val="22"/>
        </w:rPr>
      </w:pPr>
      <w:r>
        <w:rPr>
          <w:rFonts w:asciiTheme="minorHAnsi" w:hAnsiTheme="minorHAnsi"/>
          <w:kern w:val="2"/>
          <w:szCs w:val="22"/>
        </w:rPr>
        <w:t>a．企业</w:t>
      </w:r>
      <w:r>
        <w:rPr>
          <w:rFonts w:hint="eastAsia" w:asciiTheme="minorHAnsi" w:hAnsiTheme="minorHAnsi"/>
          <w:kern w:val="2"/>
          <w:szCs w:val="22"/>
        </w:rPr>
        <w:t>主要负责人和安全管理人员任职条件</w:t>
      </w:r>
    </w:p>
    <w:p w14:paraId="275DDD9D">
      <w:pPr>
        <w:pStyle w:val="9"/>
        <w:overflowPunct w:val="0"/>
        <w:spacing w:before="0" w:beforeAutospacing="0" w:after="0" w:afterAutospacing="0" w:line="360" w:lineRule="auto"/>
        <w:ind w:firstLine="480" w:firstLineChars="200"/>
        <w:rPr>
          <w:rFonts w:asciiTheme="minorHAnsi" w:hAnsiTheme="minorHAnsi"/>
          <w:kern w:val="2"/>
          <w:szCs w:val="22"/>
        </w:rPr>
      </w:pPr>
      <w:r>
        <w:rPr>
          <w:rFonts w:hint="eastAsia" w:asciiTheme="minorHAnsi" w:hAnsiTheme="minorHAnsi"/>
          <w:kern w:val="2"/>
          <w:szCs w:val="22"/>
        </w:rPr>
        <w:fldChar w:fldCharType="begin"/>
      </w:r>
      <w:r>
        <w:rPr>
          <w:rFonts w:hint="eastAsia" w:asciiTheme="minorHAnsi" w:hAnsiTheme="minorHAnsi"/>
          <w:kern w:val="2"/>
          <w:szCs w:val="22"/>
        </w:rPr>
        <w:instrText xml:space="preserve"> = 1 \* ROMAN \* MERGEFORMAT </w:instrText>
      </w:r>
      <w:r>
        <w:rPr>
          <w:rFonts w:hint="eastAsia" w:asciiTheme="minorHAnsi" w:hAnsiTheme="minorHAnsi"/>
          <w:kern w:val="2"/>
          <w:szCs w:val="22"/>
        </w:rPr>
        <w:fldChar w:fldCharType="separate"/>
      </w:r>
      <w:r>
        <w:rPr>
          <w:rFonts w:asciiTheme="minorHAnsi" w:hAnsiTheme="minorHAnsi"/>
          <w:kern w:val="2"/>
          <w:szCs w:val="22"/>
        </w:rPr>
        <w:t>I</w:t>
      </w:r>
      <w:r>
        <w:rPr>
          <w:rFonts w:hint="eastAsia" w:asciiTheme="minorHAnsi" w:hAnsiTheme="minorHAnsi"/>
          <w:kern w:val="2"/>
          <w:szCs w:val="22"/>
        </w:rPr>
        <w:fldChar w:fldCharType="end"/>
      </w:r>
      <w:r>
        <w:rPr>
          <w:rFonts w:hint="eastAsia" w:asciiTheme="minorHAnsi" w:hAnsiTheme="minorHAnsi"/>
          <w:kern w:val="2"/>
          <w:szCs w:val="22"/>
        </w:rPr>
        <w:t>企业主要负责人、分管安全生产负责人和安全生产管理人员，应当按照国家有关规定进行培训，并取得相应资格。</w:t>
      </w:r>
      <w:r>
        <w:rPr>
          <w:rFonts w:hint="eastAsia" w:asciiTheme="minorHAnsi" w:hAnsiTheme="minorHAnsi"/>
          <w:kern w:val="2"/>
          <w:szCs w:val="22"/>
        </w:rPr>
        <w:br w:type="textWrapping"/>
      </w:r>
      <w:r>
        <w:rPr>
          <w:rFonts w:hint="eastAsia" w:asciiTheme="minorHAnsi" w:hAnsiTheme="minorHAnsi"/>
          <w:kern w:val="2"/>
          <w:szCs w:val="22"/>
        </w:rPr>
        <w:t xml:space="preserve">    </w:t>
      </w:r>
      <w:r>
        <w:rPr>
          <w:rFonts w:hint="eastAsia" w:asciiTheme="minorHAnsi" w:hAnsiTheme="minorHAnsi"/>
          <w:kern w:val="2"/>
          <w:szCs w:val="22"/>
        </w:rPr>
        <w:fldChar w:fldCharType="begin"/>
      </w:r>
      <w:r>
        <w:rPr>
          <w:rFonts w:hint="eastAsia" w:asciiTheme="minorHAnsi" w:hAnsiTheme="minorHAnsi"/>
          <w:kern w:val="2"/>
          <w:szCs w:val="22"/>
        </w:rPr>
        <w:instrText xml:space="preserve"> = 2 \* ROMAN \* MERGEFORMAT </w:instrText>
      </w:r>
      <w:r>
        <w:rPr>
          <w:rFonts w:hint="eastAsia" w:asciiTheme="minorHAnsi" w:hAnsiTheme="minorHAnsi"/>
          <w:kern w:val="2"/>
          <w:szCs w:val="22"/>
        </w:rPr>
        <w:fldChar w:fldCharType="separate"/>
      </w:r>
      <w:r>
        <w:rPr>
          <w:rFonts w:asciiTheme="minorHAnsi" w:hAnsiTheme="minorHAnsi"/>
          <w:kern w:val="2"/>
          <w:szCs w:val="22"/>
        </w:rPr>
        <w:t>II</w:t>
      </w:r>
      <w:r>
        <w:rPr>
          <w:rFonts w:hint="eastAsia" w:asciiTheme="minorHAnsi" w:hAnsiTheme="minorHAnsi"/>
          <w:kern w:val="2"/>
          <w:szCs w:val="22"/>
        </w:rPr>
        <w:fldChar w:fldCharType="end"/>
      </w:r>
      <w:r>
        <w:rPr>
          <w:rFonts w:hint="eastAsia" w:asciiTheme="minorHAnsi" w:hAnsiTheme="minorHAnsi"/>
          <w:kern w:val="2"/>
          <w:szCs w:val="22"/>
        </w:rPr>
        <w:t>企业主要负责人及分管安全、生产、技术负责人中，应至少有1人具有国民教育化工化学类本科以上学历，且具有3年以上化工行业生产或技术岗位从业经历。</w:t>
      </w:r>
      <w:r>
        <w:rPr>
          <w:rFonts w:hint="eastAsia" w:asciiTheme="minorHAnsi" w:hAnsiTheme="minorHAnsi"/>
          <w:kern w:val="2"/>
          <w:szCs w:val="22"/>
        </w:rPr>
        <w:br w:type="textWrapping"/>
      </w:r>
      <w:r>
        <w:rPr>
          <w:rFonts w:hint="eastAsia" w:asciiTheme="minorHAnsi" w:hAnsiTheme="minorHAnsi"/>
          <w:kern w:val="2"/>
          <w:szCs w:val="22"/>
        </w:rPr>
        <w:t xml:space="preserve">    </w:t>
      </w:r>
      <w:r>
        <w:rPr>
          <w:rFonts w:hint="eastAsia" w:asciiTheme="minorHAnsi" w:hAnsiTheme="minorHAnsi"/>
          <w:kern w:val="2"/>
          <w:szCs w:val="22"/>
        </w:rPr>
        <w:fldChar w:fldCharType="begin"/>
      </w:r>
      <w:r>
        <w:rPr>
          <w:rFonts w:hint="eastAsia" w:asciiTheme="minorHAnsi" w:hAnsiTheme="minorHAnsi"/>
          <w:kern w:val="2"/>
          <w:szCs w:val="22"/>
        </w:rPr>
        <w:instrText xml:space="preserve"> = 3 \* ROMAN \* MERGEFORMAT </w:instrText>
      </w:r>
      <w:r>
        <w:rPr>
          <w:rFonts w:hint="eastAsia" w:asciiTheme="minorHAnsi" w:hAnsiTheme="minorHAnsi"/>
          <w:kern w:val="2"/>
          <w:szCs w:val="22"/>
        </w:rPr>
        <w:fldChar w:fldCharType="separate"/>
      </w:r>
      <w:r>
        <w:rPr>
          <w:rFonts w:asciiTheme="minorHAnsi" w:hAnsiTheme="minorHAnsi"/>
          <w:kern w:val="2"/>
          <w:szCs w:val="22"/>
        </w:rPr>
        <w:t>III</w:t>
      </w:r>
      <w:r>
        <w:rPr>
          <w:rFonts w:hint="eastAsia" w:asciiTheme="minorHAnsi" w:hAnsiTheme="minorHAnsi"/>
          <w:kern w:val="2"/>
          <w:szCs w:val="22"/>
        </w:rPr>
        <w:fldChar w:fldCharType="end"/>
      </w:r>
      <w:r>
        <w:rPr>
          <w:rFonts w:hint="eastAsia" w:asciiTheme="minorHAnsi" w:hAnsiTheme="minorHAnsi"/>
          <w:kern w:val="2"/>
          <w:szCs w:val="22"/>
        </w:rPr>
        <w:t>专职安全生产管理人员应当具备国民教育化工化学类（或安全工程）中等职业教育以上学历或者化工化学类中级以上专业技术职称，或者具备危险物品安全类注册安全工程师资格，且具有2年以上化工行业生产或技术岗位从业经历。</w:t>
      </w:r>
    </w:p>
    <w:p w14:paraId="087D9F0B">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属于特种作业人员的，除应具备上述条件外，还应按照国家有关规定参加专门的安全作业培训，经考核合格并取得特种作业操作资格证书；</w:t>
      </w:r>
    </w:p>
    <w:p w14:paraId="43BD59D2">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为保证装置能安全、无事故运行，对操作人员在偏离正常工艺规程、参数和出现事故时应采取的操作动作进行良好的培训是具有重要意义的。操作人员应了解生产的工艺过程、设备的操作条件以及复杂的控制、调节和预防事故发生应急处理措施及其与 自动化系统的相互联系。因此，应按制定的计划培训操作人员，并让他们在操作现场进行较长时间的实习。</w:t>
      </w:r>
    </w:p>
    <w:p w14:paraId="3AD7B219">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结合本项目的特点，应该设置一定数量的兼职安全管理人员，安全管理必须纳入日常管理工作，实行总经理负责制，坚持管生产必须管安全的原则。</w:t>
      </w:r>
    </w:p>
    <w:p w14:paraId="50637CE5">
      <w:pPr>
        <w:spacing w:line="360" w:lineRule="auto"/>
        <w:ind w:firstLine="480" w:firstLineChars="200"/>
        <w:rPr>
          <w:sz w:val="24"/>
        </w:rPr>
      </w:pPr>
      <w:bookmarkStart w:id="38" w:name="_Toc300331079"/>
      <w:bookmarkStart w:id="39" w:name="_Toc300330975"/>
      <w:r>
        <w:rPr>
          <w:rFonts w:hint="eastAsia"/>
          <w:sz w:val="24"/>
        </w:rPr>
        <w:t>③安全卫生管理机构</w:t>
      </w:r>
      <w:r>
        <w:rPr>
          <w:sz w:val="24"/>
        </w:rPr>
        <w:t>职责</w:t>
      </w:r>
      <w:bookmarkEnd w:id="38"/>
      <w:bookmarkEnd w:id="39"/>
    </w:p>
    <w:p w14:paraId="22767E84">
      <w:pPr>
        <w:spacing w:line="360" w:lineRule="auto"/>
        <w:ind w:firstLine="480" w:firstLineChars="200"/>
        <w:rPr>
          <w:sz w:val="24"/>
        </w:rPr>
      </w:pPr>
      <w:r>
        <w:rPr>
          <w:rFonts w:hint="eastAsia"/>
          <w:sz w:val="24"/>
        </w:rPr>
        <w:t>a．落实企业安全第一责任人。企业法人是企业的第一安全负责人。</w:t>
      </w:r>
    </w:p>
    <w:p w14:paraId="48BA597F">
      <w:pPr>
        <w:spacing w:line="360" w:lineRule="auto"/>
        <w:ind w:firstLine="480" w:firstLineChars="200"/>
        <w:rPr>
          <w:sz w:val="24"/>
        </w:rPr>
      </w:pPr>
      <w:r>
        <w:rPr>
          <w:rFonts w:hint="eastAsia"/>
          <w:sz w:val="24"/>
        </w:rPr>
        <w:t>企业设置“安全生产领导小组”，由企业法人，企业分管生产和分管技术的负责人以及安全部负责人共同组成，企业法人任组长。“安全生产领导小组”应结合实际，制订企业安全生产方针目标，并保证有效完成；依法保证安全生产所必需的资金投入。</w:t>
      </w:r>
    </w:p>
    <w:p w14:paraId="39913A01">
      <w:pPr>
        <w:spacing w:line="360" w:lineRule="auto"/>
        <w:ind w:firstLine="480" w:firstLineChars="200"/>
        <w:rPr>
          <w:sz w:val="24"/>
        </w:rPr>
      </w:pPr>
      <w:r>
        <w:rPr>
          <w:rFonts w:hint="eastAsia"/>
          <w:sz w:val="24"/>
        </w:rPr>
        <w:t>b．公司设立安全环保科，配备专职安全管理人员。负责企业日常的安全管理工作。建立、健全各项安全生产管理制度、管理台帐，并组织设施。负责组织对企业员工进行操作技术和安全生产的教育、培训、考核 。</w:t>
      </w:r>
    </w:p>
    <w:p w14:paraId="0DB8A48A">
      <w:pPr>
        <w:spacing w:line="360" w:lineRule="auto"/>
        <w:ind w:firstLine="480" w:firstLineChars="200"/>
        <w:rPr>
          <w:sz w:val="24"/>
        </w:rPr>
      </w:pPr>
      <w:r>
        <w:rPr>
          <w:rFonts w:hint="eastAsia"/>
          <w:sz w:val="24"/>
        </w:rPr>
        <w:t>c．班组设立兼职安全员，负责监督、提醒班组人员按操作规程和安全生产制度进行设备和装置的操作，不允许违章作业。并协助安全管理人员做好安全生产的宣传、教育工作。</w:t>
      </w:r>
    </w:p>
    <w:p w14:paraId="4BE0B351">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d．工厂应当根据《安全生产法》的要求，抓好安全生产的日常管理工作。企业要做好安全教育和安全检查工 作；做好生产装置和设备的维护、保养工作，使生产装置和设备经常处于良好状态；严格执行操作规程、工艺指标，正确操作、使用设备、工具；严格 执行设备检修规程，制止违章指挥、违章作业。</w:t>
      </w:r>
    </w:p>
    <w:p w14:paraId="3C43903A">
      <w:pPr>
        <w:pStyle w:val="9"/>
        <w:overflowPunct w:val="0"/>
        <w:spacing w:before="0" w:beforeAutospacing="0" w:after="0" w:afterAutospacing="0" w:line="360" w:lineRule="auto"/>
        <w:ind w:firstLine="480" w:firstLineChars="200"/>
        <w:rPr>
          <w:rFonts w:asciiTheme="minorHAnsi" w:hAnsiTheme="minorHAnsi"/>
          <w:kern w:val="2"/>
          <w:szCs w:val="22"/>
        </w:rPr>
      </w:pPr>
      <w:bookmarkStart w:id="40" w:name="_Toc300330976"/>
      <w:bookmarkStart w:id="41" w:name="_Toc300331080"/>
      <w:r>
        <w:rPr>
          <w:rFonts w:asciiTheme="minorHAnsi" w:hAnsiTheme="minorHAnsi"/>
          <w:kern w:val="2"/>
          <w:szCs w:val="22"/>
        </w:rPr>
        <w:t>（2）安全卫生教育</w:t>
      </w:r>
      <w:bookmarkEnd w:id="40"/>
      <w:bookmarkEnd w:id="41"/>
    </w:p>
    <w:p w14:paraId="1CE4FF81">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①建立、完善安全教育制度。</w:t>
      </w:r>
    </w:p>
    <w:p w14:paraId="5231522A">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②专、兼职安全管理人员必须经当地安监部门培训合格，并取得培训证书。</w:t>
      </w:r>
    </w:p>
    <w:p w14:paraId="24F497B8">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③对所有从业人员进行三级安全教育并考核合格后方可上岗。</w:t>
      </w:r>
    </w:p>
    <w:p w14:paraId="2B1194D4">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④对操作人员进行专门的安全教育和培训，组织学习有关工艺技术规程、安全操作规程、试车方案以及异常情况下的应急处置措施，生产指挥人员、操作人员经安全考核合格，方能上岗操作。</w:t>
      </w:r>
    </w:p>
    <w:p w14:paraId="18BD4D2B">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⑤加强全员安全教育和安全技术培训工作，积极开展危险预防知识教育，提高危险辨识能力，增强全员安全意识，提高自我保护能力。</w:t>
      </w:r>
    </w:p>
    <w:p w14:paraId="0183D024">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⑥生产经营单位主要负责人和安全生产管理人员应当接受安全培训，具备与所从事的生产经营活动相适应的安全生产知识和管理能力。</w:t>
      </w:r>
    </w:p>
    <w:p w14:paraId="4DF17B62">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⑦生产经营单位主要负责人和安全生产管理人员初次安全培训时间不得少于32学时。每年再培训时间不得少于12学时。</w:t>
      </w:r>
    </w:p>
    <w:p w14:paraId="2A8B536A">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⑧生产经营单位新上岗的从业人员，岗前培训时间不得少于24学时。</w:t>
      </w:r>
    </w:p>
    <w:p w14:paraId="629B18F8">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⑨从业人员在本生产经营单位内调整工作岗位或离岗一年以上重新上岗时，应当重新接受车间（工段、区、队）和班组级的安全培训。 生产经营单位实施新工艺、新技术或者使用新设备、新材料时，应当对有关从业人员重新进行有针对性的安全培训。</w:t>
      </w:r>
    </w:p>
    <w:p w14:paraId="3BA03C9F">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⑩具备安全培训条件的生产经营单位，应当以自主培训为主；可以委托具有相应资质的安全培训机构，对从业人员进行安全培训。 不具备安全培训条件的生产经营单位，应当委托具有相应资质的安全培训机构，对从业人员进行安全培训。</w:t>
      </w:r>
    </w:p>
    <w:p w14:paraId="70C96AD2">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fldChar w:fldCharType="begin"/>
      </w:r>
      <w:r>
        <w:rPr>
          <w:rFonts w:asciiTheme="minorHAnsi" w:hAnsiTheme="minorHAnsi"/>
          <w:kern w:val="2"/>
          <w:szCs w:val="22"/>
        </w:rPr>
        <w:instrText xml:space="preserve"> eq \o\ac(○,11)</w:instrText>
      </w:r>
      <w:r>
        <w:rPr>
          <w:rFonts w:asciiTheme="minorHAnsi" w:hAnsiTheme="minorHAnsi"/>
          <w:kern w:val="2"/>
          <w:szCs w:val="22"/>
        </w:rPr>
        <w:fldChar w:fldCharType="end"/>
      </w:r>
      <w:r>
        <w:rPr>
          <w:rFonts w:asciiTheme="minorHAnsi" w:hAnsiTheme="minorHAnsi"/>
          <w:kern w:val="2"/>
          <w:szCs w:val="22"/>
        </w:rPr>
        <w:t>生产经营单位应当将安全培训工作纳入本单位年度工作计划。保证本单位安全培训工作所需资金。</w:t>
      </w:r>
    </w:p>
    <w:p w14:paraId="1480659A">
      <w:pPr>
        <w:pStyle w:val="9"/>
        <w:overflowPunct w:val="0"/>
        <w:spacing w:before="0" w:beforeAutospacing="0" w:after="0" w:afterAutospacing="0" w:line="360" w:lineRule="auto"/>
        <w:ind w:firstLine="480" w:firstLineChars="200"/>
        <w:rPr>
          <w:rFonts w:asciiTheme="minorHAnsi" w:hAnsiTheme="minorHAnsi"/>
          <w:kern w:val="2"/>
          <w:szCs w:val="22"/>
        </w:rPr>
      </w:pPr>
      <w:bookmarkStart w:id="42" w:name="_Toc300330977"/>
      <w:bookmarkStart w:id="43" w:name="_Toc300331081"/>
      <w:r>
        <w:rPr>
          <w:rFonts w:asciiTheme="minorHAnsi" w:hAnsiTheme="minorHAnsi"/>
          <w:kern w:val="2"/>
          <w:szCs w:val="22"/>
        </w:rPr>
        <w:t>（3）安全卫生管理</w:t>
      </w:r>
      <w:bookmarkEnd w:id="42"/>
      <w:bookmarkEnd w:id="43"/>
      <w:r>
        <w:rPr>
          <w:rFonts w:asciiTheme="minorHAnsi" w:hAnsiTheme="minorHAnsi"/>
          <w:kern w:val="2"/>
          <w:szCs w:val="22"/>
        </w:rPr>
        <w:t>措施</w:t>
      </w:r>
    </w:p>
    <w:p w14:paraId="3BC08F42">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①安全卫</w:t>
      </w:r>
      <w:r>
        <w:rPr>
          <w:rFonts w:hint="eastAsia" w:asciiTheme="minorHAnsi" w:hAnsiTheme="minorHAnsi"/>
          <w:kern w:val="2"/>
          <w:szCs w:val="22"/>
        </w:rPr>
        <w:t>生</w:t>
      </w:r>
      <w:r>
        <w:rPr>
          <w:rFonts w:asciiTheme="minorHAnsi" w:hAnsiTheme="minorHAnsi"/>
          <w:kern w:val="2"/>
          <w:szCs w:val="22"/>
        </w:rPr>
        <w:t>管理制度</w:t>
      </w:r>
    </w:p>
    <w:p w14:paraId="2529D6A8">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t>保障</w:t>
      </w:r>
      <w:r>
        <w:rPr>
          <w:rFonts w:asciiTheme="minorHAnsi" w:hAnsiTheme="minorHAnsi"/>
          <w:kern w:val="2"/>
          <w:szCs w:val="22"/>
        </w:rPr>
        <w:fldChar w:fldCharType="begin"/>
      </w:r>
      <w:r>
        <w:rPr>
          <w:rFonts w:asciiTheme="minorHAnsi" w:hAnsiTheme="minorHAnsi"/>
          <w:kern w:val="2"/>
          <w:szCs w:val="22"/>
        </w:rPr>
        <w:instrText xml:space="preserve"> HYPERLINK "http://baike.baidu.com/view/1253713.htm" \t "_blank" </w:instrText>
      </w:r>
      <w:r>
        <w:rPr>
          <w:rFonts w:asciiTheme="minorHAnsi" w:hAnsiTheme="minorHAnsi"/>
          <w:kern w:val="2"/>
          <w:szCs w:val="22"/>
        </w:rPr>
        <w:fldChar w:fldCharType="separate"/>
      </w:r>
      <w:r>
        <w:rPr>
          <w:rFonts w:asciiTheme="minorHAnsi" w:hAnsiTheme="minorHAnsi"/>
          <w:kern w:val="2"/>
          <w:szCs w:val="22"/>
        </w:rPr>
        <w:t>劳动者</w:t>
      </w:r>
      <w:r>
        <w:rPr>
          <w:rFonts w:asciiTheme="minorHAnsi" w:hAnsiTheme="minorHAnsi"/>
          <w:kern w:val="2"/>
          <w:szCs w:val="22"/>
        </w:rPr>
        <w:fldChar w:fldCharType="end"/>
      </w:r>
      <w:r>
        <w:rPr>
          <w:rFonts w:asciiTheme="minorHAnsi" w:hAnsiTheme="minorHAnsi"/>
          <w:kern w:val="2"/>
          <w:szCs w:val="22"/>
        </w:rPr>
        <w:t>在</w:t>
      </w:r>
      <w:r>
        <w:fldChar w:fldCharType="begin"/>
      </w:r>
      <w:r>
        <w:instrText xml:space="preserve"> HYPERLINK "http://baike.baidu.com/view/53665.htm" \t "_blank" </w:instrText>
      </w:r>
      <w:r>
        <w:fldChar w:fldCharType="separate"/>
      </w:r>
      <w:r>
        <w:rPr>
          <w:rFonts w:asciiTheme="minorHAnsi" w:hAnsiTheme="minorHAnsi"/>
          <w:kern w:val="2"/>
          <w:szCs w:val="22"/>
        </w:rPr>
        <w:t>劳动</w:t>
      </w:r>
      <w:r>
        <w:rPr>
          <w:rFonts w:asciiTheme="minorHAnsi" w:hAnsiTheme="minorHAnsi"/>
          <w:kern w:val="2"/>
          <w:szCs w:val="22"/>
        </w:rPr>
        <w:fldChar w:fldCharType="end"/>
      </w:r>
      <w:r>
        <w:rPr>
          <w:rFonts w:asciiTheme="minorHAnsi" w:hAnsiTheme="minorHAnsi"/>
          <w:kern w:val="2"/>
          <w:szCs w:val="22"/>
        </w:rPr>
        <w:t>过程中的安全和健康，在组织劳动和科学管理方面的各项规章制度。</w:t>
      </w:r>
    </w:p>
    <w:p w14:paraId="57BBB6D0">
      <w:pPr>
        <w:overflowPunct w:val="0"/>
        <w:spacing w:line="360" w:lineRule="auto"/>
        <w:ind w:firstLine="480" w:firstLineChars="200"/>
        <w:jc w:val="left"/>
        <w:rPr>
          <w:sz w:val="28"/>
          <w:szCs w:val="28"/>
        </w:rPr>
      </w:pPr>
      <w:r>
        <w:rPr>
          <w:rFonts w:hint="eastAsia"/>
          <w:sz w:val="24"/>
        </w:rPr>
        <w:t>企业应至少制定、完善下列安全生产制度：</w:t>
      </w:r>
      <w:r>
        <w:rPr>
          <w:rFonts w:hint="eastAsia"/>
          <w:sz w:val="24"/>
        </w:rPr>
        <w:br w:type="textWrapping"/>
      </w:r>
      <w:r>
        <w:rPr>
          <w:rFonts w:hint="eastAsia"/>
          <w:sz w:val="24"/>
        </w:rPr>
        <w:fldChar w:fldCharType="begin"/>
      </w:r>
      <w:r>
        <w:rPr>
          <w:rFonts w:hint="eastAsia"/>
          <w:sz w:val="24"/>
        </w:rPr>
        <w:instrText xml:space="preserve"> = 1 \* ROMAN \* MERGEFORMAT </w:instrText>
      </w:r>
      <w:r>
        <w:rPr>
          <w:rFonts w:hint="eastAsia"/>
          <w:sz w:val="24"/>
        </w:rPr>
        <w:fldChar w:fldCharType="separate"/>
      </w:r>
      <w:r>
        <w:rPr>
          <w:sz w:val="24"/>
        </w:rPr>
        <w:t>I</w:t>
      </w:r>
      <w:r>
        <w:rPr>
          <w:rFonts w:hint="eastAsia"/>
          <w:sz w:val="24"/>
        </w:rPr>
        <w:fldChar w:fldCharType="end"/>
      </w:r>
      <w:r>
        <w:rPr>
          <w:rFonts w:hint="eastAsia"/>
          <w:sz w:val="24"/>
        </w:rPr>
        <w:t>、安全生产责任制度；</w:t>
      </w:r>
      <w:r>
        <w:rPr>
          <w:rFonts w:hint="eastAsia"/>
          <w:sz w:val="24"/>
        </w:rPr>
        <w:br w:type="textWrapping"/>
      </w:r>
      <w:r>
        <w:rPr>
          <w:rFonts w:hint="eastAsia"/>
          <w:sz w:val="24"/>
        </w:rPr>
        <w:fldChar w:fldCharType="begin"/>
      </w:r>
      <w:r>
        <w:rPr>
          <w:rFonts w:hint="eastAsia"/>
          <w:sz w:val="24"/>
        </w:rPr>
        <w:instrText xml:space="preserve"> = 2 \* ROMAN \* MERGEFORMAT </w:instrText>
      </w:r>
      <w:r>
        <w:rPr>
          <w:rFonts w:hint="eastAsia"/>
          <w:sz w:val="24"/>
        </w:rPr>
        <w:fldChar w:fldCharType="separate"/>
      </w:r>
      <w:r>
        <w:rPr>
          <w:sz w:val="24"/>
        </w:rPr>
        <w:t>II</w:t>
      </w:r>
      <w:r>
        <w:rPr>
          <w:rFonts w:hint="eastAsia"/>
          <w:sz w:val="24"/>
        </w:rPr>
        <w:fldChar w:fldCharType="end"/>
      </w:r>
      <w:r>
        <w:rPr>
          <w:rFonts w:hint="eastAsia"/>
          <w:sz w:val="24"/>
        </w:rPr>
        <w:t>、安全生产例会等安全生产会议制度；</w:t>
      </w:r>
      <w:r>
        <w:rPr>
          <w:rFonts w:hint="eastAsia"/>
          <w:sz w:val="24"/>
        </w:rPr>
        <w:br w:type="textWrapping"/>
      </w:r>
      <w:r>
        <w:rPr>
          <w:rFonts w:hint="eastAsia"/>
          <w:sz w:val="24"/>
        </w:rPr>
        <w:fldChar w:fldCharType="begin"/>
      </w:r>
      <w:r>
        <w:rPr>
          <w:rFonts w:hint="eastAsia"/>
          <w:sz w:val="24"/>
        </w:rPr>
        <w:instrText xml:space="preserve"> = 3 \* ROMAN \* MERGEFORMAT </w:instrText>
      </w:r>
      <w:r>
        <w:rPr>
          <w:rFonts w:hint="eastAsia"/>
          <w:sz w:val="24"/>
        </w:rPr>
        <w:fldChar w:fldCharType="separate"/>
      </w:r>
      <w:r>
        <w:rPr>
          <w:sz w:val="24"/>
        </w:rPr>
        <w:t>III</w:t>
      </w:r>
      <w:r>
        <w:rPr>
          <w:rFonts w:hint="eastAsia"/>
          <w:sz w:val="24"/>
        </w:rPr>
        <w:fldChar w:fldCharType="end"/>
      </w:r>
      <w:r>
        <w:rPr>
          <w:rFonts w:hint="eastAsia"/>
          <w:sz w:val="24"/>
        </w:rPr>
        <w:t>、安全培训教育制度；</w:t>
      </w:r>
      <w:r>
        <w:rPr>
          <w:rFonts w:hint="eastAsia"/>
          <w:sz w:val="28"/>
          <w:szCs w:val="28"/>
        </w:rPr>
        <w:br w:type="textWrapping"/>
      </w:r>
      <w:r>
        <w:rPr>
          <w:rFonts w:hint="eastAsia"/>
          <w:sz w:val="24"/>
        </w:rPr>
        <w:fldChar w:fldCharType="begin"/>
      </w:r>
      <w:r>
        <w:rPr>
          <w:rFonts w:hint="eastAsia"/>
          <w:sz w:val="24"/>
        </w:rPr>
        <w:instrText xml:space="preserve"> = 4 \* ROMAN \* MERGEFORMAT </w:instrText>
      </w:r>
      <w:r>
        <w:rPr>
          <w:rFonts w:hint="eastAsia"/>
          <w:sz w:val="24"/>
        </w:rPr>
        <w:fldChar w:fldCharType="separate"/>
      </w:r>
      <w:r>
        <w:rPr>
          <w:sz w:val="24"/>
        </w:rPr>
        <w:t>IV</w:t>
      </w:r>
      <w:r>
        <w:rPr>
          <w:rFonts w:hint="eastAsia"/>
          <w:sz w:val="24"/>
        </w:rPr>
        <w:fldChar w:fldCharType="end"/>
      </w:r>
      <w:r>
        <w:rPr>
          <w:rFonts w:hint="eastAsia"/>
          <w:sz w:val="24"/>
        </w:rPr>
        <w:t>、安全检查和隐患排查治理制度；</w:t>
      </w:r>
      <w:r>
        <w:rPr>
          <w:rFonts w:hint="eastAsia"/>
          <w:sz w:val="28"/>
          <w:szCs w:val="28"/>
        </w:rPr>
        <w:br w:type="textWrapping"/>
      </w:r>
      <w:r>
        <w:rPr>
          <w:rFonts w:hint="eastAsia"/>
          <w:sz w:val="24"/>
        </w:rPr>
        <w:fldChar w:fldCharType="begin"/>
      </w:r>
      <w:r>
        <w:rPr>
          <w:rFonts w:hint="eastAsia"/>
          <w:sz w:val="24"/>
        </w:rPr>
        <w:instrText xml:space="preserve"> = 5 \* ROMAN \* MERGEFORMAT </w:instrText>
      </w:r>
      <w:r>
        <w:rPr>
          <w:rFonts w:hint="eastAsia"/>
          <w:sz w:val="24"/>
        </w:rPr>
        <w:fldChar w:fldCharType="separate"/>
      </w:r>
      <w:r>
        <w:rPr>
          <w:sz w:val="24"/>
        </w:rPr>
        <w:t>V</w:t>
      </w:r>
      <w:r>
        <w:rPr>
          <w:rFonts w:hint="eastAsia"/>
          <w:sz w:val="24"/>
        </w:rPr>
        <w:fldChar w:fldCharType="end"/>
      </w:r>
      <w:r>
        <w:rPr>
          <w:rFonts w:hint="eastAsia"/>
          <w:sz w:val="24"/>
        </w:rPr>
        <w:t>、安全投入保障制度；</w:t>
      </w:r>
      <w:r>
        <w:rPr>
          <w:rFonts w:hint="eastAsia"/>
          <w:sz w:val="24"/>
        </w:rPr>
        <w:br w:type="textWrapping"/>
      </w:r>
      <w:r>
        <w:rPr>
          <w:rFonts w:hint="eastAsia"/>
          <w:sz w:val="24"/>
        </w:rPr>
        <w:fldChar w:fldCharType="begin"/>
      </w:r>
      <w:r>
        <w:rPr>
          <w:rFonts w:hint="eastAsia"/>
          <w:sz w:val="24"/>
        </w:rPr>
        <w:instrText xml:space="preserve"> = 6 \* ROMAN \* MERGEFORMAT </w:instrText>
      </w:r>
      <w:r>
        <w:rPr>
          <w:rFonts w:hint="eastAsia"/>
          <w:sz w:val="24"/>
        </w:rPr>
        <w:fldChar w:fldCharType="separate"/>
      </w:r>
      <w:r>
        <w:rPr>
          <w:sz w:val="24"/>
        </w:rPr>
        <w:t>VI</w:t>
      </w:r>
      <w:r>
        <w:rPr>
          <w:rFonts w:hint="eastAsia"/>
          <w:sz w:val="24"/>
        </w:rPr>
        <w:fldChar w:fldCharType="end"/>
      </w:r>
      <w:r>
        <w:rPr>
          <w:rFonts w:hint="eastAsia"/>
          <w:sz w:val="24"/>
        </w:rPr>
        <w:t>、风险识别及评价制度；</w:t>
      </w:r>
      <w:r>
        <w:rPr>
          <w:rFonts w:hint="eastAsia"/>
          <w:sz w:val="24"/>
        </w:rPr>
        <w:br w:type="textWrapping"/>
      </w:r>
      <w:r>
        <w:rPr>
          <w:rFonts w:hint="eastAsia"/>
          <w:sz w:val="24"/>
        </w:rPr>
        <w:fldChar w:fldCharType="begin"/>
      </w:r>
      <w:r>
        <w:rPr>
          <w:rFonts w:hint="eastAsia"/>
          <w:sz w:val="24"/>
        </w:rPr>
        <w:instrText xml:space="preserve"> = 7 \* ROMAN \* MERGEFORMAT </w:instrText>
      </w:r>
      <w:r>
        <w:rPr>
          <w:rFonts w:hint="eastAsia"/>
          <w:sz w:val="24"/>
        </w:rPr>
        <w:fldChar w:fldCharType="separate"/>
      </w:r>
      <w:r>
        <w:rPr>
          <w:sz w:val="24"/>
        </w:rPr>
        <w:t>VII</w:t>
      </w:r>
      <w:r>
        <w:rPr>
          <w:rFonts w:hint="eastAsia"/>
          <w:sz w:val="24"/>
        </w:rPr>
        <w:fldChar w:fldCharType="end"/>
      </w:r>
      <w:r>
        <w:rPr>
          <w:rFonts w:hint="eastAsia"/>
          <w:sz w:val="24"/>
        </w:rPr>
        <w:t>、重大危险源评估和安全管理制度；</w:t>
      </w:r>
      <w:r>
        <w:rPr>
          <w:rFonts w:hint="eastAsia"/>
          <w:sz w:val="24"/>
        </w:rPr>
        <w:br w:type="textWrapping"/>
      </w:r>
      <w:r>
        <w:rPr>
          <w:rFonts w:hint="eastAsia"/>
          <w:sz w:val="24"/>
        </w:rPr>
        <w:fldChar w:fldCharType="begin"/>
      </w:r>
      <w:r>
        <w:rPr>
          <w:rFonts w:hint="eastAsia"/>
          <w:sz w:val="24"/>
        </w:rPr>
        <w:instrText xml:space="preserve"> = 8 \* ROMAN \* MERGEFORMAT </w:instrText>
      </w:r>
      <w:r>
        <w:rPr>
          <w:rFonts w:hint="eastAsia"/>
          <w:sz w:val="24"/>
        </w:rPr>
        <w:fldChar w:fldCharType="separate"/>
      </w:r>
      <w:r>
        <w:rPr>
          <w:sz w:val="24"/>
        </w:rPr>
        <w:t>VIII</w:t>
      </w:r>
      <w:r>
        <w:rPr>
          <w:rFonts w:hint="eastAsia"/>
          <w:sz w:val="24"/>
        </w:rPr>
        <w:fldChar w:fldCharType="end"/>
      </w:r>
      <w:r>
        <w:rPr>
          <w:rFonts w:hint="eastAsia"/>
          <w:sz w:val="24"/>
        </w:rPr>
        <w:t>、变更管理制度；</w:t>
      </w:r>
      <w:r>
        <w:rPr>
          <w:rFonts w:hint="eastAsia"/>
          <w:sz w:val="24"/>
        </w:rPr>
        <w:br w:type="textWrapping"/>
      </w:r>
      <w:r>
        <w:rPr>
          <w:rFonts w:hint="eastAsia"/>
          <w:sz w:val="24"/>
        </w:rPr>
        <w:fldChar w:fldCharType="begin"/>
      </w:r>
      <w:r>
        <w:rPr>
          <w:rFonts w:hint="eastAsia"/>
          <w:sz w:val="24"/>
        </w:rPr>
        <w:instrText xml:space="preserve"> = 9 \* ROMAN \* MERGEFORMAT </w:instrText>
      </w:r>
      <w:r>
        <w:rPr>
          <w:rFonts w:hint="eastAsia"/>
          <w:sz w:val="24"/>
        </w:rPr>
        <w:fldChar w:fldCharType="separate"/>
      </w:r>
      <w:r>
        <w:rPr>
          <w:sz w:val="24"/>
        </w:rPr>
        <w:t>IX</w:t>
      </w:r>
      <w:r>
        <w:rPr>
          <w:rFonts w:hint="eastAsia"/>
          <w:sz w:val="24"/>
        </w:rPr>
        <w:fldChar w:fldCharType="end"/>
      </w:r>
      <w:r>
        <w:rPr>
          <w:rFonts w:hint="eastAsia"/>
          <w:sz w:val="24"/>
        </w:rPr>
        <w:t>、特殊作业许可管理制度，包括动火、进入受限空间、设备检维修、盲板抽堵、吊装、高处、动土、断路、临时用电等；</w:t>
      </w:r>
      <w:r>
        <w:rPr>
          <w:rFonts w:hint="eastAsia"/>
          <w:sz w:val="24"/>
        </w:rPr>
        <w:br w:type="textWrapping"/>
      </w:r>
      <w:r>
        <w:rPr>
          <w:rFonts w:hint="eastAsia"/>
          <w:sz w:val="24"/>
        </w:rPr>
        <w:fldChar w:fldCharType="begin"/>
      </w:r>
      <w:r>
        <w:rPr>
          <w:rFonts w:hint="eastAsia"/>
          <w:sz w:val="24"/>
        </w:rPr>
        <w:instrText xml:space="preserve"> = 10 \* ROMAN \* MERGEFORMAT </w:instrText>
      </w:r>
      <w:r>
        <w:rPr>
          <w:rFonts w:hint="eastAsia"/>
          <w:sz w:val="24"/>
        </w:rPr>
        <w:fldChar w:fldCharType="separate"/>
      </w:r>
      <w:r>
        <w:rPr>
          <w:sz w:val="24"/>
        </w:rPr>
        <w:t>X</w:t>
      </w:r>
      <w:r>
        <w:rPr>
          <w:rFonts w:hint="eastAsia"/>
          <w:sz w:val="24"/>
        </w:rPr>
        <w:fldChar w:fldCharType="end"/>
      </w:r>
      <w:r>
        <w:rPr>
          <w:rFonts w:hint="eastAsia"/>
          <w:sz w:val="24"/>
        </w:rPr>
        <w:t>、应急管理制度；</w:t>
      </w:r>
      <w:r>
        <w:rPr>
          <w:rFonts w:hint="eastAsia"/>
          <w:sz w:val="24"/>
        </w:rPr>
        <w:br w:type="textWrapping"/>
      </w:r>
      <w:r>
        <w:rPr>
          <w:rFonts w:hint="eastAsia"/>
          <w:sz w:val="24"/>
        </w:rPr>
        <w:fldChar w:fldCharType="begin"/>
      </w:r>
      <w:r>
        <w:rPr>
          <w:rFonts w:hint="eastAsia"/>
          <w:sz w:val="24"/>
        </w:rPr>
        <w:instrText xml:space="preserve"> = 11 \* ROMAN \* MERGEFORMAT </w:instrText>
      </w:r>
      <w:r>
        <w:rPr>
          <w:rFonts w:hint="eastAsia"/>
          <w:sz w:val="24"/>
        </w:rPr>
        <w:fldChar w:fldCharType="separate"/>
      </w:r>
      <w:r>
        <w:rPr>
          <w:sz w:val="24"/>
        </w:rPr>
        <w:t>XI</w:t>
      </w:r>
      <w:r>
        <w:rPr>
          <w:rFonts w:hint="eastAsia"/>
          <w:sz w:val="24"/>
        </w:rPr>
        <w:fldChar w:fldCharType="end"/>
      </w:r>
      <w:r>
        <w:rPr>
          <w:rFonts w:hint="eastAsia"/>
          <w:sz w:val="24"/>
        </w:rPr>
        <w:t>、开停车管理制度；</w:t>
      </w:r>
      <w:r>
        <w:rPr>
          <w:rFonts w:hint="eastAsia"/>
          <w:sz w:val="24"/>
        </w:rPr>
        <w:br w:type="textWrapping"/>
      </w:r>
      <w:r>
        <w:rPr>
          <w:rFonts w:hint="eastAsia"/>
          <w:sz w:val="24"/>
        </w:rPr>
        <w:fldChar w:fldCharType="begin"/>
      </w:r>
      <w:r>
        <w:rPr>
          <w:rFonts w:hint="eastAsia"/>
          <w:sz w:val="24"/>
        </w:rPr>
        <w:instrText xml:space="preserve"> = 12 \* ROMAN \* MERGEFORMAT </w:instrText>
      </w:r>
      <w:r>
        <w:rPr>
          <w:rFonts w:hint="eastAsia"/>
          <w:sz w:val="24"/>
        </w:rPr>
        <w:fldChar w:fldCharType="separate"/>
      </w:r>
      <w:r>
        <w:rPr>
          <w:sz w:val="24"/>
        </w:rPr>
        <w:t>XII</w:t>
      </w:r>
      <w:r>
        <w:rPr>
          <w:rFonts w:hint="eastAsia"/>
          <w:sz w:val="24"/>
        </w:rPr>
        <w:fldChar w:fldCharType="end"/>
      </w:r>
      <w:r>
        <w:rPr>
          <w:rFonts w:hint="eastAsia"/>
          <w:sz w:val="24"/>
        </w:rPr>
        <w:t>、建设项目安全设施“三同时”管理制度；</w:t>
      </w:r>
      <w:r>
        <w:rPr>
          <w:rFonts w:hint="eastAsia"/>
          <w:sz w:val="24"/>
        </w:rPr>
        <w:br w:type="textWrapping"/>
      </w:r>
      <w:r>
        <w:rPr>
          <w:rFonts w:hint="eastAsia"/>
          <w:sz w:val="24"/>
        </w:rPr>
        <w:fldChar w:fldCharType="begin"/>
      </w:r>
      <w:r>
        <w:rPr>
          <w:rFonts w:hint="eastAsia"/>
          <w:sz w:val="24"/>
        </w:rPr>
        <w:instrText xml:space="preserve"> = 13 \* ROMAN \* MERGEFORMAT </w:instrText>
      </w:r>
      <w:r>
        <w:rPr>
          <w:rFonts w:hint="eastAsia"/>
          <w:sz w:val="24"/>
        </w:rPr>
        <w:fldChar w:fldCharType="separate"/>
      </w:r>
      <w:r>
        <w:rPr>
          <w:sz w:val="24"/>
        </w:rPr>
        <w:t>XIII</w:t>
      </w:r>
      <w:r>
        <w:rPr>
          <w:rFonts w:hint="eastAsia"/>
          <w:sz w:val="24"/>
        </w:rPr>
        <w:fldChar w:fldCharType="end"/>
      </w:r>
      <w:r>
        <w:rPr>
          <w:rFonts w:hint="eastAsia"/>
          <w:sz w:val="24"/>
        </w:rPr>
        <w:t>、关键装置与重点部位管理制度；</w:t>
      </w:r>
      <w:r>
        <w:rPr>
          <w:rFonts w:hint="eastAsia"/>
          <w:sz w:val="24"/>
        </w:rPr>
        <w:br w:type="textWrapping"/>
      </w:r>
      <w:r>
        <w:rPr>
          <w:rFonts w:hint="eastAsia"/>
          <w:sz w:val="24"/>
        </w:rPr>
        <w:fldChar w:fldCharType="begin"/>
      </w:r>
      <w:r>
        <w:rPr>
          <w:rFonts w:hint="eastAsia"/>
          <w:sz w:val="24"/>
        </w:rPr>
        <w:instrText xml:space="preserve"> = 14 \* ROMAN \* MERGEFORMAT </w:instrText>
      </w:r>
      <w:r>
        <w:rPr>
          <w:rFonts w:hint="eastAsia"/>
          <w:sz w:val="24"/>
        </w:rPr>
        <w:fldChar w:fldCharType="separate"/>
      </w:r>
      <w:r>
        <w:rPr>
          <w:sz w:val="24"/>
        </w:rPr>
        <w:t>XIV</w:t>
      </w:r>
      <w:r>
        <w:rPr>
          <w:rFonts w:hint="eastAsia"/>
          <w:sz w:val="24"/>
        </w:rPr>
        <w:fldChar w:fldCharType="end"/>
      </w:r>
      <w:r>
        <w:rPr>
          <w:rFonts w:hint="eastAsia"/>
          <w:sz w:val="24"/>
        </w:rPr>
        <w:t>、危险化学品安全管理制度，包括剧毒化学品安全管理及危险化学品储存、使用、运输、装卸、包装等；</w:t>
      </w:r>
      <w:r>
        <w:rPr>
          <w:rFonts w:hint="eastAsia"/>
          <w:sz w:val="24"/>
        </w:rPr>
        <w:br w:type="textWrapping"/>
      </w:r>
      <w:r>
        <w:rPr>
          <w:rFonts w:hint="eastAsia"/>
          <w:sz w:val="24"/>
        </w:rPr>
        <w:fldChar w:fldCharType="begin"/>
      </w:r>
      <w:r>
        <w:rPr>
          <w:rFonts w:hint="eastAsia"/>
          <w:sz w:val="24"/>
        </w:rPr>
        <w:instrText xml:space="preserve"> = 15 \* ROMAN \* MERGEFORMAT </w:instrText>
      </w:r>
      <w:r>
        <w:rPr>
          <w:rFonts w:hint="eastAsia"/>
          <w:sz w:val="24"/>
        </w:rPr>
        <w:fldChar w:fldCharType="separate"/>
      </w:r>
      <w:r>
        <w:rPr>
          <w:sz w:val="24"/>
        </w:rPr>
        <w:t>XV</w:t>
      </w:r>
      <w:r>
        <w:rPr>
          <w:rFonts w:hint="eastAsia"/>
          <w:sz w:val="24"/>
        </w:rPr>
        <w:fldChar w:fldCharType="end"/>
      </w:r>
      <w:r>
        <w:rPr>
          <w:rFonts w:hint="eastAsia"/>
          <w:sz w:val="24"/>
        </w:rPr>
        <w:t>、承包商管理制度；</w:t>
      </w:r>
      <w:r>
        <w:rPr>
          <w:rFonts w:hint="eastAsia"/>
          <w:sz w:val="24"/>
        </w:rPr>
        <w:br w:type="textWrapping"/>
      </w:r>
      <w:r>
        <w:rPr>
          <w:rFonts w:hint="eastAsia"/>
          <w:sz w:val="24"/>
        </w:rPr>
        <w:fldChar w:fldCharType="begin"/>
      </w:r>
      <w:r>
        <w:rPr>
          <w:rFonts w:hint="eastAsia"/>
          <w:sz w:val="24"/>
        </w:rPr>
        <w:instrText xml:space="preserve"> = 16 \* ROMAN \* MERGEFORMAT </w:instrText>
      </w:r>
      <w:r>
        <w:rPr>
          <w:rFonts w:hint="eastAsia"/>
          <w:sz w:val="24"/>
        </w:rPr>
        <w:fldChar w:fldCharType="separate"/>
      </w:r>
      <w:r>
        <w:rPr>
          <w:sz w:val="24"/>
        </w:rPr>
        <w:t>XVI</w:t>
      </w:r>
      <w:r>
        <w:rPr>
          <w:rFonts w:hint="eastAsia"/>
          <w:sz w:val="24"/>
        </w:rPr>
        <w:fldChar w:fldCharType="end"/>
      </w:r>
      <w:r>
        <w:rPr>
          <w:rFonts w:hint="eastAsia"/>
          <w:sz w:val="24"/>
        </w:rPr>
        <w:t>、劳动防护用品使用维护管理制度；</w:t>
      </w:r>
      <w:r>
        <w:rPr>
          <w:rFonts w:hint="eastAsia"/>
          <w:sz w:val="24"/>
        </w:rPr>
        <w:br w:type="textWrapping"/>
      </w:r>
      <w:r>
        <w:rPr>
          <w:rFonts w:hint="eastAsia"/>
          <w:sz w:val="24"/>
        </w:rPr>
        <w:fldChar w:fldCharType="begin"/>
      </w:r>
      <w:r>
        <w:rPr>
          <w:rFonts w:hint="eastAsia"/>
          <w:sz w:val="24"/>
        </w:rPr>
        <w:instrText xml:space="preserve"> = 17 \* ROMAN \* MERGEFORMAT </w:instrText>
      </w:r>
      <w:r>
        <w:rPr>
          <w:rFonts w:hint="eastAsia"/>
          <w:sz w:val="24"/>
        </w:rPr>
        <w:fldChar w:fldCharType="separate"/>
      </w:r>
      <w:r>
        <w:rPr>
          <w:sz w:val="24"/>
        </w:rPr>
        <w:t>XVII</w:t>
      </w:r>
      <w:r>
        <w:rPr>
          <w:rFonts w:hint="eastAsia"/>
          <w:sz w:val="24"/>
        </w:rPr>
        <w:fldChar w:fldCharType="end"/>
      </w:r>
      <w:r>
        <w:rPr>
          <w:rFonts w:hint="eastAsia"/>
          <w:sz w:val="24"/>
        </w:rPr>
        <w:t>、识别和获取适用的法律、法规、规章、标准，定期修订安全管理制度及操作规程制度；</w:t>
      </w:r>
      <w:r>
        <w:rPr>
          <w:rFonts w:hint="eastAsia"/>
          <w:sz w:val="24"/>
        </w:rPr>
        <w:br w:type="textWrapping"/>
      </w:r>
      <w:r>
        <w:rPr>
          <w:rFonts w:hint="eastAsia"/>
          <w:sz w:val="24"/>
        </w:rPr>
        <w:fldChar w:fldCharType="begin"/>
      </w:r>
      <w:r>
        <w:rPr>
          <w:rFonts w:hint="eastAsia"/>
          <w:sz w:val="24"/>
        </w:rPr>
        <w:instrText xml:space="preserve"> = 18 \* ROMAN \* MERGEFORMAT </w:instrText>
      </w:r>
      <w:r>
        <w:rPr>
          <w:rFonts w:hint="eastAsia"/>
          <w:sz w:val="24"/>
        </w:rPr>
        <w:fldChar w:fldCharType="separate"/>
      </w:r>
      <w:r>
        <w:rPr>
          <w:sz w:val="24"/>
        </w:rPr>
        <w:t>XVIII</w:t>
      </w:r>
      <w:r>
        <w:rPr>
          <w:rFonts w:hint="eastAsia"/>
          <w:sz w:val="24"/>
        </w:rPr>
        <w:fldChar w:fldCharType="end"/>
      </w:r>
      <w:r>
        <w:rPr>
          <w:rFonts w:hint="eastAsia"/>
          <w:sz w:val="24"/>
        </w:rPr>
        <w:t>、特种作业人员管理制度；</w:t>
      </w:r>
      <w:r>
        <w:rPr>
          <w:rFonts w:hint="eastAsia"/>
          <w:sz w:val="24"/>
        </w:rPr>
        <w:br w:type="textWrapping"/>
      </w:r>
      <w:r>
        <w:rPr>
          <w:rFonts w:hint="eastAsia"/>
          <w:sz w:val="24"/>
        </w:rPr>
        <w:fldChar w:fldCharType="begin"/>
      </w:r>
      <w:r>
        <w:rPr>
          <w:rFonts w:hint="eastAsia"/>
          <w:sz w:val="24"/>
        </w:rPr>
        <w:instrText xml:space="preserve"> = 19 \* ROMAN \* MERGEFORMAT </w:instrText>
      </w:r>
      <w:r>
        <w:rPr>
          <w:rFonts w:hint="eastAsia"/>
          <w:sz w:val="24"/>
        </w:rPr>
        <w:fldChar w:fldCharType="separate"/>
      </w:r>
      <w:r>
        <w:rPr>
          <w:sz w:val="24"/>
        </w:rPr>
        <w:t>XIX</w:t>
      </w:r>
      <w:r>
        <w:rPr>
          <w:rFonts w:hint="eastAsia"/>
          <w:sz w:val="24"/>
        </w:rPr>
        <w:fldChar w:fldCharType="end"/>
      </w:r>
      <w:r>
        <w:rPr>
          <w:rFonts w:hint="eastAsia"/>
          <w:sz w:val="24"/>
        </w:rPr>
        <w:t>、单位负责人值班带班制度；</w:t>
      </w:r>
      <w:r>
        <w:rPr>
          <w:rFonts w:hint="eastAsia"/>
          <w:sz w:val="24"/>
        </w:rPr>
        <w:br w:type="textWrapping"/>
      </w:r>
      <w:r>
        <w:rPr>
          <w:rFonts w:hint="eastAsia"/>
          <w:sz w:val="24"/>
        </w:rPr>
        <w:fldChar w:fldCharType="begin"/>
      </w:r>
      <w:r>
        <w:rPr>
          <w:rFonts w:hint="eastAsia"/>
          <w:sz w:val="24"/>
        </w:rPr>
        <w:instrText xml:space="preserve"> = 20 \* ROMAN \* MERGEFORMAT </w:instrText>
      </w:r>
      <w:r>
        <w:rPr>
          <w:rFonts w:hint="eastAsia"/>
          <w:sz w:val="24"/>
        </w:rPr>
        <w:fldChar w:fldCharType="separate"/>
      </w:r>
      <w:r>
        <w:rPr>
          <w:sz w:val="24"/>
        </w:rPr>
        <w:t>XX</w:t>
      </w:r>
      <w:r>
        <w:rPr>
          <w:rFonts w:hint="eastAsia"/>
          <w:sz w:val="24"/>
        </w:rPr>
        <w:fldChar w:fldCharType="end"/>
      </w:r>
      <w:r>
        <w:rPr>
          <w:rFonts w:hint="eastAsia"/>
          <w:sz w:val="24"/>
        </w:rPr>
        <w:t>、生产安全事故或者重大事件管理制度。</w:t>
      </w:r>
      <w:r>
        <w:rPr>
          <w:rFonts w:hint="eastAsia"/>
          <w:sz w:val="28"/>
          <w:szCs w:val="28"/>
        </w:rPr>
        <w:br w:type="textWrapping"/>
      </w:r>
      <w:r>
        <w:rPr>
          <w:rFonts w:hint="eastAsia"/>
          <w:sz w:val="28"/>
          <w:szCs w:val="28"/>
        </w:rPr>
        <w:t xml:space="preserve">    </w:t>
      </w:r>
      <w:r>
        <w:rPr>
          <w:rFonts w:hint="eastAsia"/>
          <w:sz w:val="24"/>
        </w:rPr>
        <w:t>企业应结合本企业安全生产实际和特点，制定、完善安全生产信息管理制度；安全生产奖惩制度；防火、防爆、防中毒、防泄漏管理制度；工艺、设备、电气仪表、公用工程安全管理制度；设备设施检维修管理制度；职业卫生相关管理制度；文件、档案管理制度；生产设施拆除和报废管理制度；供应商管理制度等安全生产规章制度。</w:t>
      </w:r>
    </w:p>
    <w:p w14:paraId="12C6182B">
      <w:pPr>
        <w:pStyle w:val="9"/>
        <w:overflowPunct w:val="0"/>
        <w:spacing w:before="0" w:beforeAutospacing="0" w:after="0" w:afterAutospacing="0" w:line="360" w:lineRule="auto"/>
        <w:ind w:firstLine="480" w:firstLineChars="200"/>
        <w:rPr>
          <w:rFonts w:asciiTheme="minorHAnsi" w:hAnsiTheme="minorHAnsi"/>
          <w:kern w:val="2"/>
          <w:szCs w:val="22"/>
        </w:rPr>
      </w:pPr>
      <w:r>
        <w:rPr>
          <w:rFonts w:asciiTheme="minorHAnsi" w:hAnsiTheme="minorHAnsi"/>
          <w:kern w:val="2"/>
          <w:szCs w:val="22"/>
        </w:rPr>
        <w:fldChar w:fldCharType="begin"/>
      </w:r>
      <w:r>
        <w:rPr>
          <w:rFonts w:asciiTheme="minorHAnsi" w:hAnsiTheme="minorHAnsi"/>
          <w:kern w:val="2"/>
          <w:szCs w:val="22"/>
        </w:rPr>
        <w:instrText xml:space="preserve"> = 1 \* GB3 \* MERGEFORMAT </w:instrText>
      </w:r>
      <w:r>
        <w:rPr>
          <w:rFonts w:asciiTheme="minorHAnsi" w:hAnsiTheme="minorHAnsi"/>
          <w:kern w:val="2"/>
          <w:szCs w:val="22"/>
        </w:rPr>
        <w:fldChar w:fldCharType="separate"/>
      </w:r>
      <w:r>
        <w:rPr>
          <w:rFonts w:asciiTheme="minorHAnsi" w:hAnsiTheme="minorHAnsi"/>
          <w:kern w:val="2"/>
          <w:szCs w:val="22"/>
        </w:rPr>
        <w:t>①</w:t>
      </w:r>
      <w:r>
        <w:rPr>
          <w:rFonts w:asciiTheme="minorHAnsi" w:hAnsiTheme="minorHAnsi"/>
          <w:kern w:val="2"/>
          <w:szCs w:val="22"/>
        </w:rPr>
        <w:fldChar w:fldCharType="end"/>
      </w:r>
      <w:r>
        <w:rPr>
          <w:rFonts w:asciiTheme="minorHAnsi" w:hAnsiTheme="minorHAnsi"/>
          <w:kern w:val="2"/>
          <w:szCs w:val="22"/>
        </w:rPr>
        <w:t>事故应急措施</w:t>
      </w:r>
    </w:p>
    <w:p w14:paraId="24DA9CE4">
      <w:pPr>
        <w:spacing w:line="360" w:lineRule="auto"/>
        <w:ind w:firstLine="480" w:firstLineChars="200"/>
        <w:rPr>
          <w:sz w:val="24"/>
        </w:rPr>
      </w:pPr>
      <w:r>
        <w:rPr>
          <w:rFonts w:hint="eastAsia"/>
          <w:sz w:val="24"/>
        </w:rPr>
        <w:t>在项目设计过程中，试运行之前，建设单位应当与当地公安、消防、安全、卫生管理、医疗机构密切配合，结合设计文件、安全预评价报告和《生产经营单位安全生产事故应急预案编制导则》（GB/T29639-2013）、《危险化学品事故应急救援预案编制导则（单位版）》的规定等制定危险化学品事故应急救援预案，并报当地公安、消防、安全、卫生、环保等部门审查批准、备案。适当时候应组织预案的演练，以检验危险化学品事故应急救援预案的可操作性及可行性。</w:t>
      </w:r>
    </w:p>
    <w:p w14:paraId="0584E340">
      <w:pPr>
        <w:spacing w:line="360" w:lineRule="auto"/>
        <w:ind w:firstLine="480" w:firstLineChars="200"/>
        <w:rPr>
          <w:sz w:val="24"/>
        </w:rPr>
      </w:pPr>
      <w:r>
        <w:rPr>
          <w:rFonts w:hint="eastAsia"/>
          <w:sz w:val="24"/>
        </w:rPr>
        <w:t>不同的事故应急处理方法不同，其应急救援预案也不一样。本专篇提出了危险化学品事故应急救援预案的框架，供建设单位参考。</w:t>
      </w:r>
    </w:p>
    <w:p w14:paraId="0595474E">
      <w:pPr>
        <w:spacing w:line="360" w:lineRule="auto"/>
        <w:ind w:firstLine="480" w:firstLineChars="200"/>
        <w:rPr>
          <w:sz w:val="24"/>
        </w:rPr>
      </w:pPr>
      <w:r>
        <w:rPr>
          <w:rFonts w:hint="eastAsia"/>
          <w:sz w:val="24"/>
        </w:rPr>
        <w:t>a．企业基本情况</w:t>
      </w:r>
    </w:p>
    <w:p w14:paraId="2AE331EE">
      <w:pPr>
        <w:spacing w:line="360" w:lineRule="auto"/>
        <w:ind w:firstLine="480" w:firstLineChars="200"/>
        <w:rPr>
          <w:sz w:val="24"/>
        </w:rPr>
      </w:pPr>
      <w:r>
        <w:rPr>
          <w:sz w:val="24"/>
        </w:rPr>
        <w:t>主要包括单位的地址、经济性质、从业人数、隶属关系、</w:t>
      </w:r>
      <w:r>
        <w:rPr>
          <w:rFonts w:hint="eastAsia"/>
          <w:sz w:val="24"/>
        </w:rPr>
        <w:t>经营品质</w:t>
      </w:r>
      <w:r>
        <w:rPr>
          <w:sz w:val="24"/>
        </w:rPr>
        <w:t>、</w:t>
      </w:r>
      <w:r>
        <w:rPr>
          <w:rFonts w:hint="eastAsia"/>
          <w:sz w:val="24"/>
        </w:rPr>
        <w:t>储量</w:t>
      </w:r>
      <w:r>
        <w:rPr>
          <w:sz w:val="24"/>
        </w:rPr>
        <w:t>等内容，周边区域的单位、社区、重要基础设施、道路等情况。</w:t>
      </w:r>
    </w:p>
    <w:p w14:paraId="29E937CB">
      <w:pPr>
        <w:spacing w:line="360" w:lineRule="auto"/>
        <w:ind w:firstLine="480" w:firstLineChars="200"/>
        <w:rPr>
          <w:sz w:val="24"/>
        </w:rPr>
      </w:pPr>
      <w:r>
        <w:rPr>
          <w:rFonts w:hint="eastAsia"/>
          <w:sz w:val="24"/>
        </w:rPr>
        <w:t>b．危险目标的数量及分布</w:t>
      </w:r>
    </w:p>
    <w:p w14:paraId="6F0F0A55">
      <w:pPr>
        <w:spacing w:line="360" w:lineRule="auto"/>
        <w:ind w:firstLine="480" w:firstLineChars="200"/>
        <w:rPr>
          <w:sz w:val="24"/>
        </w:rPr>
      </w:pPr>
      <w:r>
        <w:rPr>
          <w:sz w:val="24"/>
        </w:rPr>
        <w:t>危险目标的确定</w:t>
      </w:r>
      <w:r>
        <w:rPr>
          <w:rFonts w:hint="eastAsia"/>
          <w:sz w:val="24"/>
        </w:rPr>
        <w:t>；</w:t>
      </w:r>
    </w:p>
    <w:p w14:paraId="21C11261">
      <w:pPr>
        <w:spacing w:line="360" w:lineRule="auto"/>
        <w:ind w:firstLine="480" w:firstLineChars="200"/>
        <w:rPr>
          <w:sz w:val="24"/>
        </w:rPr>
      </w:pPr>
      <w:r>
        <w:rPr>
          <w:sz w:val="24"/>
        </w:rPr>
        <w:t>明确其危险特性及对周边的影响</w:t>
      </w:r>
      <w:r>
        <w:rPr>
          <w:rFonts w:hint="eastAsia"/>
          <w:sz w:val="24"/>
        </w:rPr>
        <w:t>；</w:t>
      </w:r>
    </w:p>
    <w:p w14:paraId="237EB265">
      <w:pPr>
        <w:spacing w:line="360" w:lineRule="auto"/>
        <w:ind w:firstLine="480" w:firstLineChars="200"/>
        <w:rPr>
          <w:sz w:val="24"/>
        </w:rPr>
      </w:pPr>
      <w:r>
        <w:rPr>
          <w:sz w:val="24"/>
        </w:rPr>
        <w:t>危险目标周围可利用的安全、消防、个体防护的设备、器材及其分布</w:t>
      </w:r>
      <w:r>
        <w:rPr>
          <w:rFonts w:hint="eastAsia"/>
          <w:sz w:val="24"/>
        </w:rPr>
        <w:t>。</w:t>
      </w:r>
    </w:p>
    <w:p w14:paraId="5E13649B">
      <w:pPr>
        <w:spacing w:line="360" w:lineRule="auto"/>
        <w:ind w:firstLine="480" w:firstLineChars="200"/>
        <w:rPr>
          <w:sz w:val="24"/>
        </w:rPr>
      </w:pPr>
      <w:r>
        <w:rPr>
          <w:rFonts w:hint="eastAsia"/>
          <w:sz w:val="24"/>
        </w:rPr>
        <w:t>c．指挥机构的设置和职责</w:t>
      </w:r>
    </w:p>
    <w:p w14:paraId="729590D6">
      <w:pPr>
        <w:spacing w:line="360" w:lineRule="auto"/>
        <w:ind w:firstLine="480" w:firstLineChars="200"/>
        <w:rPr>
          <w:sz w:val="24"/>
        </w:rPr>
      </w:pPr>
      <w:r>
        <w:rPr>
          <w:rFonts w:hint="eastAsia"/>
          <w:sz w:val="24"/>
        </w:rPr>
        <w:t>指挥人员名单、职责、临时替代人；</w:t>
      </w:r>
    </w:p>
    <w:p w14:paraId="1581449A">
      <w:pPr>
        <w:spacing w:line="360" w:lineRule="auto"/>
        <w:ind w:firstLine="480" w:firstLineChars="200"/>
        <w:rPr>
          <w:sz w:val="24"/>
        </w:rPr>
      </w:pPr>
      <w:r>
        <w:rPr>
          <w:sz w:val="24"/>
        </w:rPr>
        <w:t>组成人员</w:t>
      </w:r>
      <w:r>
        <w:rPr>
          <w:rFonts w:hint="eastAsia"/>
          <w:sz w:val="24"/>
        </w:rPr>
        <w:t>、</w:t>
      </w:r>
      <w:r>
        <w:rPr>
          <w:sz w:val="24"/>
        </w:rPr>
        <w:t>现场指挥人</w:t>
      </w:r>
      <w:r>
        <w:rPr>
          <w:rFonts w:hint="eastAsia"/>
          <w:sz w:val="24"/>
        </w:rPr>
        <w:t>及常规值班表；</w:t>
      </w:r>
    </w:p>
    <w:p w14:paraId="1395AD2F">
      <w:pPr>
        <w:spacing w:line="360" w:lineRule="auto"/>
        <w:ind w:firstLine="480" w:firstLineChars="200"/>
        <w:rPr>
          <w:sz w:val="24"/>
        </w:rPr>
      </w:pPr>
      <w:r>
        <w:rPr>
          <w:sz w:val="24"/>
        </w:rPr>
        <w:t>主要职责</w:t>
      </w:r>
      <w:r>
        <w:rPr>
          <w:rFonts w:hint="eastAsia"/>
          <w:sz w:val="24"/>
        </w:rPr>
        <w:t>。</w:t>
      </w:r>
    </w:p>
    <w:p w14:paraId="0CF8C719">
      <w:pPr>
        <w:spacing w:line="360" w:lineRule="auto"/>
        <w:ind w:firstLine="480" w:firstLineChars="200"/>
        <w:rPr>
          <w:sz w:val="24"/>
        </w:rPr>
      </w:pPr>
      <w:r>
        <w:rPr>
          <w:rFonts w:hint="eastAsia"/>
          <w:sz w:val="24"/>
        </w:rPr>
        <w:t>d．应急装备、报警、通讯网络及联系方式</w:t>
      </w:r>
    </w:p>
    <w:p w14:paraId="3BD6719C">
      <w:pPr>
        <w:spacing w:line="360" w:lineRule="auto"/>
        <w:ind w:firstLine="480" w:firstLineChars="200"/>
        <w:rPr>
          <w:sz w:val="24"/>
        </w:rPr>
      </w:pPr>
      <w:r>
        <w:rPr>
          <w:rFonts w:hint="eastAsia"/>
          <w:sz w:val="24"/>
        </w:rPr>
        <w:t>应急装备及医疗急救器材、数量、放置地点、负责人；</w:t>
      </w:r>
    </w:p>
    <w:p w14:paraId="26890E4B">
      <w:pPr>
        <w:spacing w:line="360" w:lineRule="auto"/>
        <w:ind w:firstLine="480" w:firstLineChars="200"/>
        <w:rPr>
          <w:sz w:val="24"/>
        </w:rPr>
      </w:pPr>
      <w:r>
        <w:rPr>
          <w:rFonts w:hint="eastAsia"/>
          <w:sz w:val="24"/>
        </w:rPr>
        <w:t>应急指挥人员、应急反应人员的通讯联络方法；</w:t>
      </w:r>
    </w:p>
    <w:p w14:paraId="44430C7D">
      <w:pPr>
        <w:spacing w:line="360" w:lineRule="auto"/>
        <w:ind w:firstLine="480" w:firstLineChars="200"/>
        <w:rPr>
          <w:sz w:val="24"/>
        </w:rPr>
      </w:pPr>
      <w:r>
        <w:rPr>
          <w:rFonts w:hint="eastAsia"/>
          <w:sz w:val="24"/>
        </w:rPr>
        <w:t>远距离联络手段；</w:t>
      </w:r>
    </w:p>
    <w:p w14:paraId="7628EFEB">
      <w:pPr>
        <w:spacing w:line="360" w:lineRule="auto"/>
        <w:ind w:firstLine="480" w:firstLineChars="200"/>
        <w:rPr>
          <w:sz w:val="24"/>
        </w:rPr>
      </w:pPr>
      <w:r>
        <w:rPr>
          <w:rFonts w:hint="eastAsia"/>
          <w:sz w:val="24"/>
        </w:rPr>
        <w:t>异常情况下（停电、雷电暴风雨、休息日）的通讯方式。</w:t>
      </w:r>
    </w:p>
    <w:p w14:paraId="0CF11532">
      <w:pPr>
        <w:spacing w:line="360" w:lineRule="auto"/>
        <w:ind w:firstLine="480" w:firstLineChars="200"/>
        <w:rPr>
          <w:sz w:val="24"/>
        </w:rPr>
      </w:pPr>
      <w:r>
        <w:rPr>
          <w:rFonts w:hint="eastAsia"/>
          <w:sz w:val="24"/>
        </w:rPr>
        <w:t>e．应急救援队伍的任务和训练</w:t>
      </w:r>
    </w:p>
    <w:p w14:paraId="0DF5F087">
      <w:pPr>
        <w:spacing w:line="360" w:lineRule="auto"/>
        <w:ind w:firstLine="480" w:firstLineChars="200"/>
        <w:rPr>
          <w:sz w:val="24"/>
        </w:rPr>
      </w:pPr>
      <w:r>
        <w:rPr>
          <w:rFonts w:hint="eastAsia"/>
          <w:sz w:val="24"/>
        </w:rPr>
        <w:t>应急抢救队、急救队、后援保障队的任务；</w:t>
      </w:r>
    </w:p>
    <w:p w14:paraId="7EA4A429">
      <w:pPr>
        <w:spacing w:line="360" w:lineRule="auto"/>
        <w:ind w:firstLine="480" w:firstLineChars="200"/>
        <w:rPr>
          <w:sz w:val="24"/>
        </w:rPr>
      </w:pPr>
      <w:r>
        <w:rPr>
          <w:rFonts w:hint="eastAsia"/>
          <w:sz w:val="24"/>
        </w:rPr>
        <w:t>应急队伍的培训和演习。</w:t>
      </w:r>
    </w:p>
    <w:p w14:paraId="081A3682">
      <w:pPr>
        <w:spacing w:line="360" w:lineRule="auto"/>
        <w:ind w:firstLine="480" w:firstLineChars="200"/>
        <w:rPr>
          <w:sz w:val="24"/>
        </w:rPr>
      </w:pPr>
      <w:r>
        <w:rPr>
          <w:rFonts w:hint="eastAsia"/>
          <w:sz w:val="24"/>
        </w:rPr>
        <w:t>f．预防事故的措施</w:t>
      </w:r>
    </w:p>
    <w:p w14:paraId="55FD299F">
      <w:pPr>
        <w:spacing w:line="360" w:lineRule="auto"/>
        <w:ind w:firstLine="480" w:firstLineChars="200"/>
        <w:rPr>
          <w:sz w:val="24"/>
        </w:rPr>
      </w:pPr>
      <w:r>
        <w:rPr>
          <w:rFonts w:hint="eastAsia"/>
          <w:sz w:val="24"/>
        </w:rPr>
        <w:t>g．事故的处置</w:t>
      </w:r>
    </w:p>
    <w:p w14:paraId="6D6397F3">
      <w:pPr>
        <w:spacing w:line="360" w:lineRule="auto"/>
        <w:ind w:firstLine="480" w:firstLineChars="200"/>
        <w:rPr>
          <w:sz w:val="24"/>
        </w:rPr>
      </w:pPr>
      <w:r>
        <w:rPr>
          <w:rFonts w:hint="eastAsia"/>
          <w:sz w:val="24"/>
        </w:rPr>
        <w:t>事故报告制度及程序；</w:t>
      </w:r>
    </w:p>
    <w:p w14:paraId="0F43B43C">
      <w:pPr>
        <w:spacing w:line="360" w:lineRule="auto"/>
        <w:ind w:firstLine="480" w:firstLineChars="200"/>
        <w:rPr>
          <w:sz w:val="24"/>
        </w:rPr>
      </w:pPr>
      <w:r>
        <w:rPr>
          <w:rFonts w:hint="eastAsia"/>
          <w:sz w:val="24"/>
        </w:rPr>
        <w:t>事故处置程序。</w:t>
      </w:r>
    </w:p>
    <w:p w14:paraId="55E34F8D">
      <w:pPr>
        <w:spacing w:line="360" w:lineRule="auto"/>
        <w:ind w:firstLine="480" w:firstLineChars="200"/>
        <w:rPr>
          <w:sz w:val="24"/>
        </w:rPr>
      </w:pPr>
      <w:r>
        <w:rPr>
          <w:rFonts w:hint="eastAsia"/>
          <w:sz w:val="24"/>
        </w:rPr>
        <w:t>h．工程抢险抢修</w:t>
      </w:r>
    </w:p>
    <w:p w14:paraId="5E984BAA">
      <w:pPr>
        <w:spacing w:line="360" w:lineRule="auto"/>
        <w:ind w:firstLine="480" w:firstLineChars="200"/>
        <w:rPr>
          <w:sz w:val="24"/>
        </w:rPr>
      </w:pPr>
      <w:r>
        <w:rPr>
          <w:rFonts w:hint="eastAsia"/>
          <w:sz w:val="24"/>
        </w:rPr>
        <w:t>工程抢险方法、手段、工具、器材及防护用品。</w:t>
      </w:r>
    </w:p>
    <w:p w14:paraId="7333F262">
      <w:pPr>
        <w:spacing w:line="360" w:lineRule="auto"/>
        <w:ind w:firstLine="480" w:firstLineChars="200"/>
        <w:rPr>
          <w:sz w:val="24"/>
        </w:rPr>
      </w:pPr>
      <w:r>
        <w:rPr>
          <w:rFonts w:hint="eastAsia"/>
          <w:sz w:val="24"/>
        </w:rPr>
        <w:t>i．现场医疗救护</w:t>
      </w:r>
    </w:p>
    <w:p w14:paraId="0472B5C9">
      <w:pPr>
        <w:spacing w:line="360" w:lineRule="auto"/>
        <w:ind w:firstLine="480" w:firstLineChars="200"/>
        <w:rPr>
          <w:sz w:val="24"/>
        </w:rPr>
      </w:pPr>
      <w:r>
        <w:rPr>
          <w:rFonts w:hint="eastAsia"/>
          <w:sz w:val="24"/>
        </w:rPr>
        <w:t>急救程序；</w:t>
      </w:r>
    </w:p>
    <w:p w14:paraId="73793CC5">
      <w:pPr>
        <w:spacing w:line="360" w:lineRule="auto"/>
        <w:ind w:firstLine="480" w:firstLineChars="200"/>
        <w:rPr>
          <w:sz w:val="24"/>
        </w:rPr>
      </w:pPr>
      <w:r>
        <w:rPr>
          <w:rFonts w:hint="eastAsia"/>
          <w:sz w:val="24"/>
        </w:rPr>
        <w:t>伤员的转送；</w:t>
      </w:r>
    </w:p>
    <w:p w14:paraId="32AB2863">
      <w:pPr>
        <w:spacing w:line="360" w:lineRule="auto"/>
        <w:ind w:firstLine="480" w:firstLineChars="200"/>
        <w:rPr>
          <w:sz w:val="24"/>
        </w:rPr>
      </w:pPr>
      <w:r>
        <w:rPr>
          <w:rFonts w:hint="eastAsia"/>
          <w:sz w:val="24"/>
        </w:rPr>
        <w:t>合作医院；</w:t>
      </w:r>
    </w:p>
    <w:p w14:paraId="757DADEF">
      <w:pPr>
        <w:spacing w:line="360" w:lineRule="auto"/>
        <w:ind w:firstLine="480" w:firstLineChars="200"/>
        <w:rPr>
          <w:sz w:val="24"/>
        </w:rPr>
      </w:pPr>
      <w:r>
        <w:rPr>
          <w:rFonts w:hint="eastAsia"/>
          <w:sz w:val="24"/>
        </w:rPr>
        <w:t>现场临时急救点的选择和标志。</w:t>
      </w:r>
    </w:p>
    <w:p w14:paraId="3A18CAC2">
      <w:pPr>
        <w:spacing w:line="360" w:lineRule="auto"/>
        <w:ind w:firstLine="480" w:firstLineChars="200"/>
        <w:rPr>
          <w:sz w:val="24"/>
        </w:rPr>
      </w:pPr>
      <w:r>
        <w:rPr>
          <w:rFonts w:hint="eastAsia"/>
          <w:sz w:val="24"/>
        </w:rPr>
        <w:t>j．紧急安全疏散</w:t>
      </w:r>
    </w:p>
    <w:p w14:paraId="47A30BE0">
      <w:pPr>
        <w:spacing w:line="360" w:lineRule="auto"/>
        <w:ind w:firstLine="480" w:firstLineChars="200"/>
        <w:rPr>
          <w:sz w:val="24"/>
        </w:rPr>
      </w:pPr>
      <w:r>
        <w:rPr>
          <w:sz w:val="24"/>
        </w:rPr>
        <w:t>事故现场人员清点，撤离的方式、方法；</w:t>
      </w:r>
    </w:p>
    <w:p w14:paraId="2B8998AD">
      <w:pPr>
        <w:spacing w:line="360" w:lineRule="auto"/>
        <w:ind w:firstLine="480" w:firstLineChars="200"/>
        <w:rPr>
          <w:sz w:val="24"/>
        </w:rPr>
      </w:pPr>
      <w:r>
        <w:rPr>
          <w:sz w:val="24"/>
        </w:rPr>
        <w:t>非事故现场人员紧急疏散的方式、方法；</w:t>
      </w:r>
    </w:p>
    <w:p w14:paraId="38294E9B">
      <w:pPr>
        <w:spacing w:line="360" w:lineRule="auto"/>
        <w:ind w:firstLine="480" w:firstLineChars="200"/>
        <w:rPr>
          <w:sz w:val="24"/>
        </w:rPr>
      </w:pPr>
      <w:r>
        <w:rPr>
          <w:sz w:val="24"/>
        </w:rPr>
        <w:t xml:space="preserve">抢救人员在撤离前、撤离后的报告； </w:t>
      </w:r>
    </w:p>
    <w:p w14:paraId="175D1349">
      <w:pPr>
        <w:spacing w:line="360" w:lineRule="auto"/>
        <w:ind w:firstLine="480" w:firstLineChars="200"/>
        <w:rPr>
          <w:sz w:val="24"/>
        </w:rPr>
      </w:pPr>
      <w:r>
        <w:rPr>
          <w:sz w:val="24"/>
        </w:rPr>
        <w:t>周边区域的单位、社区人员疏散的方式、方法。</w:t>
      </w:r>
    </w:p>
    <w:p w14:paraId="279F61BC">
      <w:pPr>
        <w:spacing w:line="360" w:lineRule="auto"/>
        <w:ind w:firstLine="480" w:firstLineChars="200"/>
        <w:rPr>
          <w:sz w:val="24"/>
        </w:rPr>
      </w:pPr>
      <w:r>
        <w:rPr>
          <w:rFonts w:hint="eastAsia"/>
          <w:sz w:val="24"/>
        </w:rPr>
        <w:t>l．</w:t>
      </w:r>
      <w:r>
        <w:rPr>
          <w:sz w:val="24"/>
        </w:rPr>
        <w:t>危险区的隔离</w:t>
      </w:r>
    </w:p>
    <w:p w14:paraId="3FCE0FC4">
      <w:pPr>
        <w:spacing w:line="360" w:lineRule="auto"/>
        <w:ind w:firstLine="480" w:firstLineChars="200"/>
        <w:rPr>
          <w:sz w:val="24"/>
        </w:rPr>
      </w:pPr>
      <w:r>
        <w:rPr>
          <w:sz w:val="24"/>
        </w:rPr>
        <w:t>危险</w:t>
      </w:r>
      <w:r>
        <w:rPr>
          <w:rFonts w:hint="eastAsia"/>
          <w:sz w:val="24"/>
        </w:rPr>
        <w:t>区域</w:t>
      </w:r>
      <w:r>
        <w:rPr>
          <w:sz w:val="24"/>
        </w:rPr>
        <w:t>的设定；事故现场隔离区的划定方式、方法；事故现场隔离方法</w:t>
      </w:r>
      <w:r>
        <w:rPr>
          <w:rFonts w:hint="eastAsia"/>
          <w:sz w:val="24"/>
        </w:rPr>
        <w:t>；</w:t>
      </w:r>
      <w:r>
        <w:rPr>
          <w:sz w:val="24"/>
        </w:rPr>
        <w:t>事故现场周边区域的道路隔离或交通疏导办法。</w:t>
      </w:r>
    </w:p>
    <w:p w14:paraId="7F99A39D">
      <w:pPr>
        <w:spacing w:line="360" w:lineRule="auto"/>
        <w:ind w:firstLine="480" w:firstLineChars="200"/>
        <w:rPr>
          <w:sz w:val="24"/>
        </w:rPr>
      </w:pPr>
      <w:r>
        <w:rPr>
          <w:rFonts w:hint="eastAsia"/>
          <w:sz w:val="24"/>
        </w:rPr>
        <w:t>m．社会支援</w:t>
      </w:r>
    </w:p>
    <w:p w14:paraId="7CF85BD8">
      <w:pPr>
        <w:spacing w:line="360" w:lineRule="auto"/>
        <w:ind w:firstLine="480" w:firstLineChars="200"/>
        <w:rPr>
          <w:sz w:val="24"/>
        </w:rPr>
      </w:pPr>
      <w:r>
        <w:rPr>
          <w:rFonts w:hint="eastAsia"/>
          <w:sz w:val="24"/>
        </w:rPr>
        <w:t>n．新闻发布</w:t>
      </w:r>
    </w:p>
    <w:p w14:paraId="7F636460">
      <w:pPr>
        <w:spacing w:line="360" w:lineRule="auto"/>
        <w:ind w:firstLine="480" w:firstLineChars="200"/>
        <w:rPr>
          <w:sz w:val="24"/>
        </w:rPr>
      </w:pPr>
      <w:r>
        <w:rPr>
          <w:rFonts w:hint="eastAsia"/>
          <w:sz w:val="24"/>
        </w:rPr>
        <w:t>o．附件</w:t>
      </w:r>
    </w:p>
    <w:p w14:paraId="2F6ED761">
      <w:pPr>
        <w:spacing w:line="360" w:lineRule="auto"/>
        <w:ind w:firstLine="480" w:firstLineChars="200"/>
        <w:rPr>
          <w:sz w:val="24"/>
        </w:rPr>
      </w:pPr>
      <w:r>
        <w:rPr>
          <w:sz w:val="24"/>
        </w:rPr>
        <w:t xml:space="preserve">组织机构名单； </w:t>
      </w:r>
    </w:p>
    <w:p w14:paraId="3CBA5DAC">
      <w:pPr>
        <w:spacing w:line="360" w:lineRule="auto"/>
        <w:ind w:firstLine="480" w:firstLineChars="200"/>
        <w:rPr>
          <w:sz w:val="24"/>
        </w:rPr>
      </w:pPr>
      <w:r>
        <w:rPr>
          <w:sz w:val="24"/>
        </w:rPr>
        <w:t xml:space="preserve">值班联系电话； </w:t>
      </w:r>
    </w:p>
    <w:p w14:paraId="2058764B">
      <w:pPr>
        <w:spacing w:line="360" w:lineRule="auto"/>
        <w:ind w:firstLine="480" w:firstLineChars="200"/>
        <w:rPr>
          <w:sz w:val="24"/>
        </w:rPr>
      </w:pPr>
      <w:r>
        <w:rPr>
          <w:sz w:val="24"/>
        </w:rPr>
        <w:t xml:space="preserve">组织应急救援有关人员联系电话； </w:t>
      </w:r>
    </w:p>
    <w:p w14:paraId="23602A81">
      <w:pPr>
        <w:spacing w:line="360" w:lineRule="auto"/>
        <w:ind w:firstLine="480" w:firstLineChars="200"/>
        <w:rPr>
          <w:sz w:val="24"/>
        </w:rPr>
      </w:pPr>
      <w:r>
        <w:rPr>
          <w:sz w:val="24"/>
        </w:rPr>
        <w:t xml:space="preserve">应急咨询服务电话； </w:t>
      </w:r>
    </w:p>
    <w:p w14:paraId="7EADED53">
      <w:pPr>
        <w:spacing w:line="360" w:lineRule="auto"/>
        <w:ind w:firstLine="480" w:firstLineChars="200"/>
        <w:rPr>
          <w:sz w:val="24"/>
        </w:rPr>
      </w:pPr>
      <w:r>
        <w:rPr>
          <w:sz w:val="24"/>
        </w:rPr>
        <w:t xml:space="preserve">外部救援单位联系电话； </w:t>
      </w:r>
    </w:p>
    <w:p w14:paraId="44DB90F3">
      <w:pPr>
        <w:spacing w:line="360" w:lineRule="auto"/>
        <w:ind w:firstLine="480" w:firstLineChars="200"/>
        <w:rPr>
          <w:sz w:val="24"/>
        </w:rPr>
      </w:pPr>
      <w:r>
        <w:rPr>
          <w:sz w:val="24"/>
        </w:rPr>
        <w:t>政府有关部门联系电话</w:t>
      </w:r>
      <w:r>
        <w:rPr>
          <w:rFonts w:hint="eastAsia"/>
          <w:sz w:val="24"/>
        </w:rPr>
        <w:t>；</w:t>
      </w:r>
    </w:p>
    <w:p w14:paraId="6E9CE886">
      <w:pPr>
        <w:spacing w:line="360" w:lineRule="auto"/>
        <w:ind w:firstLine="480" w:firstLineChars="200"/>
        <w:rPr>
          <w:sz w:val="24"/>
        </w:rPr>
      </w:pPr>
      <w:r>
        <w:rPr>
          <w:rFonts w:hint="eastAsia"/>
          <w:sz w:val="24"/>
        </w:rPr>
        <w:t>危险物质特性数据表；</w:t>
      </w:r>
    </w:p>
    <w:p w14:paraId="2BBCE183">
      <w:pPr>
        <w:spacing w:line="360" w:lineRule="auto"/>
        <w:ind w:firstLine="480" w:firstLineChars="200"/>
        <w:rPr>
          <w:sz w:val="24"/>
        </w:rPr>
      </w:pPr>
      <w:r>
        <w:rPr>
          <w:rFonts w:hint="eastAsia"/>
          <w:sz w:val="24"/>
        </w:rPr>
        <w:t>平面布置图；</w:t>
      </w:r>
    </w:p>
    <w:p w14:paraId="48DEBA0A">
      <w:pPr>
        <w:spacing w:line="360" w:lineRule="auto"/>
        <w:ind w:firstLine="480" w:firstLineChars="200"/>
        <w:rPr>
          <w:sz w:val="24"/>
        </w:rPr>
      </w:pPr>
      <w:r>
        <w:rPr>
          <w:rFonts w:hint="eastAsia"/>
          <w:sz w:val="24"/>
        </w:rPr>
        <w:t>危险源分布图、可能发生的事故类别、事故发生时的影响范围及后果、周边人员的分布；</w:t>
      </w:r>
    </w:p>
    <w:p w14:paraId="2B29B52E">
      <w:pPr>
        <w:spacing w:line="360" w:lineRule="auto"/>
        <w:ind w:firstLine="480" w:firstLineChars="200"/>
        <w:rPr>
          <w:sz w:val="24"/>
        </w:rPr>
      </w:pPr>
      <w:r>
        <w:rPr>
          <w:rFonts w:hint="eastAsia"/>
          <w:sz w:val="24"/>
        </w:rPr>
        <w:t>不同事故预案的人员分流疏散图；</w:t>
      </w:r>
    </w:p>
    <w:p w14:paraId="14315A51">
      <w:pPr>
        <w:spacing w:line="360" w:lineRule="auto"/>
        <w:ind w:firstLine="480" w:firstLineChars="200"/>
        <w:rPr>
          <w:sz w:val="24"/>
        </w:rPr>
      </w:pPr>
      <w:r>
        <w:rPr>
          <w:rFonts w:hint="eastAsia"/>
          <w:sz w:val="24"/>
        </w:rPr>
        <w:t>应急防护设施、设备分布图（名称、位置、数量）；</w:t>
      </w:r>
    </w:p>
    <w:p w14:paraId="6021FCDB">
      <w:pPr>
        <w:spacing w:line="360" w:lineRule="auto"/>
        <w:ind w:firstLine="480" w:firstLineChars="200"/>
        <w:rPr>
          <w:sz w:val="24"/>
        </w:rPr>
      </w:pPr>
      <w:r>
        <w:rPr>
          <w:rFonts w:hint="eastAsia"/>
          <w:sz w:val="24"/>
        </w:rPr>
        <w:t>不同事故预案的救援路线图（抢险、急救、外来车辆行驶）；</w:t>
      </w:r>
    </w:p>
    <w:p w14:paraId="790E9D81">
      <w:pPr>
        <w:spacing w:line="360" w:lineRule="auto"/>
        <w:ind w:firstLine="480" w:firstLineChars="200"/>
        <w:rPr>
          <w:sz w:val="24"/>
        </w:rPr>
      </w:pPr>
      <w:r>
        <w:rPr>
          <w:sz w:val="24"/>
        </w:rPr>
        <w:t>有关资源位置、能力、数量以及联络方式。</w:t>
      </w:r>
    </w:p>
    <w:p w14:paraId="0283E6D4">
      <w:pPr>
        <w:spacing w:line="360" w:lineRule="auto"/>
        <w:ind w:firstLine="480" w:firstLineChars="200"/>
        <w:rPr>
          <w:sz w:val="24"/>
        </w:rPr>
      </w:pPr>
      <w:bookmarkStart w:id="44" w:name="_Toc300331082"/>
      <w:bookmarkStart w:id="45" w:name="_Toc300330978"/>
      <w:r>
        <w:rPr>
          <w:rFonts w:hint="eastAsia"/>
          <w:sz w:val="24"/>
        </w:rPr>
        <w:t>（4）安全卫生监测</w:t>
      </w:r>
      <w:bookmarkEnd w:id="44"/>
      <w:bookmarkEnd w:id="45"/>
    </w:p>
    <w:p w14:paraId="729AEEC5">
      <w:pPr>
        <w:spacing w:line="360" w:lineRule="auto"/>
        <w:ind w:firstLine="480" w:firstLineChars="200"/>
        <w:rPr>
          <w:sz w:val="24"/>
        </w:rPr>
      </w:pPr>
      <w:r>
        <w:rPr>
          <w:sz w:val="24"/>
        </w:rPr>
        <w:t>本项目生产过程中涉及多种等有毒、有害物质。建设单位应根据国家规定对作业人员进行职前、职中健康检查，对生产场所进行职业卫生监测，以保障从业人员的健康。</w:t>
      </w:r>
    </w:p>
    <w:p w14:paraId="3A725691">
      <w:pPr>
        <w:spacing w:line="360" w:lineRule="auto"/>
        <w:ind w:firstLine="480" w:firstLineChars="200"/>
        <w:rPr>
          <w:sz w:val="24"/>
        </w:rPr>
      </w:pPr>
      <w:bookmarkStart w:id="46" w:name="_Toc300330979"/>
      <w:bookmarkStart w:id="47" w:name="_Toc300331083"/>
      <w:r>
        <w:rPr>
          <w:rFonts w:hint="eastAsia"/>
          <w:sz w:val="24"/>
        </w:rPr>
        <w:t>（5）医疗保障及职业病防治</w:t>
      </w:r>
      <w:bookmarkEnd w:id="46"/>
      <w:bookmarkEnd w:id="47"/>
    </w:p>
    <w:p w14:paraId="5CC7D7EC">
      <w:pPr>
        <w:spacing w:line="360" w:lineRule="auto"/>
        <w:ind w:firstLine="480" w:firstLineChars="200"/>
        <w:rPr>
          <w:sz w:val="24"/>
        </w:rPr>
      </w:pPr>
      <w:r>
        <w:rPr>
          <w:sz w:val="24"/>
        </w:rPr>
        <w:t>本项目生产过程中涉及</w:t>
      </w:r>
      <w:r>
        <w:rPr>
          <w:rFonts w:hint="eastAsia"/>
          <w:sz w:val="24"/>
        </w:rPr>
        <w:t>多种</w:t>
      </w:r>
      <w:r>
        <w:rPr>
          <w:sz w:val="24"/>
        </w:rPr>
        <w:t>等有毒、有害物质。</w:t>
      </w:r>
      <w:r>
        <w:rPr>
          <w:rFonts w:hint="eastAsia"/>
          <w:sz w:val="24"/>
        </w:rPr>
        <w:t>本项目的医疗保健及职业病防治依托当地医疗卫生机构。</w:t>
      </w:r>
    </w:p>
    <w:bookmarkEnd w:id="0"/>
    <w:p w14:paraId="5195D75B">
      <w:pPr>
        <w:rPr>
          <w:rFonts w:ascii="Times New Roman" w:hAnsi="Times New Roman" w:cs="Times New Roman"/>
          <w:b/>
          <w:sz w:val="24"/>
          <w:szCs w:val="24"/>
        </w:rPr>
      </w:pPr>
    </w:p>
    <w:p w14:paraId="693680F1">
      <w:pPr>
        <w:rPr>
          <w:rFonts w:ascii="Times New Roman" w:hAnsi="Times New Roman" w:cs="Times New Roman"/>
          <w:b/>
          <w:sz w:val="24"/>
          <w:szCs w:val="24"/>
        </w:rPr>
      </w:pPr>
    </w:p>
    <w:p w14:paraId="017A6A73">
      <w:pPr>
        <w:rPr>
          <w:rFonts w:ascii="Times New Roman" w:hAnsi="Times New Roman" w:cs="Times New Roman"/>
          <w:b/>
          <w:sz w:val="24"/>
          <w:szCs w:val="24"/>
        </w:rPr>
      </w:pPr>
    </w:p>
    <w:p w14:paraId="33E247AE">
      <w:pPr>
        <w:rPr>
          <w:rFonts w:ascii="Times New Roman" w:hAnsi="Times New Roman" w:cs="Times New Roman"/>
          <w:b/>
          <w:sz w:val="24"/>
          <w:szCs w:val="24"/>
        </w:rPr>
      </w:pPr>
    </w:p>
    <w:p w14:paraId="64E23BAF">
      <w:pPr>
        <w:rPr>
          <w:rFonts w:ascii="Times New Roman" w:hAnsi="Times New Roman" w:cs="Times New Roman"/>
          <w:b/>
          <w:sz w:val="24"/>
          <w:szCs w:val="24"/>
        </w:rPr>
      </w:pPr>
    </w:p>
    <w:p w14:paraId="6415F604">
      <w:pPr>
        <w:rPr>
          <w:rFonts w:ascii="Times New Roman" w:hAnsi="Times New Roman" w:cs="Times New Roman"/>
          <w:b/>
          <w:sz w:val="24"/>
          <w:szCs w:val="24"/>
        </w:rPr>
      </w:pPr>
    </w:p>
    <w:p w14:paraId="5F6DFF4E">
      <w:pPr>
        <w:rPr>
          <w:rFonts w:ascii="Times New Roman" w:hAnsi="Times New Roman" w:cs="Times New Roman"/>
          <w:b/>
          <w:sz w:val="24"/>
          <w:szCs w:val="24"/>
        </w:rPr>
      </w:pPr>
    </w:p>
    <w:p w14:paraId="6D8741F7">
      <w:pPr>
        <w:rPr>
          <w:rFonts w:ascii="Times New Roman" w:hAnsi="Times New Roman" w:cs="Times New Roman"/>
          <w:b/>
          <w:sz w:val="24"/>
          <w:szCs w:val="24"/>
        </w:rPr>
      </w:pPr>
    </w:p>
    <w:p w14:paraId="4B8362CC">
      <w:pPr>
        <w:rPr>
          <w:rFonts w:ascii="Times New Roman" w:hAnsi="Times New Roman" w:cs="Times New Roman"/>
          <w:b/>
          <w:sz w:val="24"/>
          <w:szCs w:val="24"/>
        </w:rPr>
      </w:pPr>
    </w:p>
    <w:p w14:paraId="12BE7BBF">
      <w:pPr>
        <w:rPr>
          <w:rFonts w:ascii="Times New Roman" w:hAnsi="Times New Roman" w:cs="Times New Roman"/>
          <w:b/>
          <w:sz w:val="24"/>
          <w:szCs w:val="24"/>
        </w:rPr>
      </w:pPr>
    </w:p>
    <w:p w14:paraId="00BB1263">
      <w:pPr>
        <w:rPr>
          <w:rFonts w:ascii="Times New Roman" w:hAnsi="Times New Roman" w:cs="Times New Roman"/>
          <w:b/>
          <w:sz w:val="24"/>
          <w:szCs w:val="24"/>
        </w:rPr>
        <w:sectPr>
          <w:pgSz w:w="11906" w:h="16838"/>
          <w:pgMar w:top="1440" w:right="1800" w:bottom="1440" w:left="1800" w:header="851" w:footer="992" w:gutter="0"/>
          <w:cols w:space="425" w:num="1"/>
          <w:docGrid w:type="lines" w:linePitch="312" w:charSpace="0"/>
        </w:sectPr>
      </w:pPr>
    </w:p>
    <w:p w14:paraId="26973437">
      <w:pPr>
        <w:rPr>
          <w:rFonts w:ascii="Times New Roman" w:hAnsi="Times New Roman" w:cs="Times New Roman"/>
          <w:b/>
          <w:sz w:val="24"/>
          <w:szCs w:val="24"/>
        </w:rPr>
      </w:pPr>
      <w:r>
        <w:rPr>
          <w:rFonts w:hint="eastAsia" w:ascii="Times New Roman" w:hAnsi="Times New Roman" w:cs="Times New Roman"/>
          <w:b/>
          <w:sz w:val="24"/>
          <w:szCs w:val="24"/>
        </w:rPr>
        <w:t>附件9企业自行检测报告</w:t>
      </w:r>
    </w:p>
    <w:p w14:paraId="15024E32">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0" distR="0">
            <wp:extent cx="5274310" cy="745553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7455535"/>
                    </a:xfrm>
                    <a:prstGeom prst="rect">
                      <a:avLst/>
                    </a:prstGeom>
                  </pic:spPr>
                </pic:pic>
              </a:graphicData>
            </a:graphic>
          </wp:inline>
        </w:drawing>
      </w:r>
    </w:p>
    <w:p w14:paraId="6D98BB5F">
      <w:pPr>
        <w:rPr>
          <w:rFonts w:ascii="Times New Roman" w:hAnsi="Times New Roman" w:cs="Times New Roman"/>
          <w:b/>
          <w:sz w:val="24"/>
          <w:szCs w:val="24"/>
        </w:rPr>
      </w:pPr>
    </w:p>
    <w:p w14:paraId="70DBAE81">
      <w:pPr>
        <w:rPr>
          <w:rFonts w:ascii="Times New Roman" w:hAnsi="Times New Roman" w:cs="Times New Roman"/>
          <w:b/>
          <w:sz w:val="24"/>
          <w:szCs w:val="24"/>
        </w:rPr>
      </w:pPr>
    </w:p>
    <w:p w14:paraId="2C745DD7">
      <w:pPr>
        <w:rPr>
          <w:rFonts w:ascii="Times New Roman" w:hAnsi="Times New Roman" w:cs="Times New Roman"/>
          <w:b/>
          <w:sz w:val="24"/>
          <w:szCs w:val="24"/>
        </w:rPr>
      </w:pPr>
    </w:p>
    <w:p w14:paraId="01E95747">
      <w:pPr>
        <w:rPr>
          <w:rFonts w:ascii="Times New Roman" w:hAnsi="Times New Roman" w:cs="Times New Roman"/>
          <w:b/>
          <w:sz w:val="24"/>
          <w:szCs w:val="24"/>
        </w:rPr>
      </w:pPr>
    </w:p>
    <w:p w14:paraId="543E86FB">
      <w:pPr>
        <w:rPr>
          <w:rFonts w:ascii="Times New Roman" w:hAnsi="Times New Roman" w:cs="Times New Roman"/>
          <w:b/>
          <w:sz w:val="24"/>
          <w:szCs w:val="24"/>
        </w:rPr>
      </w:pPr>
    </w:p>
    <w:p w14:paraId="10D9B64B">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0" distR="0">
            <wp:extent cx="5275580" cy="8058150"/>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8055406"/>
                    </a:xfrm>
                    <a:prstGeom prst="rect">
                      <a:avLst/>
                    </a:prstGeom>
                  </pic:spPr>
                </pic:pic>
              </a:graphicData>
            </a:graphic>
          </wp:inline>
        </w:drawing>
      </w:r>
    </w:p>
    <w:p w14:paraId="3790A0D6">
      <w:pPr>
        <w:rPr>
          <w:rFonts w:ascii="Times New Roman" w:hAnsi="Times New Roman" w:cs="Times New Roman"/>
          <w:b/>
          <w:sz w:val="24"/>
          <w:szCs w:val="24"/>
        </w:rPr>
      </w:pPr>
    </w:p>
    <w:p w14:paraId="0AACC3C7">
      <w:pPr>
        <w:rPr>
          <w:rFonts w:ascii="Times New Roman" w:hAnsi="Times New Roman" w:cs="Times New Roman"/>
          <w:b/>
          <w:sz w:val="24"/>
          <w:szCs w:val="24"/>
        </w:rPr>
      </w:pPr>
    </w:p>
    <w:p w14:paraId="2B6F2BDA">
      <w:pPr>
        <w:rPr>
          <w:rFonts w:ascii="Times New Roman" w:hAnsi="Times New Roman" w:cs="Times New Roman"/>
          <w:b/>
          <w:sz w:val="24"/>
          <w:szCs w:val="24"/>
        </w:rPr>
      </w:pPr>
    </w:p>
    <w:p w14:paraId="6A953404">
      <w:pPr>
        <w:rPr>
          <w:rFonts w:ascii="Times New Roman" w:hAnsi="Times New Roman" w:cs="Times New Roman"/>
          <w:b/>
          <w:sz w:val="24"/>
          <w:szCs w:val="24"/>
        </w:rPr>
      </w:pPr>
    </w:p>
    <w:p w14:paraId="7E97F07B">
      <w:pPr>
        <w:rPr>
          <w:rFonts w:ascii="Times New Roman" w:hAnsi="Times New Roman" w:cs="Times New Roman"/>
          <w:b/>
          <w:sz w:val="24"/>
          <w:szCs w:val="24"/>
        </w:rPr>
      </w:pPr>
    </w:p>
    <w:p w14:paraId="5C8BAB99">
      <w:pPr>
        <w:rPr>
          <w:rFonts w:ascii="Times New Roman" w:hAnsi="Times New Roman" w:cs="Times New Roman"/>
          <w:b/>
          <w:sz w:val="24"/>
          <w:szCs w:val="24"/>
        </w:rPr>
      </w:pPr>
    </w:p>
    <w:p w14:paraId="4281011F">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0" distR="0">
            <wp:extent cx="5275580" cy="7886700"/>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7884014"/>
                    </a:xfrm>
                    <a:prstGeom prst="rect">
                      <a:avLst/>
                    </a:prstGeom>
                  </pic:spPr>
                </pic:pic>
              </a:graphicData>
            </a:graphic>
          </wp:inline>
        </w:drawing>
      </w:r>
    </w:p>
    <w:p w14:paraId="39465CA5">
      <w:pPr>
        <w:rPr>
          <w:rFonts w:ascii="Times New Roman" w:hAnsi="Times New Roman" w:cs="Times New Roman"/>
          <w:b/>
          <w:sz w:val="24"/>
          <w:szCs w:val="24"/>
        </w:rPr>
      </w:pPr>
    </w:p>
    <w:p w14:paraId="0190EDE8">
      <w:pPr>
        <w:rPr>
          <w:rFonts w:ascii="Times New Roman" w:hAnsi="Times New Roman" w:cs="Times New Roman"/>
          <w:b/>
          <w:sz w:val="24"/>
          <w:szCs w:val="24"/>
        </w:rPr>
      </w:pPr>
      <w:r>
        <w:rPr>
          <w:rFonts w:hint="eastAsia" w:ascii="Times New Roman" w:hAnsi="Times New Roman" w:cs="Times New Roman"/>
          <w:b/>
          <w:sz w:val="24"/>
          <w:szCs w:val="24"/>
        </w:rPr>
        <w:drawing>
          <wp:inline distT="0" distB="0" distL="0" distR="0">
            <wp:extent cx="5275580" cy="8201025"/>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8198232"/>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10F0A">
    <w:pPr>
      <w:pStyle w:val="7"/>
      <w:jc w:val="cente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5085"/>
    <w:rsid w:val="000573D7"/>
    <w:rsid w:val="000E6060"/>
    <w:rsid w:val="0010340A"/>
    <w:rsid w:val="00144791"/>
    <w:rsid w:val="00275085"/>
    <w:rsid w:val="002D7A8C"/>
    <w:rsid w:val="00355705"/>
    <w:rsid w:val="003C694E"/>
    <w:rsid w:val="00434C17"/>
    <w:rsid w:val="00487FE0"/>
    <w:rsid w:val="00574FFE"/>
    <w:rsid w:val="005D3080"/>
    <w:rsid w:val="006274DB"/>
    <w:rsid w:val="007C245D"/>
    <w:rsid w:val="00841F3A"/>
    <w:rsid w:val="00850D82"/>
    <w:rsid w:val="008B0E76"/>
    <w:rsid w:val="00A31037"/>
    <w:rsid w:val="00B63D27"/>
    <w:rsid w:val="00BE450B"/>
    <w:rsid w:val="00BF0B02"/>
    <w:rsid w:val="00C96348"/>
    <w:rsid w:val="00CA3319"/>
    <w:rsid w:val="00D46093"/>
    <w:rsid w:val="00EC3460"/>
    <w:rsid w:val="00F1413F"/>
    <w:rsid w:val="00F76E9F"/>
    <w:rsid w:val="00F940C2"/>
    <w:rsid w:val="03314035"/>
    <w:rsid w:val="09315C6B"/>
    <w:rsid w:val="1CF45CE6"/>
    <w:rsid w:val="1CFA095C"/>
    <w:rsid w:val="2D662DF4"/>
    <w:rsid w:val="305C1707"/>
    <w:rsid w:val="3FF0095F"/>
    <w:rsid w:val="44294373"/>
    <w:rsid w:val="6A365941"/>
    <w:rsid w:val="79A827CE"/>
    <w:rsid w:val="79AF1E6A"/>
    <w:rsid w:val="7C3E70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2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3"/>
    <w:basedOn w:val="4"/>
    <w:next w:val="1"/>
    <w:unhideWhenUsed/>
    <w:qFormat/>
    <w:uiPriority w:val="9"/>
    <w:pPr>
      <w:snapToGrid w:val="0"/>
      <w:spacing w:line="500" w:lineRule="exact"/>
      <w:outlineLvl w:val="2"/>
    </w:pPr>
    <w:rPr>
      <w:rFonts w:ascii="Times New Roman" w:hAnsi="Times New Roman" w:cs="Times New Roman"/>
      <w:b/>
      <w:color w:val="000000"/>
      <w:sz w:val="26"/>
      <w:szCs w:val="26"/>
    </w:rPr>
  </w:style>
  <w:style w:type="character" w:default="1" w:styleId="12">
    <w:name w:val="Default Paragraph Font"/>
    <w:unhideWhenUsed/>
    <w:uiPriority w:val="1"/>
  </w:style>
  <w:style w:type="table" w:default="1" w:styleId="11">
    <w:name w:val="Normal Table"/>
    <w:unhideWhenUsed/>
    <w:uiPriority w:val="99"/>
    <w:tblPr>
      <w:tblCellMar>
        <w:top w:w="0" w:type="dxa"/>
        <w:left w:w="108" w:type="dxa"/>
        <w:bottom w:w="0" w:type="dxa"/>
        <w:right w:w="108" w:type="dxa"/>
      </w:tblCellMar>
    </w:tblPr>
  </w:style>
  <w:style w:type="paragraph" w:styleId="4">
    <w:name w:val="Plain Text"/>
    <w:basedOn w:val="1"/>
    <w:link w:val="20"/>
    <w:unhideWhenUsed/>
    <w:qFormat/>
    <w:uiPriority w:val="0"/>
    <w:rPr>
      <w:rFonts w:ascii="宋体" w:hAnsi="Courier New" w:eastAsia="宋体" w:cs="Courier New"/>
      <w:szCs w:val="21"/>
    </w:rPr>
  </w:style>
  <w:style w:type="paragraph" w:styleId="5">
    <w:name w:val="Body Text"/>
    <w:basedOn w:val="1"/>
    <w:unhideWhenUsed/>
    <w:qFormat/>
    <w:uiPriority w:val="99"/>
    <w:rPr>
      <w:rFonts w:eastAsia="仿宋_GB2312"/>
      <w:sz w:val="32"/>
    </w:rPr>
  </w:style>
  <w:style w:type="paragraph" w:styleId="6">
    <w:name w:val="Balloon Text"/>
    <w:basedOn w:val="1"/>
    <w:link w:val="19"/>
    <w:unhideWhenUsed/>
    <w:qFormat/>
    <w:uiPriority w:val="99"/>
    <w:rPr>
      <w:sz w:val="18"/>
      <w:szCs w:val="18"/>
    </w:rPr>
  </w:style>
  <w:style w:type="paragraph" w:styleId="7">
    <w:name w:val="footer"/>
    <w:basedOn w:val="1"/>
    <w:link w:val="14"/>
    <w:unhideWhenUsed/>
    <w:qFormat/>
    <w:uiPriority w:val="99"/>
    <w:pPr>
      <w:tabs>
        <w:tab w:val="center" w:pos="4153"/>
        <w:tab w:val="right" w:pos="8306"/>
      </w:tabs>
      <w:snapToGrid w:val="0"/>
      <w:jc w:val="left"/>
    </w:pPr>
    <w:rPr>
      <w:sz w:val="18"/>
      <w:szCs w:val="18"/>
    </w:rPr>
  </w:style>
  <w:style w:type="paragraph" w:styleId="8">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link w:val="21"/>
    <w:qFormat/>
    <w:uiPriority w:val="0"/>
    <w:pPr>
      <w:widowControl/>
      <w:spacing w:before="100" w:beforeAutospacing="1" w:after="100" w:afterAutospacing="1"/>
      <w:jc w:val="left"/>
    </w:pPr>
    <w:rPr>
      <w:rFonts w:ascii="宋体" w:hAnsi="宋体"/>
      <w:kern w:val="0"/>
      <w:sz w:val="24"/>
      <w:szCs w:val="24"/>
    </w:rPr>
  </w:style>
  <w:style w:type="paragraph" w:styleId="10">
    <w:name w:val="Body Text First Indent"/>
    <w:basedOn w:val="5"/>
    <w:unhideWhenUsed/>
    <w:uiPriority w:val="99"/>
    <w:pPr>
      <w:spacing w:after="120"/>
      <w:ind w:firstLine="420" w:firstLineChars="100"/>
    </w:pPr>
    <w:rPr>
      <w:rFonts w:eastAsia="宋体"/>
      <w:sz w:val="21"/>
    </w:rPr>
  </w:style>
  <w:style w:type="character" w:customStyle="1" w:styleId="13">
    <w:name w:val="页眉 Char"/>
    <w:basedOn w:val="12"/>
    <w:link w:val="8"/>
    <w:qFormat/>
    <w:uiPriority w:val="99"/>
    <w:rPr>
      <w:kern w:val="2"/>
      <w:sz w:val="18"/>
      <w:szCs w:val="18"/>
    </w:rPr>
  </w:style>
  <w:style w:type="character" w:customStyle="1" w:styleId="14">
    <w:name w:val="页脚 Char"/>
    <w:basedOn w:val="12"/>
    <w:link w:val="7"/>
    <w:qFormat/>
    <w:uiPriority w:val="99"/>
    <w:rPr>
      <w:kern w:val="2"/>
      <w:sz w:val="18"/>
      <w:szCs w:val="18"/>
    </w:rPr>
  </w:style>
  <w:style w:type="paragraph" w:customStyle="1" w:styleId="15">
    <w:name w:val="正文1"/>
    <w:basedOn w:val="1"/>
    <w:qFormat/>
    <w:uiPriority w:val="0"/>
    <w:pPr>
      <w:snapToGrid w:val="0"/>
      <w:spacing w:line="500" w:lineRule="exact"/>
      <w:ind w:firstLine="480" w:firstLineChars="200"/>
    </w:pPr>
    <w:rPr>
      <w:rFonts w:ascii="Times New Roman" w:hAnsi="宋体" w:eastAsia="宋体" w:cs="Times New Roman"/>
      <w:sz w:val="24"/>
      <w:szCs w:val="24"/>
    </w:rPr>
  </w:style>
  <w:style w:type="paragraph" w:customStyle="1" w:styleId="16">
    <w:name w:val="环评正文"/>
    <w:basedOn w:val="1"/>
    <w:qFormat/>
    <w:uiPriority w:val="0"/>
    <w:pPr>
      <w:spacing w:line="360" w:lineRule="auto"/>
      <w:ind w:firstLine="480"/>
    </w:pPr>
    <w:rPr>
      <w:sz w:val="24"/>
    </w:rPr>
  </w:style>
  <w:style w:type="paragraph" w:customStyle="1" w:styleId="17">
    <w:name w:val="君邦正文"/>
    <w:basedOn w:val="1"/>
    <w:qFormat/>
    <w:uiPriority w:val="0"/>
    <w:pPr>
      <w:spacing w:after="60" w:line="360" w:lineRule="auto"/>
      <w:ind w:firstLine="480" w:firstLineChars="200"/>
    </w:pPr>
    <w:rPr>
      <w:bCs/>
      <w:snapToGrid w:val="0"/>
      <w:kern w:val="0"/>
      <w:sz w:val="24"/>
      <w:szCs w:val="20"/>
    </w:rPr>
  </w:style>
  <w:style w:type="paragraph" w:customStyle="1" w:styleId="18">
    <w:name w:val="报告表正文"/>
    <w:basedOn w:val="1"/>
    <w:qFormat/>
    <w:uiPriority w:val="0"/>
    <w:pPr>
      <w:spacing w:line="360" w:lineRule="auto"/>
      <w:ind w:firstLine="200" w:firstLineChars="200"/>
    </w:pPr>
    <w:rPr>
      <w:rFonts w:hint="eastAsia" w:ascii="楷体_GB2312" w:eastAsia="楷体_GB2312"/>
      <w:sz w:val="24"/>
    </w:rPr>
  </w:style>
  <w:style w:type="character" w:customStyle="1" w:styleId="19">
    <w:name w:val="批注框文本 Char"/>
    <w:basedOn w:val="12"/>
    <w:link w:val="6"/>
    <w:semiHidden/>
    <w:uiPriority w:val="99"/>
    <w:rPr>
      <w:kern w:val="2"/>
      <w:sz w:val="18"/>
      <w:szCs w:val="18"/>
    </w:rPr>
  </w:style>
  <w:style w:type="character" w:customStyle="1" w:styleId="20">
    <w:name w:val="纯文本 Char"/>
    <w:link w:val="4"/>
    <w:uiPriority w:val="0"/>
    <w:rPr>
      <w:rFonts w:ascii="宋体" w:hAnsi="Courier New" w:eastAsia="宋体" w:cs="Courier New"/>
      <w:kern w:val="2"/>
      <w:sz w:val="21"/>
      <w:szCs w:val="21"/>
    </w:rPr>
  </w:style>
  <w:style w:type="character" w:customStyle="1" w:styleId="21">
    <w:name w:val="普通(网站) Char"/>
    <w:link w:val="9"/>
    <w:uiPriority w:val="0"/>
    <w:rPr>
      <w:rFonts w:ascii="宋体" w:hAnsi="宋体"/>
      <w:sz w:val="24"/>
      <w:szCs w:val="24"/>
    </w:rPr>
  </w:style>
  <w:style w:type="character" w:customStyle="1" w:styleId="22">
    <w:name w:val="Char Char Char"/>
    <w:link w:val="23"/>
    <w:qFormat/>
    <w:uiPriority w:val="0"/>
    <w:rPr>
      <w:rFonts w:ascii="Tahoma" w:hAnsi="Tahoma" w:eastAsia="宋体"/>
      <w:kern w:val="2"/>
      <w:sz w:val="24"/>
    </w:rPr>
  </w:style>
  <w:style w:type="paragraph" w:customStyle="1" w:styleId="23">
    <w:name w:val="批注框文本1"/>
    <w:basedOn w:val="1"/>
    <w:link w:val="22"/>
    <w:qFormat/>
    <w:uiPriority w:val="0"/>
    <w:rPr>
      <w:rFonts w:ascii="Tahoma" w:hAnsi="Tahoma" w:eastAsia="宋体"/>
      <w:sz w:val="24"/>
      <w:szCs w:val="20"/>
    </w:rPr>
  </w:style>
  <w:style w:type="character" w:customStyle="1" w:styleId="24">
    <w:name w:val="样式4 Char Char"/>
    <w:link w:val="25"/>
    <w:qFormat/>
    <w:uiPriority w:val="0"/>
    <w:rPr>
      <w:rFonts w:ascii="黑体" w:eastAsia="黑体"/>
      <w:bCs/>
      <w:kern w:val="2"/>
      <w:sz w:val="28"/>
      <w:szCs w:val="32"/>
    </w:rPr>
  </w:style>
  <w:style w:type="paragraph" w:customStyle="1" w:styleId="25">
    <w:name w:val="样式4"/>
    <w:basedOn w:val="3"/>
    <w:link w:val="24"/>
    <w:qFormat/>
    <w:uiPriority w:val="0"/>
    <w:pPr>
      <w:keepNext/>
      <w:keepLines/>
      <w:tabs>
        <w:tab w:val="left" w:pos="566"/>
      </w:tabs>
      <w:snapToGrid/>
      <w:spacing w:line="560" w:lineRule="exact"/>
      <w:ind w:firstLine="560" w:firstLineChars="200"/>
    </w:pPr>
    <w:rPr>
      <w:rFonts w:ascii="黑体" w:eastAsia="黑体" w:hAnsiTheme="minorHAnsi" w:cstheme="minorBidi"/>
      <w:b w:val="0"/>
      <w:bCs/>
      <w:color w:val="auto"/>
      <w:sz w:val="28"/>
      <w:szCs w:val="32"/>
    </w:rPr>
  </w:style>
  <w:style w:type="character" w:customStyle="1" w:styleId="26">
    <w:name w:val="样式3 Char"/>
    <w:link w:val="27"/>
    <w:qFormat/>
    <w:uiPriority w:val="0"/>
    <w:rPr>
      <w:rFonts w:ascii="楷体_GB2312" w:hAnsi="Arial" w:eastAsia="楷体_GB2312"/>
      <w:bCs/>
      <w:kern w:val="2"/>
      <w:sz w:val="32"/>
      <w:szCs w:val="32"/>
    </w:rPr>
  </w:style>
  <w:style w:type="paragraph" w:customStyle="1" w:styleId="27">
    <w:name w:val="样式3"/>
    <w:basedOn w:val="2"/>
    <w:link w:val="26"/>
    <w:qFormat/>
    <w:uiPriority w:val="0"/>
    <w:pPr>
      <w:spacing w:before="120" w:after="120" w:line="560" w:lineRule="exact"/>
      <w:jc w:val="center"/>
    </w:pPr>
    <w:rPr>
      <w:rFonts w:ascii="楷体_GB2312" w:hAnsi="Arial" w:eastAsia="楷体_GB2312" w:cstheme="minorBidi"/>
      <w:b w:val="0"/>
    </w:rPr>
  </w:style>
  <w:style w:type="character" w:customStyle="1" w:styleId="28">
    <w:name w:val="标题 2 Char"/>
    <w:basedOn w:val="12"/>
    <w:link w:val="2"/>
    <w:semiHidden/>
    <w:qFormat/>
    <w:uiPriority w:val="9"/>
    <w:rPr>
      <w:rFonts w:asciiTheme="majorHAnsi" w:hAnsiTheme="majorHAnsi" w:eastAsiaTheme="majorEastAsia" w:cstheme="majorBidi"/>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http://sdwm.org</Company>
  <Pages>29</Pages>
  <Words>6389</Words>
  <Characters>6471</Characters>
  <Lines>55</Lines>
  <Paragraphs>15</Paragraphs>
  <TotalTime>0</TotalTime>
  <ScaleCrop>false</ScaleCrop>
  <LinksUpToDate>false</LinksUpToDate>
  <CharactersWithSpaces>6538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2017-04-07T10:33:00Z</dcterms:created>
  <dc:creator>SDWM</dc:creator>
  <cp:lastModifiedBy>李妮</cp:lastModifiedBy>
  <dcterms:modified xsi:type="dcterms:W3CDTF">2025-09-19T08:07:15Z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eyJoZGlkIjoiNWI1ZTA5YTFiMmY1MjJkYmQ5NTJlNDA0OGJhNzNiNWIiLCJ1c2VySWQiOiIyOTgzOTI0MjEifQ==</vt:lpwstr>
  </property>
  <property fmtid="{D5CDD505-2E9C-101B-9397-08002B2CF9AE}" pid="4" name="ICV">
    <vt:lpwstr>C51D86D9F05E4E069BEAF16EFBC67624_12</vt:lpwstr>
  </property>
</Properties>
</file>