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CF73">
      <w:pPr>
        <w:pStyle w:val="2"/>
        <w:widowControl/>
        <w:jc w:val="center"/>
        <w:rPr>
          <w:rFonts w:hint="eastAsia" w:ascii="仿宋" w:hAnsi="仿宋" w:eastAsia="仿宋" w:cs="仿宋"/>
          <w:b/>
          <w:bCs w:val="0"/>
          <w:kern w:val="2"/>
          <w:sz w:val="32"/>
          <w:szCs w:val="32"/>
        </w:rPr>
      </w:pPr>
      <w:r>
        <w:rPr>
          <w:rFonts w:hint="eastAsia" w:ascii="仿宋" w:hAnsi="仿宋" w:eastAsia="仿宋" w:cs="仿宋"/>
          <w:b/>
          <w:bCs w:val="0"/>
          <w:kern w:val="2"/>
          <w:sz w:val="32"/>
          <w:szCs w:val="32"/>
        </w:rPr>
        <w:t>葛店经济技术开发区涉税专业服务机构信用等级TSC5级激励措施</w:t>
      </w:r>
    </w:p>
    <w:p w14:paraId="323B6E0B">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根据《国家税务总局关于进一步完善涉税专业服务机构监管制度有关事项的公告》（国家税务总局公告2017年第48号，2019年第43号修正）第五章第十七条规定，对涉税专业服务信用达到TSC5级（即400分以上）的涉税专业服务机构，葛店经济技术开发区税务局采取以下激励措施：</w:t>
      </w:r>
    </w:p>
    <w:p w14:paraId="62D85ABB">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一、实现批量纳税申报、信息申报等便利化服务</w:t>
      </w:r>
    </w:p>
    <w:p w14:paraId="0DAE1B21">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TSC5级涉税专业服务机构登录电子税务局，选择其中一户被代理纳税人办理业务后，点击页面右上角“退出”按钮，直接跳转到“被代理纳税人企业”页面，可以办理下一户纳税人企业业务，不需要退出电子税务局后再重新登录。此外，还有批量缴款、批量开具完税证明等功能。</w:t>
      </w:r>
    </w:p>
    <w:p w14:paraId="3D3E4AE4">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二、对TSC5级涉税专业服务机构所代理的纳税信用B级别纳税人发票领用管理按照纳税信用A级别管理</w:t>
      </w:r>
    </w:p>
    <w:p w14:paraId="69B925AE">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TSC5级机构代理的纳税信用B级的纳税人，其发票领用量由原来的一次领用2个月的用量升级为A级的可以一次领用3个月的用量，TSC5级机构代理的纳税人主管税务机关依纳税人需求进行办理。</w:t>
      </w:r>
    </w:p>
    <w:p w14:paraId="6B932614">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三、为TSC5级机构提供更加优质的纳税服务</w:t>
      </w:r>
    </w:p>
    <w:p w14:paraId="351FA8B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在落实TSC5级机构享受纳税服务绿色通道、信息报送等便利化服务的基础上，优先为TSC5级涉税专业服务机构提供好一对一服务和错峰服务，满足TSC5级机构在机构政策解读、宣传培训、协助申报等方面的纳税服务需求。</w:t>
      </w:r>
    </w:p>
    <w:p w14:paraId="7A5DFA5C">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四、试点推进税务机关购买涉税服务</w:t>
      </w:r>
    </w:p>
    <w:p w14:paraId="193AD6C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按照税务系统政府购买服务指导性目录等有关规定，在税务机关鼓励购买涉税专业服务时，同等条件优先考虑TSC5级机构。</w:t>
      </w:r>
    </w:p>
    <w:p w14:paraId="11C9D102">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葛店经济技术开发区涉税专业服务信用为TSC5级的机构，享受以上激励措施。每年度涉税专业服务信用级别产生后，TSC5级的机构可享受激励措施。TSC5级涉税专业服务机构主管税务机关负责通知相关机构。</w:t>
      </w:r>
    </w:p>
    <w:p w14:paraId="7B22D79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32"/>
          <w:szCs w:val="32"/>
        </w:rPr>
      </w:pPr>
    </w:p>
    <w:p w14:paraId="098229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A5YTFiMmY1MjJkYmQ5NTJlNDA0OGJhNzNiNWIifQ=="/>
  </w:docVars>
  <w:rsids>
    <w:rsidRoot w:val="2F202576"/>
    <w:rsid w:val="2F20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Lines="0" w:beforeAutospacing="0" w:after="260" w:afterLines="0" w:afterAutospacing="0" w:line="412" w:lineRule="auto"/>
      <w:jc w:val="both"/>
      <w:outlineLvl w:val="1"/>
    </w:pPr>
    <w:rPr>
      <w:rFonts w:hint="default" w:ascii="Arial" w:hAnsi="Arial" w:eastAsia="黑体" w:cs="Times New Roman"/>
      <w:b/>
      <w:bCs/>
      <w:kern w:val="2"/>
      <w:sz w:val="32"/>
      <w:szCs w:val="32"/>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2024-10-29T01:20:00Z</dcterms:created>
  <dc:creator>李妮</dc:creator>
  <cp:lastModifiedBy>李妮</cp:lastModifiedBy>
  <dcterms:modified xsi:type="dcterms:W3CDTF">2024-10-29T01:20:55Z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7AC6B14A7FF74BCABFAAAA5AF68E4A28_11</vt:lpwstr>
  </property>
</Properties>
</file>